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F5BB37E18FC64D1CA838CD3B3F0A7120" style="width:450.75pt;height:39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TA'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Ir-raġunijiet għall-proposta u l-għanijiet tagħha</w:t>
      </w:r>
    </w:p>
    <w:p>
      <w:pPr>
        <w:rPr>
          <w:noProof/>
        </w:rPr>
      </w:pPr>
      <w:r>
        <w:rPr>
          <w:noProof/>
        </w:rPr>
        <w:t>L-Eurostat jippubblika l-istatistika Ewropea f’bosta setturi tal-istatistika fil-livell reġjonali skont ir-</w:t>
      </w:r>
      <w:hyperlink r:id="rId11">
        <w:r>
          <w:rPr>
            <w:noProof/>
          </w:rPr>
          <w:t>Regolament (KE) Nru 1059/2003</w:t>
        </w:r>
      </w:hyperlink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2"/>
      </w:r>
      <w:r>
        <w:rPr>
          <w:noProof/>
          <w:vertAlign w:val="superscript"/>
        </w:rPr>
        <w:t>)</w:t>
      </w:r>
      <w:r>
        <w:rPr>
          <w:noProof/>
        </w:rPr>
        <w:t xml:space="preserve"> dwar l-istabbiliment ta’ klassifikazzjoni komuni ta’ unitajiet territorjali għall-istatistika (NUTS). Din l-istatistika tintuża ferm fil-kuntest tal-politika reġjonali tal-UE u biex tiġi stabbilita l-eliġibbiltà tar-reġjuni skont il-fondi ta’ koeżjoni. Matul dawn l-aħħar ftit snin, l-Eurostat wessa’ l-firxa tal-istatistika ppubblikata għal għadd ta’ tipoloġiji territorjali biex jindirizza l-bżonn dejjem jikber li dawk li jfasslu l-politika tal-UE jkollhom għal din it-tip ta’ dejta fil-kuntest tal-politiki ta’ koeżjoni u ta’ żvilupp territorjali. Il-Kummissjoni ddefinixxiet dawn it-tipoloġiji territorjali b’kooperazzjoni mal-Organizzazzjoni għall-Kooperazzjoni u l-Iżvilupp Ekonomiċi (OECD) u adottat metodoloġiji biex jistabbilixxuhom u jżommuhom. Minkejja li diġà qed jintużaw, ir-Regolament NUTS s’issa għadu ma jinkludix jew jiddefinixxi b’mod legali dawn it-tipoloġiji territorjali li jiddeterminaw żoni urbani, rurali, kostali u/jew żoni oħra u r-reġjuni tal-UE. Il-fatt li dawn it-tipoloġiji u l-metodoloġiji tagħhom mhumiex rikonoxxuti legalment u formalment mis-Sistema Ewropea tal-Istatistika (ESS), hija kwistjoni li hemm bżonn li tiġi ndirizzata sabiex jiġu stabbiliti bħala tipoloġiji tal-istatistika rikonoxxuti, imparzjali u trasparenti.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L-għanijiet ta’ politika prinċipali ta’ din l-inizjattiva huma li: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1. Tistabbilixxi r-rikonoxximent legali tat-tipoloġiji territorjali, inkluża d-definizzjoni tal-bliet, għall-fini tal-istatistika Ewropea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Regolament li jemenda </w:t>
      </w:r>
      <w:hyperlink r:id="rId12">
        <w:r>
          <w:rPr>
            <w:noProof/>
          </w:rPr>
          <w:t>r-Regolament (KE) Nru 1059/2003</w:t>
        </w:r>
      </w:hyperlink>
      <w:r>
        <w:rPr>
          <w:noProof/>
        </w:rPr>
        <w:t xml:space="preserve"> se jintegra t-tipoloġiji territorjali fir-Regolament NUTS attwali. Dan se jippermetti li r-regolamenti tal-istatistika tematiċi u l-inizjattivi ta’ politika jibdew jirreferu għal dawn it-tipoloġiji territorjali għall-finijiet tal-ġbir tal-istatistika Ewropea u/jew biex jimmiraw lejn territorji speċifiċi bħal bliet, żoni urbani, rurali jew kostali u reġjuni fit-tfassil tal-politika. Għalhekk l-inizjattiva se tkopri t-tipoloġiji territorjali eżistenti bbażati fil-livell NUTS 3 (eż. it-tipoloġija urbana-rurali, ir-reġjuni metropolitani), l-unitajiet amministrattivi lokali (eż. il-grad ta’ urbanizzazzjoni, il-bliet, iż-żoni kostali) u grilja ta’ kilometru (1)² sal-livell meħtieġ għall-kalkolu ta’ tipoloġiji oħra, li huma bbażati fuq id-distribuzzjoni tal-popolazzjoni u d-densità taċ-ċelloli ta’ grilja.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2. Tistabbilixxi definizzjonijiet u kriterji ewlenin tal-istatistika għat-tipoloġiji territorjali differenti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Sabiex tinħoloq trasparenza metodoloġika u tiġi ssalvagwardjata l-istabbiltà tat-tipoloġiji territorjali maż-żmien, id-definizzjonijiet u l-kriterji ewlenin għall-ħolqien u l-aġġornament tat-tipoloġiji jinħtieġ li jiġu speċifikati fir-Regolament u fid-dispożizzjonijiet ta’ implimentazzjoni tiegħu. Għal dan il-għan, l-inizjattiva se tagħmel użu mill-metodoloġiji li diġà jeżistu għat-tipoloġiji differenti.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3. Ikunu żgurati l-applikazzjoni u l-użu trasparenti u armonizzat tat-tipoloġiji territorjali fil-livell tal-UE u fl-Istati Membri</w:t>
      </w:r>
    </w:p>
    <w:p>
      <w:pPr>
        <w:spacing w:after="0"/>
        <w:rPr>
          <w:noProof/>
          <w:szCs w:val="24"/>
        </w:rPr>
      </w:pPr>
      <w:r>
        <w:rPr>
          <w:noProof/>
        </w:rPr>
        <w:t>L-inizjattiva għandha l-għan li ttejjeb il-komparabbiltà u l-istabbiltà ta’ dawn it-tipoloġiji. Dan se jkollu impatt pożittiv fuq il-kumpilazzjoni u t-tixrid tal-istatistika reġjonali Ewropea.</w:t>
      </w:r>
    </w:p>
    <w:p>
      <w:pPr>
        <w:spacing w:after="0"/>
        <w:rPr>
          <w:noProof/>
          <w:szCs w:val="24"/>
        </w:rPr>
      </w:pPr>
      <w:r>
        <w:rPr>
          <w:noProof/>
        </w:rPr>
        <w:lastRenderedPageBreak/>
        <w:t>4. Fil-kuntest tal-allinjament tar-</w:t>
      </w:r>
      <w:hyperlink r:id="rId13">
        <w:r>
          <w:rPr>
            <w:noProof/>
          </w:rPr>
          <w:t>Regolament (KE) Nru 1059/2003</w:t>
        </w:r>
      </w:hyperlink>
      <w:r>
        <w:rPr>
          <w:noProof/>
        </w:rPr>
        <w:t xml:space="preserve"> mar-regoli l-ġodda tat-Trattat dwar il-Funzjonament tal-Unjoni Ewropea (TFUE), is-setgħat li jingħataw attwalment lill-Kummissjoni permezz ta’ dak ir-Regolament biex tadotta atti mfassla għall-emendar ta’ elementi mhux essenzjali tar-Regolament, billi jissupplimentawh, skont il-proċedura regolatorja bi skrutinju, jenħtieġ li jingħataw permezz tas-setgħat għall-adozzjoni ta’ atti delegati.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ta’ politika eżistenti fil-qasam ta’ politika</w:t>
      </w:r>
    </w:p>
    <w:p>
      <w:pPr>
        <w:rPr>
          <w:noProof/>
          <w:u w:color="000000"/>
          <w:bdr w:val="nil"/>
        </w:rPr>
      </w:pPr>
      <w:r>
        <w:rPr>
          <w:noProof/>
        </w:rPr>
        <w:t>Din il-proposta tista’ tinkorpora tipoloġiji fir-Regolament NUTS li huma marbutin ma’ diversi oqsma tal-istatistika, bħal kontijiet reġjonali, is-suq tax-xogħol, l-iżvilupp rurali, l-agrikoltura, it-turiżmu, il-politika marittima u aktar. Dan jippermetti l-aggregazzjoni tad-dejta skont tipoloġiji ċari: pereżempju se jkun possibbli li jsir paragun tal-PDG fiż-żoni rurali meta mqabbel maż-żoni urbani, tal-iljieli turistiċi mqattgħin f’żoni kostali meta mqabbel ma’ żoni mhux kostali u tal-impjiegi/tal-qgħad fir-reġjuni skont il-grad ta’ urbanizzazzjoni u ħafna aktar.</w:t>
      </w:r>
    </w:p>
    <w:p>
      <w:pPr>
        <w:rPr>
          <w:noProof/>
          <w:u w:color="000000"/>
          <w:bdr w:val="nil"/>
        </w:rPr>
      </w:pPr>
      <w:r>
        <w:rPr>
          <w:noProof/>
        </w:rPr>
        <w:t>Kunċetti bħall-grad ta’ urbanizzazzjoni jistgħu jintużaw ukoll biex jipprovdu d-dejta lin-NU dwar iż-żoni urbani u rurali.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ma'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It-tipoloġiji territorjali għandhom impatt kbir fuq il-politiki reġjonali skont l-għanijiet globali tal-Inizjattiva tal-Ewropa 2020</w:t>
      </w:r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3"/>
      </w:r>
      <w:r>
        <w:rPr>
          <w:noProof/>
          <w:vertAlign w:val="superscript"/>
        </w:rPr>
        <w:t>)</w:t>
      </w:r>
      <w:r>
        <w:rPr>
          <w:noProof/>
        </w:rPr>
        <w:t xml:space="preserve">. Pereżempju, il-politika ta’ koeżjoni tal-UE timmira li tnaqqas id-differenzi bejn ir-reġjuni tal-UE u biex li tippromwovi t-tkabbir, l-impjiegi u l-iżvilupp sostenibbli fir-reġjuni u fiż-żoni żvantaġġati. Matul l-aħħar ftit snin, kien hemm enfasi ikbar fuq interventi ta’ politika bbażati fuq l-evidenza u approċċi territorjali aktar integrati li jirriflettu d-diversità tar-reġjuni tal-UE, pereżempju f’termini ta’ impjiegi, demografija, faqar, edukazzjoni jew attività ekonomika. L-analiżijiet tal-politiki reġjonali jenfasizzaw il-ħtieġa li ssir investigazzjoni dwar id-differenzi sinifikanti bejn iż-żoni urbani u rurali, li mhumiex uniformi fl-Istati Membri kollha (ara, pereżempju, </w:t>
      </w:r>
      <w:hyperlink r:id="rId14">
        <w:r>
          <w:rPr>
            <w:noProof/>
          </w:rPr>
          <w:t>is-Sitt rapport dwar il-koeżjoni ekonomika, soċjali u territorjali</w:t>
        </w:r>
      </w:hyperlink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4"/>
      </w:r>
      <w:r>
        <w:rPr>
          <w:noProof/>
          <w:vertAlign w:val="superscript"/>
        </w:rPr>
        <w:t>)</w:t>
      </w:r>
      <w:r>
        <w:rPr>
          <w:noProof/>
        </w:rPr>
        <w:t>). Il-politika ta’ koeżjoni 2014-2020 tenfasizza l-istrateġiji ta’ żvilupp territorjali li jiffukaw fuq iż-żoni urbani u rurali, iżda anke dawk kostali. Il-prinċipji tal-Politika ta’ Koeżjoni 2014-2020 stabbiliti fil-</w:t>
      </w:r>
      <w:hyperlink r:id="rId15">
        <w:r>
          <w:rPr>
            <w:noProof/>
          </w:rPr>
          <w:t>Qafas Strateġiku Komuni</w:t>
        </w:r>
      </w:hyperlink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5"/>
      </w:r>
      <w:r>
        <w:rPr>
          <w:noProof/>
          <w:vertAlign w:val="superscript"/>
        </w:rPr>
        <w:t>)</w:t>
      </w:r>
      <w:r>
        <w:rPr>
          <w:noProof/>
        </w:rPr>
        <w:t xml:space="preserve"> jenfasizzaw li l-approċċi għall-promozzjoni ta’ tkabbir intelliġenti, sostenibbli u inklużiv iridu jirrifletti r-rwol tal-bliet u taż-żoni urbani, dawk rurali u kostali u jikkunsidraw ukoll ir-rabtiet bejn iż-żoni urbani u dawk rurali. Il-grad tat-tipoloġija tal-urbanizzazzjoni reċentement intuża fir-</w:t>
      </w:r>
      <w:hyperlink r:id="rId16">
        <w:r>
          <w:rPr>
            <w:noProof/>
          </w:rPr>
          <w:t>Regolament (UE) Nru 522/2014</w:t>
        </w:r>
      </w:hyperlink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6"/>
      </w:r>
      <w:r>
        <w:rPr>
          <w:noProof/>
          <w:vertAlign w:val="superscript"/>
        </w:rPr>
        <w:t>)</w:t>
      </w:r>
      <w:r>
        <w:rPr>
          <w:noProof/>
        </w:rPr>
        <w:t xml:space="preserve"> biex tiġi stabbilita l-eliġibbiltà għall-appoġġ mill-Fond Ewropew għall-Iżvilupp Reġjonali biex jitwettqu azzjonijiet innovattivi fil-bliet jew l-irħula u s-subborgi.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Il-bażi ġuridika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Il-bażi ġuridika għall-istatistika Ewropea tinsab fl-Artikolu 338 tat-TFUE. Il-Parlament Ewropew u l-Kunsill, filwaqt li jaġixxu skont il-proċedura leġiżlattiva ordinarja, jadottaw miżuri għall-produzzjoni tal-istatistika, meta dan ikun meħtieġ biex l-Unjoni tkun tista’ twettaq ir-rwol tagħha.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Is-sussidjarjetà (għall-kompetenza mhux esklużiva)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Il-prinċipju tas-sussidjarjetà japplika sakemm il-proposta ma taqax taħt il-kompetenza esklużiva tal-UE. Jekk l-Istati Membri jaġixxu b’mod indipendenti, l-għanijiet tal-azzjoni proposta, jiġifieri l-introduzzjoni tal-komponenti meħtieġa fir-rigward tat-tipoloġiji territorjali, ma jistgħux jinkisbu b’mod suffiċjenti. L-azzjoni tista’ tittieħed b’mod aktar effiċjenti fil-livell tal-UE, abbażi ta’ att legali tal-UE, li jistabbilixxi, jikkoordina u jżomm il-klassifikazzjonijiet tal-istatistika armonizzati, inklużi t-tipoloġiji territorjali għall-finijiet tal-istatistika fil-livell tal-UE.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Il-proporzjonalità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L-inizjattiva tipproponi li r-Regolament NUTS attwali ma jiġix emendat aktar milli hemm bżonn. Minħabba l-ħtieġa għal rikonoxximent formali tat-tipoloġiji territorjali għall-istatistika u għat-tfassil tal-politika, l-għan huwa li jiġi emendat ir-Regolament NUTS biex jiġu inkorporati t-tipoloġiji territorjali fil-qafas legali mingħajr ma jiġu mmodifikati l-prinċipji fundamentali jew l-istruttura u d-definizzjonijiet tar-reġjuni NUTS, li huma aċċettati u ppruvati sew u li qatt ma ġew ikkontestati.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Huwa meqjus li din l-għażla hija l-aktar approċċ ibbilanċjat li jirrikonċilja l-bżonn li tittieħed azzjoni mal-intenzjoni li jiġi limitat il-kamp ta’ applikazzjoni tal-inizjattiva għall-minimu meħtieġ biex jinkisbu l-għanijiet. Billi din hija kodifikazzjoni legali tat-tipoloġiji eżistenti u tal-komponenti tagħhom u l-Kummissjoni (Eurostat) se timmaniġġja l-assenjazzjoni tat-tipoloġiji, dan jinvolvi biss spejjeż addizzjonali negliġibbli għal istituti nazzjonali tal-istatistika u l-ebda spiża għan-negozji jew iċ-ċittadini.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L-istrument li qed jiġi propost: regolament.</w:t>
      </w:r>
    </w:p>
    <w:p>
      <w:pPr>
        <w:rPr>
          <w:noProof/>
          <w:szCs w:val="24"/>
        </w:rPr>
      </w:pPr>
      <w:r>
        <w:rPr>
          <w:noProof/>
        </w:rPr>
        <w:t>B’kunsiderazzjoni għall-għanijiet u l-kontenut tal-proposta u l-fatt li din hija proposta li temenda Regolament eżistenti, regolament huwa l-aktar strument adattat.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L-evalwazzjonijiet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>
      <w:pPr>
        <w:rPr>
          <w:noProof/>
        </w:rPr>
      </w:pPr>
      <w:r>
        <w:rPr>
          <w:noProof/>
        </w:rPr>
        <w:t>Il-leġiżlazzjoni eżistenti s’issa għadha ma tinkludix it-tipoloġiji, u għalhekk huwa diffiċli ħafna li jiġu stabbiliti u żgurati kundizzjonijiet uniformi għal applikazzjoni armonizzata.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Il-konsultazzjonijiet mal-partijiet ikkonċernati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Il-partijiet ikkonċernati affettwati minn din il-proposta prinċipalment huma l-uffiċċji nazzjonali tal-istatistika tal-Istati Membri. Il-Kummissjoni (Eurostat) involviet l-esperti tagħha mill-bidu nett u straħet immens fuq ir-reazzjonijiet u l-għarfien espert tagħhom waqt l-abbozzar tal-proposta.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Billi huwa l-utent prinċipali tal-politika tad-dejta reġjonali, id-Direttorat Ġenerali tal-Kummissjoni għall-Politika Reġjonali u Urbana (id-DĠ REGIO) ġie kkonsultat diversi drabi u pprovda wkoll reazzjonijiet siewja.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Fid-dawl tan-natura teknika ta’ din il-proposta, ġie meqjus li ma kienx hemm bżonn li jiġu involuti korpi oħra.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Il-ġbir u l-użu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Il-kunċetti tat-tipoloġiji ġew żviluppati b’kollaborazzjoni mill-qrib mal-Eurostat, mad-DĠ REGIO u maċ-Ċentru Konġunt tar-Riċerka, li taw kontribut tekniku ewlieni, u l-OECD, billi nġabru flimkien għadd ta’ kunċetti li kienu diġà jeżistu u l-metodoloġiji differenti tagħhom.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L-OECD tuża tipoloġiji armonizzati għall-finijiet tal-istatistika u dawk analitiċi wkoll.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Il-valutazzjoni tal-impatt</w:t>
      </w:r>
    </w:p>
    <w:p>
      <w:pPr>
        <w:autoSpaceDE w:val="0"/>
        <w:autoSpaceDN w:val="0"/>
        <w:adjustRightInd w:val="0"/>
        <w:spacing w:after="0"/>
        <w:rPr>
          <w:noProof/>
          <w:color w:val="000000"/>
          <w:szCs w:val="24"/>
        </w:rPr>
      </w:pPr>
      <w:r>
        <w:rPr>
          <w:noProof/>
          <w:color w:val="000000"/>
        </w:rPr>
        <w:t>Ma twettqet l-ebda valutazzjoni tal-impatt minħabba li l-proposta ma għandhiex konsegwenzi ekonomiċi, soċjali u ambjentali sinifikanti u ma timponi ebda piż addizzjonali fuq in-negozji jew iċ-ċittadini. L-inizjattiva għandha l-għan ewlieni li tikkumplimenta r-Regolament NUTS attwali bl-elementi meħtieġa biex jiġu kkunsidrati l-iżviluppi reċenti fil-klassifikazzjonijiet territorjali għall-finijiet tal-istatistika.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L-idoneità regolatorja u s-simplifikazzjoni</w:t>
      </w:r>
    </w:p>
    <w:p>
      <w:pPr>
        <w:rPr>
          <w:noProof/>
        </w:rPr>
      </w:pPr>
      <w:r>
        <w:rPr>
          <w:noProof/>
        </w:rPr>
        <w:t>B’riżultat tal-kodifikazzjoni tat-tipoloġiji territorjali fir-Regolament NUTS mhux se jkun hemm bżonn li dawn it-tipoloġiji jiġu ddefiniti jew spjegati f’atti speċifiċi legali oħra, pereżempju atti relatati mal-bliet jew l-iżvilupp rurali. Dan jissimplifika u jarmonizza l-leġiżlazzjoni relatata mal-iżvilupp urban u rurali u mal-politika marittima.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Id-drittijiet fundamentali</w:t>
      </w:r>
    </w:p>
    <w:p>
      <w:pPr>
        <w:rPr>
          <w:noProof/>
        </w:rPr>
      </w:pPr>
      <w:r>
        <w:rPr>
          <w:noProof/>
        </w:rPr>
        <w:t>Din il-proposta ma taffettwax id-drittijiet fundamentali.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L-IMPLIKAZZJONIJIET BAĠITARJI</w:t>
      </w:r>
    </w:p>
    <w:p>
      <w:pPr>
        <w:rPr>
          <w:noProof/>
        </w:rPr>
      </w:pPr>
      <w:r>
        <w:rPr>
          <w:noProof/>
        </w:rPr>
        <w:t>Il-proposta ma għandhiex implikazzjonijiet fuq il-baġit tal-UE.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Il-pjanijiet tal-implimentazzjoni u l-arranġamenti tal-monitoraġġ, l-evalwazzjoni u r-rappurtar</w:t>
      </w:r>
    </w:p>
    <w:p>
      <w:pPr>
        <w:rPr>
          <w:noProof/>
          <w:u w:color="000000"/>
          <w:bdr w:val="nil"/>
        </w:rPr>
      </w:pPr>
      <w:r>
        <w:rPr>
          <w:noProof/>
        </w:rPr>
        <w:t>Billi, minkejja li mhumiex legalment rikonoxxuti, it-tipoloġiji diġà qed jintużaw, m’hemmx pjanijiet li jiġu mfassla xi pjanijiet ta’ implimentazzjoni jew xi dispożizzjonijiet ta’ monitoraġġ partikolari. Fil-prinċipju, il-proċedura li tistabbilixxi u tippubblika t-tipoloġiji hija din li ġejja.</w:t>
      </w:r>
    </w:p>
    <w:p>
      <w:pPr>
        <w:rPr>
          <w:noProof/>
          <w:u w:color="000000"/>
          <w:bdr w:val="nil"/>
        </w:rPr>
      </w:pPr>
      <w:r>
        <w:rPr>
          <w:noProof/>
        </w:rPr>
        <w:t xml:space="preserve">Il-Kummissjoni (Eurostat) tagħmel il-kalkoli meħtieġa biex jiġu assenjati t-tipoloġiji meta ssir disponibbli dejta ġdida dwar id-distribuzzjoni u d-densità tal-popolazzjoni fiċ-ċelloli ta’ grilja. Dan huwa normalment il-każ wara ċensiment. Kull sena jistgħu jsiru għall-Istati Membri kkonċernati, aġġornamenti iżgħar biex jinqabdu l-bidliet fl-istruttura lokali jew reġjonali tal-Istati Membri. </w:t>
      </w:r>
    </w:p>
    <w:p>
      <w:pPr>
        <w:rPr>
          <w:noProof/>
          <w:u w:color="000000"/>
          <w:bdr w:val="nil"/>
        </w:rPr>
      </w:pPr>
      <w:r>
        <w:rPr>
          <w:noProof/>
        </w:rPr>
        <w:t>Wara li l-Kummissjoni (Eurostat) tkun wettqet dawn il-kalkoli inizjali, taqsam ir-riżultati mal-Istati Membri. Huma jkunu jistgħu jivverifikawhom jew jimmodifikawhom abbażi taċ-ċirkostanzi ġeografiċi partikolari, pereżempju.</w:t>
      </w:r>
    </w:p>
    <w:p>
      <w:pPr>
        <w:rPr>
          <w:noProof/>
          <w:u w:color="000000"/>
          <w:bdr w:val="nil"/>
        </w:rPr>
      </w:pPr>
      <w:r>
        <w:rPr>
          <w:noProof/>
        </w:rPr>
        <w:t>Wara li taqbel dwar ir-riżultati mal-Istati Membri, il-Kummissjoni (Eurostat) tippubblikahom fuq siti web apposta.</w:t>
      </w:r>
    </w:p>
    <w:p>
      <w:pPr>
        <w:rPr>
          <w:noProof/>
          <w:u w:color="000000"/>
          <w:bdr w:val="nil"/>
        </w:rPr>
      </w:pPr>
      <w:r>
        <w:rPr>
          <w:noProof/>
        </w:rPr>
        <w:t>Jinħtieġ li jiġu stabbiliti kundizzjonijiet uniformi biex it-tipoloġiji jkunu armonizzati. Il-Kummissjoni għandha tingħata s-setgħa li tagħmel dan għall-implimentazzjoni tat-tipoloġiji permezz ta’ atti ta’ implimentazzjoni.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L-ispjegazzjoni fid-dettall tad-dispożizzjonijiet speċifiċi tal-proposta</w:t>
      </w:r>
    </w:p>
    <w:p>
      <w:pPr>
        <w:rPr>
          <w:noProof/>
          <w:u w:color="000000"/>
          <w:bdr w:val="nil"/>
        </w:rPr>
      </w:pPr>
      <w:r>
        <w:rPr>
          <w:noProof/>
        </w:rPr>
        <w:t xml:space="preserve">Peress li l-proposta ma tbiddilx is-sustanza ġeneralment aċċettata u ppruvata sew tar-Regolament NUTS, hija temenda dak li hemm bżonn biss biex tilħaq l-għanijiet tagħha. </w:t>
      </w:r>
    </w:p>
    <w:p>
      <w:pPr>
        <w:rPr>
          <w:noProof/>
          <w:u w:color="000000"/>
          <w:bdr w:val="nil"/>
        </w:rPr>
      </w:pPr>
      <w:r>
        <w:rPr>
          <w:noProof/>
        </w:rPr>
        <w:t>Qed jiġu proposti l-emendar jew is-sostituzzjoni ta’wħud mid-dispożizzjonijiet tar-Regolament (KE) Nru 1059/2003 għar-raġunijiet li ġejjin.</w:t>
      </w:r>
    </w:p>
    <w:p>
      <w:pPr>
        <w:rPr>
          <w:noProof/>
          <w:u w:color="000000"/>
          <w:bdr w:val="nil"/>
        </w:rPr>
      </w:pPr>
      <w:r>
        <w:rPr>
          <w:noProof/>
        </w:rPr>
        <w:t>- L-Artikolu 1</w:t>
      </w:r>
    </w:p>
    <w:p>
      <w:pPr>
        <w:rPr>
          <w:noProof/>
          <w:u w:color="000000"/>
          <w:bdr w:val="nil"/>
        </w:rPr>
      </w:pPr>
      <w:r>
        <w:rPr>
          <w:noProof/>
        </w:rPr>
        <w:t>L-Artikolu 1 il-ġdid iwessa’ s-suġġett tar-Regolament NUTS biż-żieda tat-tipoloġiji territorjali u l-grilji tal-istatistika meħtieġa biex jikkalkolawhom abbażi tad-distribuzzjoni tal-popolazzjoni u d-densità taċ-ċelluli ta’ grilja individwali. Tiċċara wkoll ir-rwol u t-tikkettar tal-unitajiet amministrattivi lokali (local administrative units - LAU) minħabba li t-tikkettar tagħhom huwa inkonsistenti fir-Regolament NUTS attwali (bħal “komponenti tal-NUTS” u “unitajiet amministrattivi iżgħar”).</w:t>
      </w:r>
    </w:p>
    <w:p>
      <w:pPr>
        <w:rPr>
          <w:noProof/>
          <w:u w:color="000000"/>
          <w:bdr w:val="nil"/>
        </w:rPr>
      </w:pPr>
      <w:r>
        <w:rPr>
          <w:noProof/>
        </w:rPr>
        <w:t>- L-Artikolu 2</w:t>
      </w:r>
    </w:p>
    <w:p>
      <w:pPr>
        <w:rPr>
          <w:noProof/>
          <w:u w:color="000000"/>
          <w:bdr w:val="nil"/>
        </w:rPr>
      </w:pPr>
      <w:r>
        <w:rPr>
          <w:noProof/>
        </w:rPr>
        <w:t>Fl-Artikolu 2, jitħassar il-paragrafu 5. Dan jirreferi għal komunikazzjoni li kellha ssir sal-2005, sentejn wara li daħal fis-seħħ ir-Regolament NUTS oriġinali fl-2003. U għalhekk huwa obsolet.</w:t>
      </w:r>
    </w:p>
    <w:p>
      <w:pPr>
        <w:rPr>
          <w:noProof/>
          <w:u w:color="000000"/>
          <w:bdr w:val="nil"/>
        </w:rPr>
      </w:pPr>
      <w:r>
        <w:rPr>
          <w:noProof/>
        </w:rPr>
        <w:t>- L-Artikolu 3</w:t>
      </w:r>
    </w:p>
    <w:p>
      <w:pPr>
        <w:rPr>
          <w:noProof/>
          <w:u w:color="000000"/>
          <w:bdr w:val="nil"/>
        </w:rPr>
      </w:pPr>
      <w:r>
        <w:rPr>
          <w:noProof/>
        </w:rPr>
        <w:t>Fl-Artikolu 3, il-paragrafu 4 qed jiġi adattat għal proċeduri istituzzjonali l-ġodda introdotti bit-Trattat ta’ Lisbona (bil-bidla mill-proċedura regolatorja bi skrutinju għall-atti delegati).</w:t>
      </w:r>
    </w:p>
    <w:p>
      <w:pPr>
        <w:rPr>
          <w:noProof/>
          <w:u w:color="000000"/>
          <w:bdr w:val="nil"/>
        </w:rPr>
      </w:pPr>
      <w:r>
        <w:rPr>
          <w:noProof/>
        </w:rPr>
        <w:t>Fil-paragrafu 5, l-aħħar sentenza titħassar peress li l-attribuzzjoni tas-setgħa lill-Kummissjoni f’dak ir-rigward m’għadhiex aktar rilevanti.</w:t>
      </w:r>
    </w:p>
    <w:p>
      <w:pPr>
        <w:rPr>
          <w:noProof/>
          <w:u w:color="000000"/>
          <w:bdr w:val="nil"/>
        </w:rPr>
      </w:pPr>
      <w:r>
        <w:rPr>
          <w:noProof/>
        </w:rPr>
        <w:t>- L-Artikolu 4</w:t>
      </w:r>
    </w:p>
    <w:p>
      <w:pPr>
        <w:rPr>
          <w:noProof/>
          <w:u w:color="000000"/>
          <w:bdr w:val="nil"/>
        </w:rPr>
      </w:pPr>
      <w:r>
        <w:rPr>
          <w:noProof/>
        </w:rPr>
        <w:t>L-Artikolu 4 jistabbilixxi l-LAU. Id-dispożizzjonijiet dwar ir-rekwiżiti tat-trażmissjoni qed jiġu iċċarati u ssimplifikati wkoll. Dawn qabel ma kinux qed jinftehmu b’mod koerenti.</w:t>
      </w:r>
    </w:p>
    <w:p>
      <w:pPr>
        <w:rPr>
          <w:noProof/>
          <w:u w:color="000000"/>
          <w:bdr w:val="nil"/>
        </w:rPr>
      </w:pPr>
      <w:r>
        <w:rPr>
          <w:noProof/>
        </w:rPr>
        <w:t>Fl-aħħar nett, il-Kummissjoni qed tingħata s-setgħa li tadotta atti delegati ħalli tkun tista’ tadatta l-lista tal-LAU fl-Anness III tar-Regolament NUTS.</w:t>
      </w:r>
    </w:p>
    <w:p>
      <w:pPr>
        <w:rPr>
          <w:noProof/>
          <w:u w:color="000000"/>
          <w:bdr w:val="nil"/>
        </w:rPr>
      </w:pPr>
      <w:r>
        <w:rPr>
          <w:noProof/>
        </w:rPr>
        <w:t>- L-Artikolu 4a</w:t>
      </w:r>
    </w:p>
    <w:p>
      <w:pPr>
        <w:rPr>
          <w:noProof/>
          <w:u w:color="000000"/>
          <w:bdr w:val="nil"/>
        </w:rPr>
      </w:pPr>
      <w:r>
        <w:rPr>
          <w:noProof/>
        </w:rPr>
        <w:t>Qed jiżdied l-Artikolu 4a biex jiġu introdotti l-grilji tal-istatistika li l-Kummissjoni (Eurostat) se żżomm u tippubblika, bħala bażi għall-kalkolu tat-tipoloġiji territorjali għar-reġjuni u għaż-żoni.</w:t>
      </w:r>
    </w:p>
    <w:p>
      <w:pPr>
        <w:rPr>
          <w:noProof/>
          <w:u w:color="000000"/>
          <w:bdr w:val="nil"/>
        </w:rPr>
      </w:pPr>
      <w:r>
        <w:rPr>
          <w:noProof/>
        </w:rPr>
        <w:t>- L-Artikolu 4b</w:t>
      </w:r>
    </w:p>
    <w:p>
      <w:pPr>
        <w:rPr>
          <w:noProof/>
          <w:u w:color="000000"/>
          <w:bdr w:val="nil"/>
        </w:rPr>
      </w:pPr>
      <w:r>
        <w:rPr>
          <w:noProof/>
        </w:rPr>
        <w:t>L-Artikolu 4b il-ġdid jintroduċi t-tipoloġiji nfushom u jagħti lill-Kummissjoni s-setgħa ta’ implimentazzjoni biex tistabbilixxi kundizzjonijiet uniformi għall-applikazzjoni armonizzata tagħhom.</w:t>
      </w:r>
    </w:p>
    <w:p>
      <w:pPr>
        <w:rPr>
          <w:noProof/>
          <w:u w:color="000000"/>
          <w:bdr w:val="nil"/>
        </w:rPr>
      </w:pPr>
      <w:r>
        <w:rPr>
          <w:noProof/>
        </w:rPr>
        <w:t>- L-Artikolu 5</w:t>
      </w:r>
    </w:p>
    <w:p>
      <w:pPr>
        <w:rPr>
          <w:noProof/>
          <w:u w:color="000000"/>
          <w:bdr w:val="nil"/>
        </w:rPr>
      </w:pPr>
      <w:r>
        <w:rPr>
          <w:noProof/>
        </w:rPr>
        <w:t>Fl-Artikolu 5 il-ġdid, il-kliem u l-frażijiet ġew iċċarati u ssimplifikati. Il-Kummissjoni qed tingħata s-setgħa li tadotta atti delegati biex tadatta l-klassifikazzjoni NUTS fl-Anness I tar-Regolament NUTS.</w:t>
      </w:r>
    </w:p>
    <w:p>
      <w:pPr>
        <w:rPr>
          <w:noProof/>
          <w:u w:color="000000"/>
          <w:bdr w:val="nil"/>
        </w:rPr>
      </w:pPr>
      <w:r>
        <w:rPr>
          <w:noProof/>
        </w:rPr>
        <w:t>- L-Artikoli 7 u 7a</w:t>
      </w:r>
    </w:p>
    <w:p>
      <w:pPr>
        <w:rPr>
          <w:noProof/>
          <w:u w:color="000000"/>
          <w:bdr w:val="nil"/>
        </w:rPr>
      </w:pPr>
      <w:r>
        <w:rPr>
          <w:noProof/>
        </w:rPr>
        <w:t>L-Artikolu 7 huwa aġġornat biex jirreferi għall-kumitat kompetenti li jassisti lill-Kummissjoni meta tadotta atti ta’ implimentazzjoni, filwaqt li l-Artikolu 7a il-ġdid jirrigwarda l-eżerċizzju ta’ delega b’konformità mal-Ftehim Interistituzzjonali dwar it-Tfassil Aħjar tal-Liġijiet.</w:t>
      </w:r>
    </w:p>
    <w:p>
      <w:pPr>
        <w:rPr>
          <w:noProof/>
          <w:u w:color="000000"/>
          <w:bdr w:val="nil"/>
        </w:rPr>
      </w:pPr>
      <w:r>
        <w:rPr>
          <w:noProof/>
        </w:rPr>
        <w:t>- L-Artikolu 8</w:t>
      </w:r>
    </w:p>
    <w:p>
      <w:pPr>
        <w:rPr>
          <w:noProof/>
          <w:u w:color="000000"/>
          <w:bdr w:val="nil"/>
        </w:rPr>
      </w:pPr>
      <w:r>
        <w:rPr>
          <w:noProof/>
        </w:rPr>
        <w:t>L-Artikolu 8 jitħassar. Dan kien jistipula rapport dwar l-implimentazzjoni tar-Regolament NUTS li kellu jsir sal-2006, tliet snin wara d-dħul fis-seħħ tar-Regolament NUTS l-oriġinali fl-2003. U għalhekk huwa obsolet.</w:t>
      </w:r>
    </w:p>
    <w:p>
      <w:pPr>
        <w:rPr>
          <w:noProof/>
          <w:u w:color="000000"/>
          <w:bdr w:val="nil"/>
        </w:rPr>
        <w:sectPr>
          <w:footerReference w:type="default" r:id="rId17"/>
          <w:footerReference w:type="first" r:id="rId18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2016/0393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(KE) Nru 1059/2003 fir-rigward tat-tipoloġiji territorjali (Tercet)</w:t>
      </w:r>
    </w:p>
    <w:p>
      <w:pPr>
        <w:pStyle w:val="IntrtEEE"/>
        <w:rPr>
          <w:noProof/>
        </w:rPr>
      </w:pPr>
      <w:r>
        <w:rPr>
          <w:noProof/>
        </w:rPr>
        <w:t>(Test b'rilevanza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b'mod partikolari l-Artikolu 338(1)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ġie trażmess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7"/>
      </w:r>
      <w:r>
        <w:rPr>
          <w:noProof/>
          <w:vertAlign w:val="superscript"/>
        </w:rPr>
        <w:t>)</w:t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8"/>
      </w:r>
      <w:r>
        <w:rPr>
          <w:noProof/>
          <w:vertAlign w:val="superscript"/>
        </w:rPr>
        <w:t>)</w:t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Waqt li aġixxew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Ir-Regolament (KE) Nru 1059/2003 tal-Parlament Ewropew u tal-Kunsill</w:t>
      </w:r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9"/>
      </w:r>
      <w:r>
        <w:rPr>
          <w:noProof/>
          <w:vertAlign w:val="superscript"/>
        </w:rPr>
        <w:t>)</w:t>
      </w:r>
      <w:r>
        <w:rPr>
          <w:noProof/>
        </w:rPr>
        <w:t xml:space="preserve"> tas-26 ta’ Mejju 2003 jistabbilixxi klassifikazzjoni komuni ta' unitajiet territorjali għall-istatistika (In-nomenklatura tal-unitajiet territorjali għall-istatistika NUTS) sabiex ikunu jistgħu jsiru l-ġbir, il-kumpilazzjoni u t-tixrid tal-istatistika reġjonali armonizzata fl-UE.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Biex tfassal politika mmirata aħjar, il-Kummissjoni, b’kollaborazzjoni mal-OECD, iddefinixxiet għadd ta’ tipoloġiji territorjali biex tikklassifika l-unitajiet tal-istatistika stabbiliti skont ir-Regolament NUTS.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Is-Sistema Ewropea tal-Istatistika (ESS) diġà tuża dawk it-tipoloġiji, b’mod partikolari l-grad ta’ urbanizzazzjoni, inkluż id-definizzjoni tal-bliet sabiex, pereżempju, tiġi stabbilita l-eliġibbiltà għall-appoġġ mill-Fond Ewropew għall-Iżvilupp Reġjonali biex jitwettqu l-azzjonijiet innovattivi fil-bliet jew fl-irħula u fis-subborgi</w:t>
      </w:r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10"/>
      </w:r>
      <w:r>
        <w:rPr>
          <w:noProof/>
          <w:vertAlign w:val="superscript"/>
        </w:rPr>
        <w:t>)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Il-kodifikazzjoni tat-tipoloġiji hija meħtieġa sabiex jiġu stabbiliti definizzjonijiet u kundizzjonijiet li mhumiex ambigwi għat-tipi territorjali b’mod li jiggarantixxi applikazzjoni armonizzata, trasparenti u stabbli tat-tipoloġiji Dan għandu jkun ta’ appoġġ għall-kumpilazzjoni u t-tixrid tal-istatistika Ewropea.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Se tiġi applikata sistema ta’ grilji tal-istatistika biex jiġu kkalkolati u attribwiti t-tipi territorjali għar-reġjuni u ż-żoni inkwistjoni, peress li dawn jiddependu fuq id-distribuzzjoni u d-densità tal-popolazzjoni fil-ċelluli ta’ grilja b’daqs ta’ kilometru kwadru.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Għadd ta’ aspetti minuri tal-unitajiet amministrattivi lokali (LAU) jinħtieġ li jiġu ċċarati wkoll biex tiġi ssimplifikata t-terminoloġija u l-mekkaniżmu tat-twassil tal-listi tal-LAU mill-Istati Membri lill-Kummissjoni (Eurostat).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Sabiex tadatta għall-iżviluppi korrispondenti fl-Istati Membri, jinħtieġ li s-setgħa li jiġu adottati l-atti skont l-Artikolu 290 tat-Trattat tiġi ddelegata lill-Kummissjoni fir-rigward tal-emendar tal-klassifikazzjoni NUTS fl-Anness I, tal-lista tal-unitajiet amministrattivi eżistenti fl-Anness II u l-lista tal-unitajiet amministrattivi lokali fl-Anness III tar-Regolament (KE) Nru 1059/2003. Hija ta' importanza partikolari li l-Kummissjoni twettaq konsultazzjonijiet xierqa matul il-ħidma ta' tħejjija tagħha, inkluż fil-livell tal-esperti, u li dawk il-konsultazzjonijiet jitwettqu skont il-prinċipji stabbiliti fil-Ftehim Interistituzzjonali dwar it-Tfassil Aħjar tal-Liġijiet tat-13 ta' April 2016</w:t>
      </w:r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11"/>
      </w:r>
      <w:r>
        <w:rPr>
          <w:noProof/>
          <w:vertAlign w:val="superscript"/>
        </w:rPr>
        <w:t>)</w:t>
      </w:r>
      <w:r>
        <w:rPr>
          <w:noProof/>
        </w:rPr>
        <w:t>. B'mod partikolari, biex tiġi żgurata parteċipazzjoni ugwali fit-tħejjija ta' atti delegati, il-Parlament Ewropew u l-Kunsill jirċievu d-dokumenti kollha fl-istess ħin li jirċevuhom l-esperti tal-Istati Membri, u l-esperti tagħhom ikollhom aċċess b'mod sistematiku għal-laqgħat tal-gruppi tal-esperti tal-Kummissjoni li jittrattaw it-tħejjija ta' atti delegati.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Sabiex jiġu żgurati kundizzjonijiet uniformi għall-implimentazzjoni ta’ dan ir-Regolament, is-setgħat ta’ implimentazzjoni jinħtieġ li jingħataw lill-Kummissjoni fir-rigward tal-applikazzjoni tat-tipoloġiji territorjali u s-serje taż-żmien li l-Istati Membri għandhom jagħtu lill-Kummissjoni f’każ ta’ emendi fil-klassifikazzjoni NUTS. Dawk is-setgħat jinħtieġ li jiġu eżerċitati b'konformità mar-Regolament (UE) Nru 182/2011 tal-Parlament Ewropew u tal-Kunsill</w:t>
      </w:r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12"/>
      </w:r>
      <w:r>
        <w:rPr>
          <w:noProof/>
          <w:vertAlign w:val="superscript"/>
        </w:rPr>
        <w:t>)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Ir-Regolament (KE) Nru 1059/2003 għandu għalhekk jiġi emendat skont dan,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Ir-Regolament (KE) Nru 1059/2003 huwa emendat kif ġej:</w:t>
      </w:r>
    </w:p>
    <w:p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L-Artikolu 1 huwa sostitwit b'dan li ġej:</w:t>
      </w:r>
    </w:p>
    <w:p>
      <w:pPr>
        <w:pStyle w:val="Text1"/>
        <w:rPr>
          <w:noProof/>
        </w:rPr>
      </w:pPr>
      <w:r>
        <w:rPr>
          <w:i/>
          <w:noProof/>
        </w:rPr>
        <w:t>“Artikolu 1</w:t>
      </w:r>
    </w:p>
    <w:p>
      <w:pPr>
        <w:pStyle w:val="Text1"/>
        <w:rPr>
          <w:b/>
          <w:noProof/>
        </w:rPr>
      </w:pPr>
      <w:r>
        <w:rPr>
          <w:b/>
          <w:noProof/>
        </w:rPr>
        <w:t>Suġġett</w:t>
      </w:r>
    </w:p>
    <w:p>
      <w:pPr>
        <w:pStyle w:val="Text1"/>
        <w:rPr>
          <w:noProof/>
        </w:rPr>
      </w:pPr>
      <w:r>
        <w:rPr>
          <w:noProof/>
        </w:rPr>
        <w:t>1. Dan ir-Regolament jistabbilixxi klassifikazzjoni komuni ta' unitajiet territorjali għall-istatistika (NUTS), biex ikunu jistgħu jsiru l-ġbir, il-kumpilazzjoni u t-tixrid ta’ statistika armonizzata fil-livelli territorjali differenti tal-UE.</w:t>
      </w:r>
    </w:p>
    <w:p>
      <w:pPr>
        <w:pStyle w:val="Text1"/>
        <w:rPr>
          <w:noProof/>
        </w:rPr>
      </w:pPr>
      <w:r>
        <w:rPr>
          <w:noProof/>
        </w:rPr>
        <w:t>2. Il-klassifikazzjoni NUTS hija stabbilita fl-Anness I.</w:t>
      </w:r>
    </w:p>
    <w:p>
      <w:pPr>
        <w:pStyle w:val="Text1"/>
        <w:rPr>
          <w:noProof/>
        </w:rPr>
      </w:pPr>
      <w:r>
        <w:rPr>
          <w:noProof/>
        </w:rPr>
        <w:t>3. L-unitajiet amministrattivi lokali (LAU), kif imsemmi fl-Artikolu 4, għandhom jikkumplimentaw il-klassifikazzjoni NUTS.</w:t>
      </w:r>
    </w:p>
    <w:p>
      <w:pPr>
        <w:pStyle w:val="Text1"/>
        <w:rPr>
          <w:noProof/>
        </w:rPr>
      </w:pPr>
      <w:r>
        <w:rPr>
          <w:noProof/>
        </w:rPr>
        <w:t>4. Il-grilji tal-istatistika, kif imsemmi fl-Artikolu 4a, għandhom jikkumplimentaw il-klassifikazzjoni NUTS. Dawn għandhom jintużaw sabiex jiġu kkalkulati tipoloġiji territorjali bbażati fuq il-popolazzjoni.</w:t>
      </w:r>
    </w:p>
    <w:p>
      <w:pPr>
        <w:pStyle w:val="Text1"/>
        <w:rPr>
          <w:noProof/>
        </w:rPr>
      </w:pPr>
      <w:r>
        <w:rPr>
          <w:noProof/>
        </w:rPr>
        <w:t>5. It-tipoloġiji territorjali tal-Unjoni, kif imsemmi fl-Artikolu 4b, għandhom jikkumplimentaw il-klassifikazzjoni NUTS billi jattribwixxu tipi għall-unitajiet territorjali.”;</w:t>
      </w:r>
    </w:p>
    <w:p>
      <w:pPr>
        <w:pStyle w:val="Point0number"/>
        <w:rPr>
          <w:noProof/>
        </w:rPr>
      </w:pPr>
      <w:r>
        <w:rPr>
          <w:noProof/>
        </w:rPr>
        <w:t>fl-Artikolu 2, il-paragrafu 5 jitħassar;</w:t>
      </w:r>
    </w:p>
    <w:p>
      <w:pPr>
        <w:pStyle w:val="Point0number"/>
        <w:rPr>
          <w:noProof/>
        </w:rPr>
      </w:pPr>
      <w:r>
        <w:rPr>
          <w:noProof/>
        </w:rPr>
        <w:t>L-Artikolu 3 huwa emendat kif ġej:</w:t>
      </w:r>
    </w:p>
    <w:p>
      <w:pPr>
        <w:pStyle w:val="Point1letter"/>
        <w:rPr>
          <w:noProof/>
        </w:rPr>
      </w:pPr>
      <w:r>
        <w:rPr>
          <w:noProof/>
        </w:rPr>
        <w:t>il-paragrafu 4 jinbidel b'dan li ġej:</w:t>
      </w:r>
    </w:p>
    <w:p>
      <w:pPr>
        <w:pStyle w:val="Text1"/>
        <w:rPr>
          <w:noProof/>
        </w:rPr>
      </w:pPr>
      <w:r>
        <w:rPr>
          <w:noProof/>
        </w:rPr>
        <w:t>“4. L-unitajiet amministrattivi eżistenti li jintużaw għall-klassifikazzjoni NUTS huma stabbiliti fl-Anness II. Il-Kummissjoni għandu jkollha s-setgħa li tadotta atti delegati skont l-Artikolu 7a biex tadatta l-Anness II abbażi tal-iżviluppi korrispondenti fl-Istati Membri.”;</w:t>
      </w:r>
    </w:p>
    <w:p>
      <w:pPr>
        <w:pStyle w:val="Text1"/>
        <w:rPr>
          <w:noProof/>
        </w:rPr>
      </w:pPr>
      <w:r>
        <w:rPr>
          <w:noProof/>
        </w:rPr>
        <w:t>(b)</w:t>
      </w:r>
      <w:r>
        <w:rPr>
          <w:noProof/>
        </w:rPr>
        <w:tab/>
        <w:t>fil-paragrafu 5, it-tielet subparagrafu jinbidel b’dan li ġej:</w:t>
      </w:r>
    </w:p>
    <w:p>
      <w:pPr>
        <w:pStyle w:val="Text1"/>
        <w:rPr>
          <w:noProof/>
        </w:rPr>
      </w:pPr>
      <w:r>
        <w:rPr>
          <w:noProof/>
        </w:rPr>
        <w:t>“Xi unitajiet mhux amministrattivi jistgħu madankollu jiddevjaw minn dawn l-egħtiebi minħabba ċirkostanzi ġeografiċi, soċjoekonomiċi, storiċi, kulturali jew ambjentali partikolari, speċjalment fil-gżejjer u fir-reġjuni mbiegħda.”;</w:t>
      </w:r>
    </w:p>
    <w:p>
      <w:pPr>
        <w:pStyle w:val="Point0number"/>
        <w:rPr>
          <w:noProof/>
        </w:rPr>
      </w:pPr>
      <w:r>
        <w:rPr>
          <w:noProof/>
        </w:rPr>
        <w:t>L-Artikolu 4 jinbidel b'dan li ġej:</w:t>
      </w:r>
    </w:p>
    <w:p>
      <w:pPr>
        <w:pStyle w:val="Text1"/>
        <w:rPr>
          <w:i/>
          <w:noProof/>
        </w:rPr>
      </w:pPr>
      <w:r>
        <w:rPr>
          <w:i/>
          <w:noProof/>
        </w:rPr>
        <w:t>“Artikolu 4</w:t>
      </w:r>
    </w:p>
    <w:p>
      <w:pPr>
        <w:pStyle w:val="Text1"/>
        <w:rPr>
          <w:noProof/>
        </w:rPr>
      </w:pPr>
      <w:r>
        <w:rPr>
          <w:b/>
          <w:noProof/>
        </w:rPr>
        <w:t>Unitajiet amministrattivi lokali</w:t>
      </w:r>
    </w:p>
    <w:p>
      <w:pPr>
        <w:pStyle w:val="Text1"/>
        <w:rPr>
          <w:noProof/>
        </w:rPr>
      </w:pPr>
      <w:r>
        <w:rPr>
          <w:noProof/>
        </w:rPr>
        <w:t>1. F’kull Stat Membru, l-unitajiet amministrattivi lokali (LAU) għandhom jissuddividu l-livell NUTS 3 f’wieħed jew żewġ livelli ulterjuri ta’ unitajiet territorjali. Mill-inqas wieħed mil-livelli tal-LAU għandu jkun unità amministrattiva skont id-definizzjoni mogħtija fl-Artikolu 3(1) u kif inhuwa stabbilit fl-Anness III. Il-Kummissjoni għandu jkollha s-setgħa li tadotta atti delegati skont l-Artikolu 7a biex tadatta l-lista tal-LAU fl-Anness III abbażi tal-iżviluppi korrispondenti fl-Istati Membri.</w:t>
      </w:r>
    </w:p>
    <w:p>
      <w:pPr>
        <w:pStyle w:val="Text1"/>
        <w:rPr>
          <w:noProof/>
        </w:rPr>
      </w:pPr>
      <w:r>
        <w:rPr>
          <w:noProof/>
        </w:rPr>
        <w:t>2. Fl-ewwel sitt xhur ta’ kull sena u b’referenza għall-31 ta’ Diċembru tas-sena preċedenti, l-Istati Membri għandhom jibagħtu lill-Kummissjoni (Eurostat) il-lista tal-LAU bit-tibdil kollu indikat u bir-reġjun NUTS 3 li jappartjeni għalih. Meta jagħmlu dan għandhom isegwu l-format tad-dejta elettronika mitlub mill-Kummissjoni (Eurostat).</w:t>
      </w:r>
    </w:p>
    <w:p>
      <w:pPr>
        <w:pStyle w:val="Text1"/>
        <w:rPr>
          <w:noProof/>
        </w:rPr>
      </w:pPr>
      <w:r>
        <w:rPr>
          <w:noProof/>
        </w:rPr>
        <w:t>3. Il-Kummissjoni (Eurostat) għandha tippubblika l-lista tal-LAU fit-taqsima apposta tas-sit web tagħha sal-31 ta’ Diċembru ta’ kull sena.”</w:t>
      </w:r>
    </w:p>
    <w:p>
      <w:pPr>
        <w:pStyle w:val="Point0number"/>
        <w:rPr>
          <w:noProof/>
        </w:rPr>
      </w:pPr>
      <w:r>
        <w:rPr>
          <w:noProof/>
        </w:rPr>
        <w:t>jiżdiedu l-Artikoli 4a u 4b li ġejjin:</w:t>
      </w:r>
    </w:p>
    <w:p>
      <w:pPr>
        <w:pStyle w:val="Text1"/>
        <w:rPr>
          <w:i/>
          <w:noProof/>
        </w:rPr>
      </w:pPr>
      <w:r>
        <w:rPr>
          <w:noProof/>
        </w:rPr>
        <w:t>“</w:t>
      </w:r>
      <w:r>
        <w:rPr>
          <w:i/>
          <w:noProof/>
        </w:rPr>
        <w:t>Artikolu 4 a</w:t>
      </w:r>
    </w:p>
    <w:p>
      <w:pPr>
        <w:pStyle w:val="Text1"/>
        <w:rPr>
          <w:b/>
          <w:noProof/>
        </w:rPr>
      </w:pPr>
      <w:r>
        <w:rPr>
          <w:b/>
          <w:noProof/>
        </w:rPr>
        <w:t xml:space="preserve">Grilji tal-Istatistika </w:t>
      </w:r>
    </w:p>
    <w:p>
      <w:pPr>
        <w:pStyle w:val="Text1"/>
        <w:rPr>
          <w:noProof/>
        </w:rPr>
      </w:pPr>
      <w:r>
        <w:rPr>
          <w:noProof/>
        </w:rPr>
        <w:t>Il-Kummissjoni (Eurostat) għandha żżomm u tippubblika sistema ta’ grilji tal-istatistika fil-livell tal-Unjoni fit-taqsima apposta tas-sit web tagħha. Il-grilji tal-istatistika għandhom jikkonformaw mal-ispeċifikazzjonijiet stabbiliti fir-Regolament tal-Kummissjoni (UE) Nru 1089/2010</w:t>
      </w:r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13"/>
      </w:r>
      <w:r>
        <w:rPr>
          <w:noProof/>
          <w:vertAlign w:val="superscript"/>
        </w:rPr>
        <w:t>)</w:t>
      </w:r>
      <w:r>
        <w:rPr>
          <w:noProof/>
        </w:rPr>
        <w:t>.</w:t>
      </w:r>
    </w:p>
    <w:p>
      <w:pPr>
        <w:pStyle w:val="Text1"/>
        <w:rPr>
          <w:i/>
          <w:noProof/>
        </w:rPr>
      </w:pPr>
      <w:r>
        <w:rPr>
          <w:i/>
          <w:noProof/>
        </w:rPr>
        <w:t>Artikolu 4b</w:t>
      </w:r>
    </w:p>
    <w:p>
      <w:pPr>
        <w:pStyle w:val="Text1"/>
        <w:rPr>
          <w:b/>
          <w:noProof/>
        </w:rPr>
      </w:pPr>
      <w:r>
        <w:rPr>
          <w:b/>
          <w:noProof/>
        </w:rPr>
        <w:t>Tipoloġiji territorjali tal-Unjoni</w:t>
      </w:r>
    </w:p>
    <w:p>
      <w:pPr>
        <w:pStyle w:val="Text1"/>
        <w:rPr>
          <w:noProof/>
        </w:rPr>
      </w:pPr>
      <w:r>
        <w:rPr>
          <w:noProof/>
        </w:rPr>
        <w:t>1. Il-Kummissjoni (Eurostat) għandha żżomm u tippubblika fit-taqsima apposta tas-sit web tagħha tipoloġiji tal-Unjoni ffurmati minn unitajiet territorjali fil-livelli NUTS, LAU u taċ-ċelluli ta’ grilja.</w:t>
      </w:r>
    </w:p>
    <w:p>
      <w:pPr>
        <w:pStyle w:val="Text1"/>
        <w:rPr>
          <w:noProof/>
        </w:rPr>
      </w:pPr>
      <w:r>
        <w:rPr>
          <w:noProof/>
        </w:rPr>
        <w:t>2. It-tipoloġija bbażata fuq il-grilja għandha tiġi stabbilita fil-livell tar-riżoluzzjoni tal-grilja ta’ kilometru (1)</w:t>
      </w:r>
      <w:r>
        <w:rPr>
          <w:noProof/>
          <w:vertAlign w:val="superscript"/>
        </w:rPr>
        <w:t>2</w:t>
      </w:r>
      <w:r>
        <w:rPr>
          <w:noProof/>
        </w:rPr>
        <w:t xml:space="preserve"> kif ġej:</w:t>
      </w:r>
    </w:p>
    <w:p>
      <w:pPr>
        <w:pStyle w:val="Tiret2"/>
        <w:numPr>
          <w:ilvl w:val="0"/>
          <w:numId w:val="7"/>
        </w:numPr>
        <w:rPr>
          <w:noProof/>
        </w:rPr>
      </w:pPr>
      <w:r>
        <w:rPr>
          <w:noProof/>
        </w:rPr>
        <w:t>“ċentri urbani”,</w:t>
      </w:r>
    </w:p>
    <w:p>
      <w:pPr>
        <w:pStyle w:val="Tiret2"/>
        <w:rPr>
          <w:noProof/>
        </w:rPr>
      </w:pPr>
      <w:r>
        <w:rPr>
          <w:noProof/>
        </w:rPr>
        <w:t>“raggruppamenti urbani”,</w:t>
      </w:r>
    </w:p>
    <w:p>
      <w:pPr>
        <w:pStyle w:val="Tiret2"/>
        <w:rPr>
          <w:noProof/>
        </w:rPr>
      </w:pPr>
      <w:r>
        <w:rPr>
          <w:noProof/>
        </w:rPr>
        <w:t>“ċelluli ta’ grilja rurali”.</w:t>
      </w:r>
    </w:p>
    <w:p>
      <w:pPr>
        <w:pStyle w:val="Text1"/>
        <w:rPr>
          <w:noProof/>
        </w:rPr>
      </w:pPr>
      <w:r>
        <w:rPr>
          <w:noProof/>
        </w:rPr>
        <w:t>3. It-tipoloġiji li ġejjin għandhom ikunu stabbiliti fil-livell tal-LAU:</w:t>
      </w:r>
    </w:p>
    <w:p>
      <w:pPr>
        <w:pStyle w:val="Text1"/>
        <w:rPr>
          <w:noProof/>
        </w:rPr>
      </w:pPr>
      <w:r>
        <w:rPr>
          <w:noProof/>
        </w:rPr>
        <w:t>(a) il-grad ta’ urbanizzazzjoni (DEGURBA):</w:t>
      </w:r>
    </w:p>
    <w:p>
      <w:pPr>
        <w:pStyle w:val="Tiret2"/>
        <w:rPr>
          <w:noProof/>
        </w:rPr>
      </w:pPr>
      <w:r>
        <w:rPr>
          <w:noProof/>
        </w:rPr>
        <w:t>“Żoni urbani”:</w:t>
      </w:r>
    </w:p>
    <w:p>
      <w:pPr>
        <w:pStyle w:val="Tiret3"/>
        <w:numPr>
          <w:ilvl w:val="0"/>
          <w:numId w:val="12"/>
        </w:numPr>
        <w:rPr>
          <w:noProof/>
        </w:rPr>
      </w:pPr>
      <w:r>
        <w:rPr>
          <w:noProof/>
        </w:rPr>
        <w:t>“Bliet” jew “Żoni b’densità għolja ta’ popolazzjoni”,</w:t>
      </w:r>
    </w:p>
    <w:p>
      <w:pPr>
        <w:pStyle w:val="Tiret3"/>
        <w:rPr>
          <w:noProof/>
        </w:rPr>
      </w:pPr>
      <w:r>
        <w:rPr>
          <w:noProof/>
        </w:rPr>
        <w:t>“Bliet żgħar u subborgi” jew “Żoni b’densità intermedja ta’ popolazzjoni”,</w:t>
      </w:r>
    </w:p>
    <w:p>
      <w:pPr>
        <w:pStyle w:val="Tiret2"/>
        <w:rPr>
          <w:noProof/>
        </w:rPr>
      </w:pPr>
      <w:r>
        <w:rPr>
          <w:noProof/>
        </w:rPr>
        <w:t>“Żoni rurali” jew “Żoni b’popolazzjoni baxxa”;</w:t>
      </w:r>
    </w:p>
    <w:p>
      <w:pPr>
        <w:pStyle w:val="Text1"/>
        <w:rPr>
          <w:noProof/>
        </w:rPr>
      </w:pPr>
      <w:r>
        <w:rPr>
          <w:noProof/>
        </w:rPr>
        <w:t>(b) żoni urbani funzjonali:</w:t>
      </w:r>
    </w:p>
    <w:p>
      <w:pPr>
        <w:pStyle w:val="Tiret2"/>
        <w:rPr>
          <w:noProof/>
        </w:rPr>
      </w:pPr>
      <w:r>
        <w:rPr>
          <w:noProof/>
        </w:rPr>
        <w:t>“Bliet” flimkien maż-“Żoni għall-ivvjaġġar” tagħhom;</w:t>
      </w:r>
    </w:p>
    <w:p>
      <w:pPr>
        <w:pStyle w:val="Text1"/>
        <w:rPr>
          <w:noProof/>
        </w:rPr>
      </w:pPr>
      <w:r>
        <w:rPr>
          <w:noProof/>
        </w:rPr>
        <w:t>(c) żoni kostali:</w:t>
      </w:r>
    </w:p>
    <w:p>
      <w:pPr>
        <w:pStyle w:val="Tiret2"/>
        <w:rPr>
          <w:noProof/>
        </w:rPr>
      </w:pPr>
      <w:r>
        <w:rPr>
          <w:noProof/>
        </w:rPr>
        <w:t>“Żoni kostali”,</w:t>
      </w:r>
    </w:p>
    <w:p>
      <w:pPr>
        <w:pStyle w:val="Tiret2"/>
        <w:rPr>
          <w:noProof/>
        </w:rPr>
      </w:pPr>
      <w:r>
        <w:rPr>
          <w:noProof/>
        </w:rPr>
        <w:t>“Żoni mhux kostali”.</w:t>
      </w:r>
    </w:p>
    <w:p>
      <w:pPr>
        <w:pStyle w:val="Text1"/>
        <w:rPr>
          <w:noProof/>
        </w:rPr>
      </w:pPr>
      <w:r>
        <w:rPr>
          <w:noProof/>
        </w:rPr>
        <w:t>Jekk ikun hemm aktar minn livell amministrattiv wieħed tal-LAU fi Stat Membru, il-Kummissjoni (Eurostat) għandha tikkonsulta ma' dak l-Istat Membru biex jiġi stabbilit il-livell amministrattiv tal-LAU li għandu jintuża għall-attribuzzjoni tat-tipoloġiji.</w:t>
      </w:r>
    </w:p>
    <w:p>
      <w:pPr>
        <w:pStyle w:val="Text1"/>
        <w:rPr>
          <w:noProof/>
        </w:rPr>
      </w:pPr>
      <w:r>
        <w:rPr>
          <w:noProof/>
        </w:rPr>
        <w:t>4. It-tipoloġiji u t-tikketti li ġejjin għandhom jiġu stabbiliti fil-livell NUTS 3.</w:t>
      </w:r>
    </w:p>
    <w:p>
      <w:pPr>
        <w:pStyle w:val="Text1"/>
        <w:rPr>
          <w:noProof/>
        </w:rPr>
      </w:pPr>
      <w:r>
        <w:rPr>
          <w:noProof/>
        </w:rPr>
        <w:t>a) tipoloġija urbana-rurali:</w:t>
      </w:r>
    </w:p>
    <w:p>
      <w:pPr>
        <w:pStyle w:val="Tiret2"/>
        <w:rPr>
          <w:noProof/>
        </w:rPr>
      </w:pPr>
      <w:r>
        <w:rPr>
          <w:noProof/>
        </w:rPr>
        <w:t>“Reġjuni fil-biċċa l-kbira urbani”,</w:t>
      </w:r>
    </w:p>
    <w:p>
      <w:pPr>
        <w:pStyle w:val="Tiret2"/>
        <w:rPr>
          <w:noProof/>
        </w:rPr>
      </w:pPr>
      <w:r>
        <w:rPr>
          <w:noProof/>
        </w:rPr>
        <w:t>“Reġjuni intermedji”,</w:t>
      </w:r>
    </w:p>
    <w:p>
      <w:pPr>
        <w:pStyle w:val="Tiret2"/>
        <w:rPr>
          <w:noProof/>
        </w:rPr>
      </w:pPr>
      <w:r>
        <w:rPr>
          <w:noProof/>
        </w:rPr>
        <w:t>“Reġjuni fil-biċċa l-kbira rurali”;</w:t>
      </w:r>
    </w:p>
    <w:p>
      <w:pPr>
        <w:pStyle w:val="Text1"/>
        <w:rPr>
          <w:noProof/>
        </w:rPr>
      </w:pPr>
      <w:r>
        <w:rPr>
          <w:noProof/>
        </w:rPr>
        <w:t>b) tipoloġija metropolitana:</w:t>
      </w:r>
    </w:p>
    <w:p>
      <w:pPr>
        <w:pStyle w:val="Tiret2"/>
        <w:rPr>
          <w:noProof/>
        </w:rPr>
      </w:pPr>
      <w:r>
        <w:rPr>
          <w:noProof/>
        </w:rPr>
        <w:t>“Reġjuni metropolitani”,</w:t>
      </w:r>
    </w:p>
    <w:p>
      <w:pPr>
        <w:pStyle w:val="Tiret2"/>
        <w:rPr>
          <w:noProof/>
        </w:rPr>
      </w:pPr>
      <w:r>
        <w:rPr>
          <w:noProof/>
        </w:rPr>
        <w:t>“Reġjuni mhux metropolitani”;</w:t>
      </w:r>
    </w:p>
    <w:p>
      <w:pPr>
        <w:pStyle w:val="Text1"/>
        <w:rPr>
          <w:noProof/>
        </w:rPr>
      </w:pPr>
      <w:r>
        <w:rPr>
          <w:noProof/>
        </w:rPr>
        <w:t>c) tipoloġija kostali:</w:t>
      </w:r>
    </w:p>
    <w:p>
      <w:pPr>
        <w:pStyle w:val="Tiret2"/>
        <w:rPr>
          <w:noProof/>
        </w:rPr>
      </w:pPr>
      <w:r>
        <w:rPr>
          <w:noProof/>
        </w:rPr>
        <w:t>“Reġjuni kostali”</w:t>
      </w:r>
    </w:p>
    <w:p>
      <w:pPr>
        <w:pStyle w:val="Tiret2"/>
        <w:rPr>
          <w:noProof/>
        </w:rPr>
      </w:pPr>
      <w:r>
        <w:rPr>
          <w:noProof/>
        </w:rPr>
        <w:t>“Reġjuni mhux kostali”.</w:t>
      </w:r>
    </w:p>
    <w:p>
      <w:pPr>
        <w:pStyle w:val="Text1"/>
        <w:rPr>
          <w:noProof/>
        </w:rPr>
      </w:pPr>
      <w:r>
        <w:rPr>
          <w:noProof/>
        </w:rPr>
        <w:t>5. Permezz ta’ atti ta’ implimentazzjoni, il-Kummissjoni għandha tistabbilixxi kundizzjonijiet uniformi għall-applikazzjoni armonizzata tat-tipoloġiji fl-Istati Membri kollha u fil-livell tal-Unjoni. Dawk l-atti ta’ implimentazzjoni għandhom jiġu adottati b’konformità mal-proċedura ta’ eżami msemmija fl-Artikolu 7.”:</w:t>
      </w:r>
    </w:p>
    <w:p>
      <w:pPr>
        <w:pStyle w:val="Point0number"/>
        <w:rPr>
          <w:noProof/>
        </w:rPr>
      </w:pPr>
      <w:r>
        <w:rPr>
          <w:noProof/>
        </w:rPr>
        <w:t>L-Artikolu 5 huwa emendat kif ġej:</w:t>
      </w:r>
    </w:p>
    <w:p>
      <w:pPr>
        <w:pStyle w:val="Point1letter"/>
        <w:rPr>
          <w:noProof/>
        </w:rPr>
      </w:pPr>
      <w:r>
        <w:rPr>
          <w:noProof/>
        </w:rPr>
        <w:t>il-paragrafu 4 jinbidel b'dan li ġej:</w:t>
      </w:r>
    </w:p>
    <w:p>
      <w:pPr>
        <w:pStyle w:val="Text1"/>
        <w:rPr>
          <w:noProof/>
        </w:rPr>
      </w:pPr>
      <w:r>
        <w:rPr>
          <w:noProof/>
        </w:rPr>
        <w:t>“4. L-emendi tal-klassifikazzjoni NUTS għandhom jiġu adottati fl-aħħar sitt xhur tas-sena kalendarja, mhux aktar tard minn kull tliet snin, abbażi tal-kriterji stabbiliti fl-Artikolu 3. Madankollu, jekk ikun hemm riorganizzazzjoni sostanzjali tal-istruttura amministrattiva rilevanti ta’ Stat Membru, l-emendi għall-klassifikazzjoni NUTS jistgħu jiġu adottati f’intervalli iqsar.</w:t>
      </w:r>
    </w:p>
    <w:p>
      <w:pPr>
        <w:pStyle w:val="Text1"/>
        <w:rPr>
          <w:noProof/>
        </w:rPr>
      </w:pPr>
      <w:r>
        <w:rPr>
          <w:noProof/>
        </w:rPr>
        <w:t>Il-Kummissjoni għandha tingħata s-setgħa li tadotta atti delegati skont l-Artikolu 7a sabiex tadatta l-klassifikazzjoni NUTS fl-Anness I abbażi tal-iżviluppi korrispondenti fl-Istati Membri. Id-dejta reġjonali li l-Istati Membri jibagħtu lill-Kummissjoni (Eurostat) għandha tkun ibbażata fuq l-emenda fil-klassifikazzjoni NUTS li tibda tiskorri mill-1 ta’ Jannar tat-tieni sena wara l-adozzjoni tal-att delegat imsemmi fl-ewwel subparagrafu.”;</w:t>
      </w:r>
    </w:p>
    <w:p>
      <w:pPr>
        <w:pStyle w:val="Point1letter"/>
        <w:rPr>
          <w:noProof/>
        </w:rPr>
      </w:pPr>
      <w:r>
        <w:rPr>
          <w:noProof/>
        </w:rPr>
        <w:t>il-paragrafu 5 jinbidel b'dan li ġej:</w:t>
      </w:r>
    </w:p>
    <w:p>
      <w:pPr>
        <w:pStyle w:val="Text1"/>
        <w:rPr>
          <w:noProof/>
        </w:rPr>
      </w:pPr>
      <w:r>
        <w:rPr>
          <w:noProof/>
        </w:rPr>
        <w:t>“5. Meta ssir emenda fil-klassifikazzjoni NUTS, l-Istat Membru kkonċernat għandu jittrażmetti lill-Kummissjoni (Eurostat) is-serje taż-żmien għat-tqassim reġjonali l-ġdid, biex tiġi sostitwita d-dejta li tkun diġà ġiet trażmessa.</w:t>
      </w:r>
    </w:p>
    <w:p>
      <w:pPr>
        <w:pStyle w:val="Text1"/>
        <w:rPr>
          <w:noProof/>
        </w:rPr>
      </w:pPr>
      <w:r>
        <w:rPr>
          <w:noProof/>
        </w:rPr>
        <w:t>Il-Kummissjoni għandha, permezz tal-atti ta’ implimentazzjoni, tistabbilixxi kundizzjonijiet uniformi għas-serje taż-żmien u t-tul tagħha, filwaqt li tqis kemm huwa verament possibbli li tiġi trażmessa. Dawk l-atti ta' implimentazzjoni għandhom jiġu adottati skont il-proċedura ta' eżami msemmija fl-Artikolu 7.</w:t>
      </w:r>
    </w:p>
    <w:p>
      <w:pPr>
        <w:pStyle w:val="Text1"/>
        <w:rPr>
          <w:noProof/>
        </w:rPr>
      </w:pPr>
      <w:r>
        <w:rPr>
          <w:noProof/>
        </w:rPr>
        <w:t>Is-serje taż-żmien għandha tingħata sal-1 ta’ Jannar tar-raba’ sena wara l-adozzjoni ta’ att delegat kif imsemmi fil-paragrafu 4.”;</w:t>
      </w:r>
    </w:p>
    <w:p>
      <w:pPr>
        <w:pStyle w:val="Point0number"/>
        <w:rPr>
          <w:noProof/>
        </w:rPr>
      </w:pPr>
      <w:r>
        <w:rPr>
          <w:noProof/>
        </w:rPr>
        <w:t>L-Artikolu 7 jinbidel b'dan li ġej:</w:t>
      </w:r>
    </w:p>
    <w:p>
      <w:pPr>
        <w:pStyle w:val="Text1"/>
        <w:rPr>
          <w:i/>
          <w:noProof/>
        </w:rPr>
      </w:pPr>
      <w:r>
        <w:rPr>
          <w:i/>
          <w:noProof/>
        </w:rPr>
        <w:t>“Artikolu 7</w:t>
      </w:r>
    </w:p>
    <w:p>
      <w:pPr>
        <w:pStyle w:val="Text1"/>
        <w:rPr>
          <w:b/>
          <w:noProof/>
        </w:rPr>
      </w:pPr>
      <w:r>
        <w:rPr>
          <w:b/>
          <w:noProof/>
        </w:rPr>
        <w:t>Komitoloġija</w:t>
      </w:r>
    </w:p>
    <w:p>
      <w:pPr>
        <w:pStyle w:val="Text1"/>
        <w:rPr>
          <w:noProof/>
        </w:rPr>
      </w:pPr>
      <w:r>
        <w:rPr>
          <w:noProof/>
        </w:rPr>
        <w:t>1. Il-Kummissjoni se tkun assistita mill-Kumitat tas-Sistema Ewropea tal-Istatistika. Dak il-kumitat għandu jkun kumitat fis-sens tar-Regolament (UE) Nru 182/2011.</w:t>
      </w:r>
    </w:p>
    <w:p>
      <w:pPr>
        <w:pStyle w:val="Text1"/>
        <w:rPr>
          <w:noProof/>
        </w:rPr>
      </w:pPr>
      <w:r>
        <w:rPr>
          <w:noProof/>
        </w:rPr>
        <w:t>2. Fejn issir referenza għal dan il-paragrafu, għandu japplika l-Artikolu 5 tar-Regolament 182/2011.”;</w:t>
      </w:r>
    </w:p>
    <w:p>
      <w:pPr>
        <w:pStyle w:val="Point0number"/>
        <w:rPr>
          <w:noProof/>
        </w:rPr>
      </w:pPr>
      <w:r>
        <w:rPr>
          <w:noProof/>
        </w:rPr>
        <w:t>jiżdied l-Artikolu 7a li ġej:</w:t>
      </w:r>
    </w:p>
    <w:p>
      <w:pPr>
        <w:pStyle w:val="Text1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 7a</w:t>
      </w:r>
    </w:p>
    <w:p>
      <w:pPr>
        <w:pStyle w:val="Text1"/>
        <w:rPr>
          <w:b/>
          <w:noProof/>
        </w:rPr>
      </w:pPr>
      <w:r>
        <w:rPr>
          <w:b/>
          <w:noProof/>
        </w:rPr>
        <w:t>Eżerċizzju tad-delega</w:t>
      </w:r>
    </w:p>
    <w:p>
      <w:pPr>
        <w:pStyle w:val="Text1"/>
        <w:rPr>
          <w:noProof/>
        </w:rPr>
      </w:pPr>
      <w:r>
        <w:rPr>
          <w:noProof/>
        </w:rPr>
        <w:t>1. Is-setgħa li jiġu adottati atti delegati tingħata lill-Kummissjoni soġġetta għall-kundizzjonijiet stabbiliti f'dan l-Artikolu.</w:t>
      </w:r>
    </w:p>
    <w:p>
      <w:pPr>
        <w:pStyle w:val="Text1"/>
        <w:rPr>
          <w:noProof/>
        </w:rPr>
      </w:pPr>
      <w:r>
        <w:rPr>
          <w:noProof/>
        </w:rPr>
        <w:t>2. Is-setgħa li jiġu adottati l-atti delegati msemmija fl-Artikolu 3(4), fl-Artikolu 4(1) u fl-Artikolu 5(4) għandha tingħata lill-Kummissjoni għal perjodu ta’ żmien indeterminat minn [</w:t>
      </w:r>
      <w:r>
        <w:rPr>
          <w:i/>
          <w:noProof/>
        </w:rPr>
        <w:t>Publications Office: please insert exact date of entry into force of this Regulation</w:t>
      </w:r>
      <w:r>
        <w:rPr>
          <w:noProof/>
        </w:rPr>
        <w:t>].</w:t>
      </w:r>
    </w:p>
    <w:p>
      <w:pPr>
        <w:pStyle w:val="Text1"/>
        <w:rPr>
          <w:noProof/>
        </w:rPr>
      </w:pPr>
      <w:r>
        <w:rPr>
          <w:noProof/>
        </w:rPr>
        <w:t>3. Id-delega tas-setgħa msemmija fl-Artikolu 3(4), fl-Artikolu 4(1) u fl-Artikolu 5(4) tista’ tiġi revokata f’kull ħin mill-Parlament Ewropew jew mill-Kunsill. Id-deċiżjoni tar-revoka għandha ttemm id-delega tas-setgħa speċifikata f'dik id-deċiżjoni. Din għandha tidħol fis-seħħ fil-jum wara dak tal-pubblikazzjoni tad-deċiżjoni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jew f’data aktar tard speċifikata fiha. M’għandhiex taffettwa l-validità tal-ebda att delegat li huwa diġà fis-seħħ.</w:t>
      </w:r>
    </w:p>
    <w:p>
      <w:pPr>
        <w:pStyle w:val="Text1"/>
        <w:rPr>
          <w:noProof/>
        </w:rPr>
      </w:pPr>
      <w:r>
        <w:rPr>
          <w:noProof/>
        </w:rPr>
        <w:t>4. Qabel ma tadotta att delegat, il-Kummissjoni għandha tikkonsulta mal-esperti nnominati minn kull Stat Membru skont il-prinċipji stipulati fil-Ftehim Interistituzzjonali dwar it-Tfassil Aħjar tal-Liġijiet tat-13 ta' April 2016.</w:t>
      </w:r>
    </w:p>
    <w:p>
      <w:pPr>
        <w:pStyle w:val="Text1"/>
        <w:rPr>
          <w:noProof/>
        </w:rPr>
      </w:pPr>
      <w:r>
        <w:rPr>
          <w:noProof/>
        </w:rPr>
        <w:t>5. Hekk kif tadotta att delegat, il-Kummissjoni għandha tinnotifikah b’mod simultanju lill-Parlament Ewropew u lill-Kunsill.</w:t>
      </w:r>
    </w:p>
    <w:p>
      <w:pPr>
        <w:pStyle w:val="Text1"/>
        <w:rPr>
          <w:noProof/>
        </w:rPr>
      </w:pPr>
      <w:r>
        <w:rPr>
          <w:noProof/>
        </w:rPr>
        <w:t>6. Att delegat adottat skont l-Artikolu 3(4), l-Artikolu 4(1) u l-Artikolu 5(4) għandu jidħol fis-seħħ biss jekk ma tkun saret l-ebda oġġezzjoni mill-Parlament Ewropew jew mill-Kunsill fi żmien xahrejn min-notifika ta’ dak l-att lill-Parlament Ewropew u lill-Kunsill jew jekk, qabel ma jiskadi dak il-perjodu, kemm il-Parlament Ewropew kif ukoll il-Kunsill ikunu infurmaw lill-Kummissjoni li mhumiex se joġġezzjonaw. Dak il-perjodu għandu jiġi estiż b’xahrejn fuq l-inizjattiva tal-Parlament Ewropew jew tal-Kunsill.”;</w:t>
      </w:r>
    </w:p>
    <w:p>
      <w:pPr>
        <w:pStyle w:val="Point0number"/>
        <w:rPr>
          <w:noProof/>
        </w:rPr>
      </w:pPr>
      <w:r>
        <w:rPr>
          <w:noProof/>
        </w:rPr>
        <w:t>L-Artikolu 8 jitħassar.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Dan ir-Regolament għandu jidħol fis-seħħ fl-għoxrin jum wara dak tal-pubblikazzjoni tiegħu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1059/2003 tal-Parlament Ewropew u tal-Kunsill tas-26 ta' Mejju 2003 dwar l-istabbiliment ta' klassifikazzjoni komuni ta' unitajiet territorjali għall-istatistika (NUTS) (ĠU L 154, 21.6.2003, p. 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http://ec.europa.eu/europe2020/index_mt.htm.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http://ec.europa.eu/regional_policy/en/information/publications/reports/2014/6th-report-on-economic-social-and-territorial-cohesion.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 L 347, 20.12.2013, p. 320.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L 148, 20.5.2014, p. 1.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1059/2003 tal-Parlament Ewropew u tal-Kunsill tas-26 ta' Mejju 2003 dwar l-istabbiliment ta' klassifikazzjoni komuni ta' unitajiet territorjali għall-istatistika (NUTS) (ĠU L 154, 21.6.2003, p. 1.).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ĠU L 148, 20.5.2014, p. 1.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ĠU L 123, 12.5.2016, p. 1.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182/2011 tal-Parlament Ewropew u tal-Kunsill tas-16 ta' Frar 2011 li jistabbilixxi r-regoli u l-prinċipji ġenerali dwar il-modalitajiet ta' kontroll mill-Istati Membri tal-eżerċizzju mill-Kummissjoni tas-setgħat ta’ implimentazzjoni (ĠU L 55, 28.2.2011, p. 13).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Ir-Regolament tal-Kummissjoni (UE) Nru 1089/2010 tat-23 ta' Novembru 2010 li jimplimenta d-Direttiva 2007/2/KE tal-Parlament Ewropew u tal-Kunsill fir-rigward tal-interoperabbiltà tas-settijiet ta’ dejta u servizzi ġeografiċi (ĠU L 323, 8.12.2010, p. 11).</w:t>
      </w:r>
    </w:p>
    <w:p>
      <w:pPr>
        <w:pStyle w:val="FootnoteText"/>
      </w:pPr>
      <w:bookmarkStart w:id="1" w:name="DQCErrorScope7F231A94A3164FEBB1AF4E75C3B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1ACA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8D80D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06A9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16A4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BAAD1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720BA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FAC91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7924D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11 12:55:37"/>
    <w:docVar w:name="DQCHighlighting" w:val="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CONFIDENCE" w:val=" "/>
    <w:docVar w:name="LW_CONST_RESTREINT_UE" w:val="RESTREINT UE"/>
    <w:docVar w:name="LW_CORRIGENDUM" w:val="&lt;UNUSED&gt;"/>
    <w:docVar w:name="LW_COVERPAGE_GUID" w:val="F5BB37E18FC64D1CA838CD3B3F0A7120"/>
    <w:docVar w:name="LW_CROSSREFERENCE" w:val="&lt;UNUSED&gt;"/>
    <w:docVar w:name="LW_DocType" w:val="COM"/>
    <w:docVar w:name="LW_EMISSION" w:val="13.12.2016"/>
    <w:docVar w:name="LW_EMISSION_ISODATE" w:val="2016-12-13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(Test b'rilevanza g\u295?a\u380?-\u379?EE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93"/>
    <w:docVar w:name="LW_REF.II.NEW.CP_YEAR" w:val="2016"/>
    <w:docVar w:name="LW_REF.INST.NEW" w:val="COM"/>
    <w:docVar w:name="LW_REF.INST.NEW_ADOPTED" w:val="final"/>
    <w:docVar w:name="LW_REF.INST.NEW_TEXT" w:val="(2016) 788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jemenda r-Regolament (KE) Nru 1059/2003 fir-rigward tat-tipolo\u289?iji territorjali (Tercet)"/>
    <w:docVar w:name="LW_TYPE.DOC.CP" w:val="REGOLAMENT TAL-PARLAMENT EWROPEW U TAL-KUNSILL"/>
    <w:docVar w:name="Stamp" w:val="\\dossiers.dgt.cec.eu.int\dossiers\ESTAT\ESTAT-2016-10201\ESTAT-2016-10201-00-00-EN-REV-00.201608261205498688822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eastAsia="Times New Roman"/>
      <w:b/>
      <w:szCs w:val="20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eastAsia="Times New Roman"/>
      <w:b/>
      <w:szCs w:val="20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03:154:0001:0041:EN: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03:154:0001:0041:EN: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N/TXT/PDF/?uri=CELEX:32014R0522&amp;from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OJ:L:2003:154:0001:0041:EN: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xUriServ/LexUriServ.do?uri=OJ:L:2013:347:0320:0469:EN: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\\net1.cec.eu.int\Homes\048\BRANDTH\My%20Documents\ec.europa.eu\regional_policy\sources\...\reports\cohesion6\6cr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7AD7-738B-492A-83C2-343AAB71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14</Pages>
  <Words>3420</Words>
  <Characters>25861</Characters>
  <Application>Microsoft Office Word</Application>
  <DocSecurity>0</DocSecurity>
  <Lines>445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2016-09-27T08:56:00Z</cp:lastPrinted>
  <dcterms:created xsi:type="dcterms:W3CDTF">2016-11-11T11:55:00Z</dcterms:created>
  <dcterms:modified xsi:type="dcterms:W3CDTF">2016-12-06T10:47:00Z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