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47BB3DCF21448D493143C04AF7CE495" style="width:451.25pt;height:532.4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 xml:space="preserve">Για τη δημιουργία μιας ανθεκτικής Ενεργειακής Ένωσης με φιλόδοξη πολιτική για το κλίμα και για τον θεμελιώδη μετασχηματισμό του ενεργειακού συστήματός μας απαιτείται ένας συνδυασμός συντονισμένης δράσης, νομοθετικής και μη νομοθετικής, σε επίπεδο ΕΕ και σε εθνικό επίπεδο. Προς τούτο, η Ενεργειακή Ένωση χρειάζεται ισχυρή </w:t>
      </w:r>
      <w:r>
        <w:rPr>
          <w:i/>
          <w:noProof/>
        </w:rPr>
        <w:t>διακυβέρνηση</w:t>
      </w:r>
      <w:r>
        <w:rPr>
          <w:noProof/>
        </w:rPr>
        <w:t xml:space="preserve">, η οποία θα διασφαλίζει ότι οι πολιτικές και τα μέτρα στα διάφορα επίπεδα είναι συνεκτικά, συμπληρωματικά και επαρκώς φιλόδοξα. Κύριος στόχος της παρούσας πρωτοβουλίας είναι να τεθεί η απαραίτητη νομοθετική βάση για τη συγκεκριμένη διαδικασία ενόψει της υλοποίησης της Ενεργειακής Ένωσης, η οποία, για την επιτυχία της διακυβέρνησης, θα πρέπει να υποστηρίζεται από μη νομοθετικά μέτρα και δράσεις. </w:t>
      </w:r>
    </w:p>
    <w:p>
      <w:pPr>
        <w:pBdr>
          <w:top w:val="nil"/>
          <w:left w:val="nil"/>
          <w:bottom w:val="nil"/>
          <w:right w:val="nil"/>
          <w:between w:val="nil"/>
          <w:bar w:val="nil"/>
        </w:pBdr>
        <w:spacing w:before="0" w:after="240"/>
        <w:rPr>
          <w:rFonts w:eastAsia="Arial Unicode MS"/>
          <w:noProof/>
        </w:rPr>
      </w:pPr>
      <w:r>
        <w:rPr>
          <w:noProof/>
        </w:rPr>
        <w:t xml:space="preserve">Σε συμφωνία με την </w:t>
      </w:r>
      <w:r>
        <w:rPr>
          <w:b/>
          <w:noProof/>
        </w:rPr>
        <w:t>ισχυρή δέσμευση της Επιτροπής για βελτίωση της νομοθεσίας</w:t>
      </w:r>
      <w:r>
        <w:rPr>
          <w:noProof/>
        </w:rPr>
        <w:t>, η πρόταση θα μειώσει σημαντικά τον διοικητικό φόρτο για τα κράτη μέλη, την Επιτροπή και άλλα θεσμικά όργανα της ΕΕ. Οι τρέχουσες απαιτήσεις σχεδιασμού και υποβολής εκθέσεων (τόσο για την Επιτροπή όσο και για τα κράτη μέλη) στους τομείς της ενέργειας και του κλίματος παρέχουν οφέλη ως προς τη λεπτομερή πληροφόρηση για ειδικούς τομείς πολιτικής και υποστηρίζουν την εφαρμογή τομεακής νομοθεσίας. Ωστόσο, βρίσκονται διάσπαρτα σε πολλά ξεχωριστά νομοθετήματα που εγκρίθηκαν σε διαφορετικές χρονικές στιγμές, οδηγώντας ως έναν βαθμό σε πλεονασμό, ασυνέπεια και επικαλύψεις, καθώς και σε έλλειψη ενοποίησης μεταξύ των τομέων της ενέργειας και του κλίματος. Επιπλέον, ορισμένες από τις τρέχουσες απαιτήσεις ορίστηκαν ενόψει της επίτευξης των αντίστοιχων στόχων για το 2020 και, για τον λόγο αυτόν, δεν αρμόζουν για την υποστήριξη της επίτευξης του πλαισίου για την ενέργεια και το κλίμα για το 2030 ούτε συγχρονίζονται με τις υποχρεώσεις σχεδιασμού και υποβολής εκθέσεων βάσει της συμφωνίας του Παρισιού</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pPr>
      <w:r>
        <w:rPr>
          <w:noProof/>
        </w:rPr>
        <w:t>Η παρούσα πρόταση θα συγκεράσει τις ισχύουσες διασκορπισμένες υποχρεώσεις σχεδιασμού και υποβολής εκθέσεων των κύριων νομοθετημάτων της ΕΕ για την ενέργεια, το κλίμα και άλλους τομείς πολιτικής που σχετίζονται με την Ενεργειακή Ένωση, απλουστεύοντας έτσι σημαντικά τις υποχρεώσεις. Μειώνει, ευθυγραμμίζει και επικαιροποιεί τις εν λόγω απαιτήσεις και καταργεί τις υπάρχουσες επαναλήψεις. Συνολικά, η πρόταση ενσωματώνει, εξορθολογίζει και καταργεί πάνω από 50 υπάρχουσες ξεχωριστές υποχρεώσεις σχεδιασμού, υποβολής εκθέσεων και παρακολούθησης του ενεργειακού και κλιματικού κεκτημένου (ενσωματώνοντας 31 και απαλείφοντας 23). Η εξορθολογισμένη διαδικασία πολιτικής διακυβέρνησης μεταξύ της Επιτροπής και των κρατών μελών με τη στενή συμμετοχή άλλων θεσμικών οργάνων της ΕΕ θα εναρμονίσει τη συχνότητα και το χρονοδιάγραμμα των υποχρεώσεων, θα ενισχύσει σημαντικά τη διαφάνεια και τη συνεργασία και θα αποφέρει με αυτόν τον τρόπο πρόσθετα οφέλη όσον αφορά τη μείωση του διοικητικού φόρτου.</w:t>
      </w:r>
    </w:p>
    <w:p>
      <w:pPr>
        <w:pBdr>
          <w:top w:val="nil"/>
          <w:left w:val="nil"/>
          <w:bottom w:val="nil"/>
          <w:right w:val="nil"/>
          <w:between w:val="nil"/>
          <w:bar w:val="nil"/>
        </w:pBdr>
        <w:spacing w:before="0" w:after="240"/>
        <w:rPr>
          <w:rFonts w:eastAsia="Arial Unicode MS"/>
          <w:noProof/>
        </w:rPr>
      </w:pPr>
      <w:r>
        <w:rPr>
          <w:noProof/>
        </w:rPr>
        <w:t>Στα συμπεράσματα του Ευρωπαϊκού Συμβουλίου της 24</w:t>
      </w:r>
      <w:r>
        <w:rPr>
          <w:noProof/>
          <w:vertAlign w:val="superscript"/>
        </w:rPr>
        <w:t>ης</w:t>
      </w:r>
      <w:r>
        <w:rPr>
          <w:noProof/>
        </w:rPr>
        <w:t xml:space="preserve"> Οκτωβρίου 2014 συμφωνήθηκε το πλαίσιο για την ενέργεια και το κλίμα για το 2030</w:t>
      </w:r>
      <w:r>
        <w:rPr>
          <w:rStyle w:val="FootnoteReference"/>
          <w:noProof/>
        </w:rPr>
        <w:footnoteReference w:id="3"/>
      </w:r>
      <w:r>
        <w:rPr>
          <w:noProof/>
        </w:rPr>
        <w:t xml:space="preserve"> βάσει της πρότασης της Επιτροπής</w:t>
      </w:r>
      <w:r>
        <w:rPr>
          <w:rStyle w:val="FootnoteReference"/>
          <w:noProof/>
        </w:rPr>
        <w:footnoteReference w:id="4"/>
      </w:r>
      <w:r>
        <w:rPr>
          <w:noProof/>
        </w:rPr>
        <w:t xml:space="preserve">. Σύμφωνα με τα συμπεράσματα, απαιτείται η ανάπτυξη αξιόπιστης και διαφανούς διακυβέρνησης, χωρίς περιττό διοικητικό φόρτο, ώστε να διασφαλιστεί ότι η ΕΕ θα ικανοποιήσει τους στόχους ενεργειακής πολιτικής που έχει θέσει, με την παροχή της απαραίτητης ευελιξίας στα κράτη μέλη και με πλήρη σεβασμό προς την ελευθερία τους να καθορίζουν το ενεργειακό τους μείγμα. Τονίζεται ότι η εν λόγω διακυβέρνηση θα πρέπει να βασιστεί σε ήδη υπάρχουσες δομές, όπως τα εθνικά προγράμματα για το κλίμα, τα εθνικά σχέδια για τις ανανεώσιμες πηγές ενέργειας και την ενεργειακή απόδοση, όπως και στην ανάγκη εξορθολογισμού και συγκερασμού των ξεχωριστών σκελών σχεδιασμού και υποβολής εκθέσεων. </w:t>
      </w:r>
    </w:p>
    <w:p>
      <w:pPr>
        <w:pBdr>
          <w:top w:val="nil"/>
          <w:left w:val="nil"/>
          <w:bottom w:val="nil"/>
          <w:right w:val="nil"/>
          <w:between w:val="nil"/>
          <w:bar w:val="nil"/>
        </w:pBdr>
        <w:spacing w:before="0" w:after="240"/>
        <w:rPr>
          <w:rFonts w:eastAsia="Arial Unicode MS"/>
          <w:noProof/>
        </w:rPr>
      </w:pPr>
      <w:r>
        <w:rPr>
          <w:noProof/>
        </w:rPr>
        <w:t>Η στρατηγική της Ενεργειακής Ένωσης της 25</w:t>
      </w:r>
      <w:r>
        <w:rPr>
          <w:noProof/>
          <w:vertAlign w:val="superscript"/>
        </w:rPr>
        <w:t>ης</w:t>
      </w:r>
      <w:r>
        <w:rPr>
          <w:noProof/>
        </w:rPr>
        <w:t xml:space="preserve"> Φεβρουαρίου 2015 διεύρυνε το πεδίο εφαρμογής της διακυβέρνησης πέραν του πλαισίου για την ενέργεια και το κλίμα για το 2030, και στις πέντε διαστάσεις της Ενεργειακής Ένωσης (ενεργειακή ασφάλεια, αλληλεγγύη και εμπιστοσύνη, εσωτερική αγορά ενέργειας, μετριασμός της ζήτησης, απαλλαγή από τις ανθρακούχες εκπομπές, μεταξύ άλλων μέσω ανανεώσιμων πηγών ενέργειας και έρευνα, καινοτομία και ανταγωνιστικότητα).</w:t>
      </w:r>
    </w:p>
    <w:p>
      <w:pPr>
        <w:pBdr>
          <w:top w:val="nil"/>
          <w:left w:val="nil"/>
          <w:bottom w:val="nil"/>
          <w:right w:val="nil"/>
          <w:between w:val="nil"/>
          <w:bar w:val="nil"/>
        </w:pBdr>
        <w:spacing w:before="0" w:after="240"/>
        <w:rPr>
          <w:rFonts w:eastAsia="Arial Unicode MS"/>
          <w:noProof/>
        </w:rPr>
      </w:pPr>
      <w:r>
        <w:rPr>
          <w:noProof/>
        </w:rPr>
        <w:t>Στην κατάσταση της Ενεργειακής Ένωσης της 18</w:t>
      </w:r>
      <w:r>
        <w:rPr>
          <w:noProof/>
          <w:vertAlign w:val="superscript"/>
        </w:rPr>
        <w:t>ης</w:t>
      </w:r>
      <w:r>
        <w:rPr>
          <w:noProof/>
        </w:rPr>
        <w:t xml:space="preserve"> Νοεμβρίου 2015 και στις συνημμένες σε αυτήν οδηγίες της Επιτροπής προς τα κράτη μέλη για τα εθνικά σχέδια για την ενέργεια και το κλίμα παρέχονται περισσότερες λεπτομέρειες και ορίζεται ότι η διακυβέρνηση θα πρέπει να εδραιωθεί στη νομοθεσία.</w:t>
      </w:r>
    </w:p>
    <w:p>
      <w:pPr>
        <w:pBdr>
          <w:top w:val="nil"/>
          <w:left w:val="nil"/>
          <w:bottom w:val="nil"/>
          <w:right w:val="nil"/>
          <w:between w:val="nil"/>
          <w:bar w:val="nil"/>
        </w:pBdr>
        <w:spacing w:before="0" w:after="240"/>
        <w:rPr>
          <w:rFonts w:eastAsia="Arial Unicode MS"/>
          <w:noProof/>
        </w:rPr>
      </w:pPr>
      <w:r>
        <w:rPr>
          <w:noProof/>
        </w:rPr>
        <w:t>Στα συμπεράσματα του Συμβουλίου Ενέργειας της 26</w:t>
      </w:r>
      <w:r>
        <w:rPr>
          <w:noProof/>
          <w:vertAlign w:val="superscript"/>
        </w:rPr>
        <w:t>ης</w:t>
      </w:r>
      <w:r>
        <w:rPr>
          <w:noProof/>
        </w:rPr>
        <w:t xml:space="preserve"> Νοεμβρίου 2015 αναγνωρίζεται ότι η διακυβέρνηση θα αποτελεί ουσιαστικό εργαλείο για την αποδοτική και αποτελεσματική οικοδόμηση της Ενεργειακής Ένωσης. Παράλληλα, τακτικές συζητήσεις διεξάγονται μεταξύ της Επιτροπής και των κρατών μελών στο πλαίσιο της τεχνικής ομάδας εργασίας για τα εθνικά σχέδια για την ενέργεια και το κλίμα.</w:t>
      </w:r>
    </w:p>
    <w:p>
      <w:pPr>
        <w:pBdr>
          <w:top w:val="nil"/>
          <w:left w:val="nil"/>
          <w:bottom w:val="nil"/>
          <w:right w:val="nil"/>
          <w:between w:val="nil"/>
          <w:bar w:val="nil"/>
        </w:pBdr>
        <w:spacing w:before="0" w:after="240"/>
        <w:rPr>
          <w:rFonts w:eastAsia="Arial Unicode MS"/>
          <w:noProof/>
        </w:rPr>
      </w:pPr>
      <w:r>
        <w:rPr>
          <w:noProof/>
        </w:rPr>
        <w:t>Στο ψήφισμα του Ευρωπαϊκού Κοινοβουλίου της 15</w:t>
      </w:r>
      <w:r>
        <w:rPr>
          <w:noProof/>
          <w:vertAlign w:val="superscript"/>
        </w:rPr>
        <w:t>ης</w:t>
      </w:r>
      <w:r>
        <w:rPr>
          <w:noProof/>
        </w:rPr>
        <w:t xml:space="preserve"> Δεκεμβρίου 2015 με τίτλο «Η πορεία προς μια Ευρωπαϊκή Ενεργειακή Ένωση» τονίζεται η ανάγκη για μια διακυβέρνηση της Ενεργειακής Ένωσης που θα είναι φιλόδοξη, αξιόπιστη, διαφανής, δημοκρατική και με την πλήρη συμμετοχή του Ευρωπαϊκού Κοινοβουλίου, ώστε να διασφαλιστεί η επίτευξη των κλιματικών και ενεργειακών στόχων για το 2030.</w:t>
      </w:r>
    </w:p>
    <w:p>
      <w:pPr>
        <w:pBdr>
          <w:top w:val="nil"/>
          <w:left w:val="nil"/>
          <w:bottom w:val="nil"/>
          <w:right w:val="nil"/>
          <w:between w:val="nil"/>
          <w:bar w:val="nil"/>
        </w:pBdr>
        <w:spacing w:before="0" w:after="240"/>
        <w:rPr>
          <w:rFonts w:eastAsia="Arial Unicode MS"/>
          <w:noProof/>
        </w:rPr>
      </w:pPr>
      <w:r>
        <w:rPr>
          <w:noProof/>
        </w:rPr>
        <w:t>Σε αυτήν τη βάση, στόχος της παρούσας πρότασης είναι να θεσπιστεί το κανονιστικό πλαίσιο διακυβέρνησης της Ενεργειακής Ένωσης με δύο βασικούς πυλώνες: Πρώτον, τον εξορθολογισμό και την ενοποίηση των υπαρχουσών υποχρεώσεων σχεδιασμού, υποβολής εκθέσεων και παρακολούθησης στον τομέα της ενέργειας και του κλίματος, ώστε να αντικατοπτρίζονται οι αρχές βελτίωσης της νομοθεσίας. Δεύτερον, τον καθορισμό μιας αυστηρής πολιτικής διαδικασίας μεταξύ των κρατών μελών και της Επιτροπής με τη στενή συμμετοχή άλλων θεσμικών οργάνων της ΕΕ ενόψει της επίτευξης των στόχων της Ενεργειακής Ένωσης, ειδικά των ενεργειακών και κλιματικών στόχων για το 2030.</w:t>
      </w:r>
    </w:p>
    <w:p>
      <w:pPr>
        <w:pBdr>
          <w:top w:val="nil"/>
          <w:left w:val="nil"/>
          <w:bottom w:val="nil"/>
          <w:right w:val="nil"/>
          <w:between w:val="nil"/>
          <w:bar w:val="nil"/>
        </w:pBdr>
        <w:spacing w:before="0" w:after="240"/>
        <w:rPr>
          <w:rFonts w:eastAsia="Arial Unicode MS"/>
          <w:noProof/>
        </w:rPr>
      </w:pPr>
      <w:r>
        <w:rPr>
          <w:noProof/>
        </w:rPr>
        <w:t>Στις 5 Οκτωβρίου 2016, η Ευρωπαϊκή Ένωση επικύρωσε τη συμφωνία του Παρισιού, η οποία τέθηκε σε ισχύ στις 4 Νοεμβρίου 2016. Ο προτεινόμενος κανονισμός συμβάλλει στην εφαρμογή της συμφωνίας του Παρισιού, συμπεριλαμβανομένου του πενταετούς κύκλου επανεξέτασης, και διασφαλίζει ότι οι απαιτήσεις παρακολούθησης, υποβολής εκθέσεων και επαλήθευσης βάσει της UNFCCC και της συμφωνίας του Παρισιού ενσωματώνονται αρμονικά στη διακυβέρνηση της Ενεργειακής Ένωσης.</w:t>
      </w:r>
    </w:p>
    <w:p>
      <w:pPr>
        <w:pStyle w:val="ManualHeading2"/>
        <w:rPr>
          <w:rFonts w:eastAsia="Arial Unicode MS"/>
          <w:noProof/>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Βάσει των αποτελεσμάτων ελέγχου καταλληλότητας του ενεργειακού κεκτημένου και των σχετικών τμημάτων του κλιματικού κεκτημένου, ο προτεινόμενος κανονισμός διατηρεί, ακυρώνει ή τροποποιεί τις υποχρεώσεις σχεδιασμού και υποβολής εκθέσεων των κρατών μελών και τις υποχρεώσεις παρακολούθησης της Επιτροπής που βρίσκονται επί του παρόντος σε τομεακή νομοθεσία. Η πρόταση καταρτίστηκε παράλληλα με την αναθεώρηση από την Επιτροπή της οδηγίας σχετικά με την ενεργειακή απόδοση, της οδηγίας για την ενεργειακή απόδοση των κτιρίων, της οδηγίας για τις ανανεώσιμες πηγές ενέργειας και των διαφόρων νομοθετημάτων που περιλαμβάνονται στην πρωτοβουλία σχεδιασμού της αγοράς ενόψει της διασφάλισης απόλυτης συνοχής μεταξύ αυτών των πρωτοβουλιών. Διασφαλίστηκε, επίσης, η συνέπεια με άλλα νομοθετήματα της ΕΕ στους τομείς του κλίματος και της ενέργειας. </w:t>
      </w:r>
    </w:p>
    <w:p>
      <w:pPr>
        <w:pBdr>
          <w:top w:val="nil"/>
          <w:left w:val="nil"/>
          <w:bottom w:val="nil"/>
          <w:right w:val="nil"/>
          <w:between w:val="nil"/>
          <w:bar w:val="nil"/>
        </w:pBdr>
        <w:spacing w:before="0" w:after="240"/>
        <w:rPr>
          <w:rFonts w:eastAsia="Arial Unicode MS"/>
          <w:noProof/>
        </w:rPr>
      </w:pPr>
      <w:r>
        <w:rPr>
          <w:noProof/>
        </w:rPr>
        <w:t xml:space="preserve">Επιπλέον, η πρόταση ενσωματώνει πλήρως τον κανονισμό για μηχανισμό παρακολούθησης του κλίματος (MMR), ώστε να διασφαλιστεί η ενοποίηση των τομέων της ενέργειας και του κλίματος. Η πρόταση, γενικά, συνεχίζει την προσέγγιση των υφιστάμενων διατάξεων σχεδιασμού, υποβολής εκθέσεων και παρακολούθησης βάσει του MMR, που προέκυψε ως αποτέλεσμα προηγούμενης άσκησης εξορθολογισμού στον τομέα του κλίματος. Ωστόσο, η παρούσα πρόταση εξορθολογίζει τις υφιστάμενες διατάξεις του MMR μέσω νομοθεσίας στον τομέα της ενέργειας και ενημερώνει τις υφιστάμενες διατάξεις, ώστε να είναι κατάλληλες για την παρακολούθηση της εφαρμογής των προτεινόμενων κανονισμών για τον επιμερισμό της προσπάθειας και για τη χρήση γης, την αλλαγή χρήσης γης και τη δασοκομία (LULUCF), όπως και για την υλοποίηση των δεσμεύσεων της ΕΕ βάσει της συμφωνίας του Παρισιού. Επειδή η πρόταση καλύπτει ένα φάσμα θεματικών πεδίων, αποφασίστηκε να μην προταθεί αναδιατύπωση του MMR. Παρά ταύτα, η Επιτροπή δίνει ιδιαίτερη έμφαση στη σημασία διατήρησης όλων των περιεχομένων του MMR για τα οποία δεν προτείνεται αλλαγή στην παρούσα πρόταση. </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πρωτοβουλία συνδέεται επίσης με άλλους τομείς πολιτικής, όπως οι μεταφορές, το περιβάλλον, η βιομηχανία, η οικονομία, η έρευνα και ο ανταγωνισμός. Ωστόσο, είναι σημαντικό να σημειωθεί ότι αυτή η πρωτοβουλία, όσον αφορά τον εξορθολογισμό και την ενοποίηση του σχεδιασμού και της υποβολής εκθέσεων, εστιάζει στους τομείς της ενέργειας και του κλίματος, ενσωματώνοντας συγχρόνως κάποια ειδικά σκέλη υποβολής εκθέσεων και σχεδιασμού άλλων τομέων. Αυτό είναι απαραίτητο για τη διασφάλιση μιας διαχειρίσιμης διαδικασίας με εστίαση στους κύριους στόχους της Ενεργειακής Ένωσης.</w:t>
      </w:r>
    </w:p>
    <w:p>
      <w:pPr>
        <w:pBdr>
          <w:top w:val="nil"/>
          <w:left w:val="nil"/>
          <w:bottom w:val="nil"/>
          <w:right w:val="nil"/>
          <w:between w:val="nil"/>
          <w:bar w:val="nil"/>
        </w:pBdr>
        <w:spacing w:before="0" w:after="240"/>
        <w:rPr>
          <w:rFonts w:eastAsia="Arial Unicode MS"/>
          <w:noProof/>
        </w:rPr>
      </w:pPr>
      <w:r>
        <w:rPr>
          <w:noProof/>
        </w:rPr>
        <w:t>Η πτυχή των συστάσεων της Επιτροπής στα κράτη μέλη, όπως ορίζεται στον προτεινόμενο κανονισμό, λειτουργεί συμπληρωματικά και συνεκτικά προς τις συστάσεις που εκδίδονται στο πλαίσιο του Ευρωπαϊκού Εξαμήνου, το οποίο εστιάζει σε μακροοικονομικά ζητήματα και ζητήματα διαρθρωτικής μεταρρύθμισης (που σπανίως συνδέονται με την ενέργεια ή το κλίμα), ενώ η διακυβέρνηση αφορά ζητήματα πολιτικής που έχουν ειδική σχέση με την ενέργεια και το κλίμα. Εάν τα ζητήματα πολιτικής που έχουν ειδική σχέση με την ενέργεια και το κλίμα είναι συναφή με μακροοικονομικά ζητήματα ή ζητήματα διαρθρωτικής μεταρρύθμισης, θα πρέπει να εξακολουθούν να περιλαμβάνονται στο Ευρωπαϊκό Εξάμηνο.</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Νομική βάση όλων των διατάξεων του κανονισμού είναι τα άρθρα 191, 192 και 194 της ΣΛΕΕ.</w:t>
      </w:r>
    </w:p>
    <w:p>
      <w:pPr>
        <w:pBdr>
          <w:top w:val="nil"/>
          <w:left w:val="nil"/>
          <w:bottom w:val="nil"/>
          <w:right w:val="nil"/>
          <w:between w:val="nil"/>
          <w:bar w:val="nil"/>
        </w:pBdr>
        <w:spacing w:before="0" w:after="240"/>
        <w:rPr>
          <w:rFonts w:eastAsia="Arial Unicode MS"/>
          <w:noProof/>
        </w:rPr>
      </w:pPr>
      <w:r>
        <w:rPr>
          <w:noProof/>
        </w:rPr>
        <w:t>Μέσω του προτεινόμενου κανονισμού επιδιώκεται ένας θεμιτός στόχος εντός του πεδίου εφαρμογής των εν λόγω άρθρων. Η συνήθης νομοθετική διαδικασία ισχύει γενικά για τη λήψη μέτρων κατά το άρθρο 192 παράγραφος 1 της ΣΛΕΕ και το άρθρο 194 παράγραφος 2 της ΣΛΕΕ.</w:t>
      </w:r>
    </w:p>
    <w:p>
      <w:pPr>
        <w:pStyle w:val="ManualHeading2"/>
        <w:rPr>
          <w:rFonts w:eastAsia="Arial Unicode MS"/>
          <w:noProof/>
          <w:u w:color="000000"/>
          <w:bdr w:val="nil"/>
        </w:rPr>
      </w:pPr>
      <w:r>
        <w:rPr>
          <w:noProof/>
        </w:rPr>
        <w:t>•</w:t>
      </w:r>
      <w:r>
        <w:rPr>
          <w:noProof/>
        </w:rPr>
        <w:tab/>
        <w:t>Επικουρικότητα (σε περίπτωση μη αποκλειστικής αρμοδιότητας)</w:t>
      </w:r>
    </w:p>
    <w:p>
      <w:pPr>
        <w:pBdr>
          <w:top w:val="nil"/>
          <w:left w:val="nil"/>
          <w:bottom w:val="nil"/>
          <w:right w:val="nil"/>
          <w:between w:val="nil"/>
          <w:bar w:val="nil"/>
        </w:pBdr>
        <w:spacing w:before="0" w:after="240"/>
        <w:rPr>
          <w:rFonts w:eastAsia="Arial Unicode MS"/>
          <w:noProof/>
        </w:rPr>
      </w:pPr>
      <w:r>
        <w:rPr>
          <w:noProof/>
        </w:rPr>
        <w:t xml:space="preserve">Η ανάγκη σεβασμού της αρχής της επικουρικότητας είναι ένα από τα καθοριστικής σημασίας θέματα αναφορικά με τη διακυβέρνηση βάσει της προσέγγισης ότι τα κράτη μέλη θα πρέπει να εκπονήσουν μόνα τους τα εθνικά σχέδια, όπως και τους στόχους και τα μέτρα που προβλέπονται σε αυτά. </w:t>
      </w:r>
    </w:p>
    <w:p>
      <w:pPr>
        <w:pBdr>
          <w:top w:val="nil"/>
          <w:left w:val="nil"/>
          <w:bottom w:val="nil"/>
          <w:right w:val="nil"/>
          <w:between w:val="nil"/>
          <w:bar w:val="nil"/>
        </w:pBdr>
        <w:spacing w:before="0" w:after="240"/>
        <w:rPr>
          <w:rFonts w:eastAsia="Arial Unicode MS"/>
          <w:i/>
          <w:noProof/>
        </w:rPr>
      </w:pPr>
      <w:r>
        <w:rPr>
          <w:i/>
          <w:noProof/>
        </w:rPr>
        <w:t>Αναγκαιότητα δράσης της ΕΕ</w:t>
      </w:r>
    </w:p>
    <w:p>
      <w:pPr>
        <w:pBdr>
          <w:top w:val="nil"/>
          <w:left w:val="nil"/>
          <w:bottom w:val="nil"/>
          <w:right w:val="nil"/>
          <w:between w:val="nil"/>
          <w:bar w:val="nil"/>
        </w:pBdr>
        <w:spacing w:before="0" w:after="240"/>
        <w:rPr>
          <w:rFonts w:eastAsia="Arial Unicode MS"/>
          <w:noProof/>
        </w:rPr>
      </w:pPr>
      <w:r>
        <w:rPr>
          <w:noProof/>
        </w:rPr>
        <w:t xml:space="preserve">Επειδή αρκετά στοιχεία της στρατηγικής της Ενεργειακής Ένωσης σχετίζονται με στόχους που ορίζονται σε επίπεδο ΕΕ, απαιτείται δράση σε επίπεδο ΕΕ για την επίτευξη αυτών των στόχων, όπως και συνοχή μεταξύ των πολιτικών για την ενέργεια και το κλίμα εντός της ΕΕ και στα κράτη μέλη της, με διατήρηση συγχρόνως της ευελιξίας των κρατών μελών. Επιπλέον, η πλειοψηφία των προκλήσεων σε σχέση με την ενέργεια που αντιμετωπίζει η Ένωση δεν μπορούν να επιλυθούν χωρίς συντονισμένη δράση σε εθνικό επίπεδο. Το ίδιο ισχύει για την κλιματική αλλαγή, η οποία εκ φύσεως έχει διασυνοριακό χαρακτήρα και δεν μπορεί να αντιμετωπιστεί μόνο μέσω δράσης σε τοπικό, εθνικό ή ακόμα και ευρωπαϊκό επίπεδο. </w:t>
      </w:r>
    </w:p>
    <w:p>
      <w:pPr>
        <w:pBdr>
          <w:top w:val="nil"/>
          <w:left w:val="nil"/>
          <w:bottom w:val="nil"/>
          <w:right w:val="nil"/>
          <w:between w:val="nil"/>
          <w:bar w:val="nil"/>
        </w:pBdr>
        <w:spacing w:before="0" w:after="240"/>
        <w:rPr>
          <w:rFonts w:eastAsia="Arial Unicode MS"/>
          <w:noProof/>
        </w:rPr>
      </w:pPr>
      <w:r>
        <w:rPr>
          <w:noProof/>
        </w:rPr>
        <w:t>Επίσης, λόγω της διασυνοριακής σημασίας κάθε επιμέρους διάστασης της Ενεργειακής Ένωσης, απαιτείται δράση της ΕΕ για περαιτέρω προώθηση της ενισχυμένης συνεργασίας μεταξύ των κρατών μελών. Καμία από τις διαστάσεις της Ενεργειακής Ένωσης δεν θα μπορούσε να εφαρμοστεί αποτελεσματικά χωρίς την ύπαρξη διακυβέρνησης σε επίπεδο ΕΕ για τα κράτη μέλη και την προώθηση της περιφερειακής συνεργασίας στο πλαίσιο της πολιτικής για το κλίμα και την ενέργεια από την Επιτροπή. Δράση σε επίπεδο ΕΕ απαιτείται, επίσης, προκειμένου να διασφαλιστεί η ετοιμότητα της ΕΕ να συμμετάσχει πλήρως στις διαδικασίες επανεξέτασης στο πλαίσιο της συμφωνίας του Παρισιού.</w:t>
      </w:r>
    </w:p>
    <w:p>
      <w:pPr>
        <w:pBdr>
          <w:top w:val="nil"/>
          <w:left w:val="nil"/>
          <w:bottom w:val="nil"/>
          <w:right w:val="nil"/>
          <w:between w:val="nil"/>
          <w:bar w:val="nil"/>
        </w:pBdr>
        <w:spacing w:before="0" w:after="240"/>
        <w:rPr>
          <w:rFonts w:eastAsia="Arial Unicode MS"/>
          <w:noProof/>
        </w:rPr>
      </w:pPr>
      <w:r>
        <w:rPr>
          <w:noProof/>
        </w:rPr>
        <w:t xml:space="preserve">Τέλος, δράση της ΕΕ απαιτείται για τον εξορθολογισμό των υφιστάμενων υποχρεώσεων σχεδιασμού, υποβολής εκθέσεων και παρακολούθησης, καθώς σχετικές απαιτήσεις ορίζονται στη νομοθεσία της </w:t>
      </w:r>
      <w:r>
        <w:rPr>
          <w:i/>
          <w:noProof/>
        </w:rPr>
        <w:t>ΕΕ</w:t>
      </w:r>
      <w:r>
        <w:rPr>
          <w:noProof/>
        </w:rPr>
        <w:t xml:space="preserve"> – αυτές μπορούν να τροποποιηθούν ή/και να καταργηθούν μόνο μέσω νομοθετικής πρότασης σε επίπεδο ΕΕ.</w:t>
      </w:r>
    </w:p>
    <w:p>
      <w:pPr>
        <w:pBdr>
          <w:top w:val="nil"/>
          <w:left w:val="nil"/>
          <w:bottom w:val="nil"/>
          <w:right w:val="nil"/>
          <w:between w:val="nil"/>
          <w:bar w:val="nil"/>
        </w:pBdr>
        <w:spacing w:before="0" w:after="240"/>
        <w:rPr>
          <w:rFonts w:eastAsia="Arial Unicode MS"/>
          <w:i/>
          <w:noProof/>
        </w:rPr>
      </w:pPr>
      <w:r>
        <w:rPr>
          <w:i/>
          <w:noProof/>
        </w:rPr>
        <w:t>Προστιθέμενη αξία της ΕΕ</w:t>
      </w:r>
    </w:p>
    <w:p>
      <w:pPr>
        <w:pBdr>
          <w:top w:val="nil"/>
          <w:left w:val="nil"/>
          <w:bottom w:val="nil"/>
          <w:right w:val="nil"/>
          <w:between w:val="nil"/>
          <w:bar w:val="nil"/>
        </w:pBdr>
        <w:spacing w:before="0" w:after="240"/>
        <w:rPr>
          <w:rFonts w:eastAsia="Arial Unicode MS"/>
          <w:noProof/>
        </w:rPr>
      </w:pPr>
      <w:r>
        <w:rPr>
          <w:noProof/>
        </w:rPr>
        <w:t xml:space="preserve">Η δημιουργία ισχυρής διακυβέρνησης για την Ενεργειακή Ένωση θα συμβάλει στο να διασφαλιστεί ότι η ΕΕ και τα κράτη μέλη της θα επιτύχουν συλλογικά τους συμφωνηθέντες στόχους της Ενεργειακής Ένωσης, συμπεριλαμβανομένων των ενεργειακών και κλιματικών στόχων για το 2030, και θα καταλήξουν σε συντονισμένες και κοινές λύσεις για την αντιμετώπιση των συνηθέστερων προκλήσεων με αποτελεσματικό και οικονομικό τρόπο. Αυτό είναι επιτακτικό ενόψει των σημαντικών επενδυτικών αναγκών στον τομέα της ενέργειας κατά τις επόμενες δεκαετίες. </w:t>
      </w:r>
    </w:p>
    <w:p>
      <w:pPr>
        <w:pBdr>
          <w:top w:val="nil"/>
          <w:left w:val="nil"/>
          <w:bottom w:val="nil"/>
          <w:right w:val="nil"/>
          <w:between w:val="nil"/>
          <w:bar w:val="nil"/>
        </w:pBdr>
        <w:spacing w:before="0" w:after="240"/>
        <w:rPr>
          <w:rFonts w:eastAsia="Arial Unicode MS"/>
          <w:noProof/>
        </w:rPr>
      </w:pPr>
      <w:r>
        <w:rPr>
          <w:noProof/>
        </w:rPr>
        <w:t>Τα κράτη μέλη θα επωφεληθούν από το εξορθολογισμένο και απλοποιημένο πλαίσιο σχεδιασμού και υποβολής εκθέσεων όσον αφορά τις πολιτικές τους για την ενέργεια και το κλίμα. Αποδοτικότερες και πιο συνεκτικές διοικητικές διαδικασίες εντός των εθνικών αρχών και μεταξύ των κρατών μελών θα καταστήσουν δυνατή την αποτελεσματικότερη ανάπτυξη και εφαρμογή πολιτικών για την ενέργεια και το κλίμα. Ο ιδιωτικός τομέας θα επωφεληθεί από τη μεγαλύτερη διαφάνεια των εθνικών κανονιστικών πλαισίων ως βάση λήψης επενδυτικών αποφάσεων στους τομείς της ενέργειας και του κλίματος· και οι πολίτες θα επωφεληθούν από την καλύτερη πληροφόρηση σχετικά με την υλοποίηση της Ενεργειακής Ένωσης και των σχετικών πολιτικών.</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Η εδραίωση της πρότασης διακυβέρνησης στη νομοθεσία (αντί για μια μη νομοθετική προσέγγιση) είναι απαραίτητη, προκειμένου να διασφαλιστεί ότι όλα τα κράτη μέλη θα συμβάλουν στην επεξεργασία και την επίτευξη κοινών επιδιώξεων και στόχων με συγκρίσιμο τρόπο, για τη βελτίωση της κανονιστικής σταθερότητα και της επενδυτικής ασφάλειας και για να διασφαλιστεί η κοινή παρακολούθηση μεταξύ των κρατών μελών και της Ένωσης.</w:t>
      </w:r>
    </w:p>
    <w:p>
      <w:pPr>
        <w:pBdr>
          <w:top w:val="nil"/>
          <w:left w:val="nil"/>
          <w:bottom w:val="nil"/>
          <w:right w:val="nil"/>
          <w:between w:val="nil"/>
          <w:bar w:val="nil"/>
        </w:pBdr>
        <w:spacing w:before="0" w:after="240"/>
        <w:rPr>
          <w:rFonts w:eastAsia="Arial Unicode MS"/>
          <w:noProof/>
        </w:rPr>
      </w:pPr>
      <w:r>
        <w:rPr>
          <w:noProof/>
        </w:rPr>
        <w:t>Η προσέγγιση του εθνικού σχεδιασμού και της υποβολής εκθέσεων βασίζεται στον έλεγχο καταλληλότητας (βλ. παρακάτω), κύριος στόχος του οποίου ήταν να αξιολογηθεί η αναλογικότητα της τρέχουσας προσέγγισης και να βελτιωθεί, κατά περίπτωση, ο σεβασμός της αρχής.</w:t>
      </w:r>
    </w:p>
    <w:p>
      <w:pPr>
        <w:pBdr>
          <w:top w:val="nil"/>
          <w:left w:val="nil"/>
          <w:bottom w:val="nil"/>
          <w:right w:val="nil"/>
          <w:between w:val="nil"/>
          <w:bar w:val="nil"/>
        </w:pBdr>
        <w:spacing w:before="0" w:after="240"/>
        <w:rPr>
          <w:rFonts w:eastAsia="Arial Unicode MS"/>
          <w:noProof/>
        </w:rPr>
      </w:pPr>
      <w:r>
        <w:rPr>
          <w:noProof/>
        </w:rPr>
        <w:t>Η προσέγγιση της επαναληπτικής διαδικασίας μεταξύ των κρατών μελών και της Επιτροπής βασίζεται σε συστάσεις της Επιτροπής και όχι π.χ. σε αποφάσεις της Επιτροπής, ώστε να διασφαλίζεται η αναλογικότητα και ο πλήρης σεβασμός των δικαιωμάτων των κρατών μελών κατά το άρθρο 194 της ΣΛΕΕ.</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noProof/>
        </w:rPr>
      </w:pPr>
      <w:r>
        <w:rPr>
          <w:noProof/>
        </w:rPr>
        <w:t>Για τη διασφάλιση της δυνατότητας άμεσης εφαρμογής των διατάξεων και, κατ' επέκταση, της συγκρισιμότητας των εθνικών σχεδίων και εκθέσεων για την ενέργεια και το κλίμα απαιτείται η έκδοση κανονισμού και όχι οδηγίας. Ένα επιπλέον πλεονέκτημα της δυνατότητας άμεσης εφαρμογής είναι ότι τα σχέδια μπορούν να είναι έτοιμα αρκετά πριν από το 2021.</w:t>
      </w:r>
    </w:p>
    <w:p>
      <w:pPr>
        <w:pBdr>
          <w:top w:val="nil"/>
          <w:left w:val="nil"/>
          <w:bottom w:val="nil"/>
          <w:right w:val="nil"/>
          <w:between w:val="nil"/>
          <w:bar w:val="nil"/>
        </w:pBdr>
        <w:spacing w:before="0" w:after="240"/>
        <w:rPr>
          <w:rFonts w:eastAsia="Arial Unicode MS"/>
          <w:noProof/>
        </w:rPr>
      </w:pPr>
      <w:r>
        <w:rPr>
          <w:noProof/>
        </w:rPr>
        <w:t>Επιπλέον, αρκετές διατάξεις του κανονισμού δεν απευθύνονται στα κράτη μέλη και, για τον λόγο αυτόν, δεν θα μπορούσαν να εφαρμοστούν μέσω μεταφοράς στο εθνικό δίκαιο (π.χ. υποχρεώσεις της Επιτροπής, η διαδικασία συστάσεων της Επιτροπής, ο Ευρωπαϊκός Οργανισμός Περιβάλλοντος κ.λπ.).</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pBdr>
          <w:top w:val="nil"/>
          <w:left w:val="nil"/>
          <w:bottom w:val="nil"/>
          <w:right w:val="nil"/>
          <w:between w:val="nil"/>
          <w:bar w:val="nil"/>
        </w:pBdr>
        <w:spacing w:before="0" w:after="240"/>
        <w:rPr>
          <w:noProof/>
        </w:rPr>
      </w:pPr>
      <w:r>
        <w:rPr>
          <w:noProof/>
        </w:rPr>
        <w:t>Η διασφάλιση καταλληλότητας του κανονιστικού πλαισίου και η απλούστευση είναι ένας από τους βασικούς στόχους του προτεινόμενου κανονισμού. Σε συμφωνία με τη δέσμευση της Επιτροπής για βελτίωση της νομοθεσίας, η πρόταση καταρτίστηκε περιεκτικά, με βάση τη διαφάνεια και τη συνεχή συμμετοχή των ενδιαφερόμενων μερών.</w:t>
      </w:r>
    </w:p>
    <w:p>
      <w:pPr>
        <w:pBdr>
          <w:top w:val="nil"/>
          <w:left w:val="nil"/>
          <w:bottom w:val="nil"/>
          <w:right w:val="nil"/>
          <w:between w:val="nil"/>
          <w:bar w:val="nil"/>
        </w:pBdr>
        <w:spacing w:before="0" w:after="240"/>
        <w:rPr>
          <w:noProof/>
        </w:rPr>
      </w:pPr>
      <w:r>
        <w:rPr>
          <w:noProof/>
        </w:rPr>
        <w:t>Σύμφωνα με τον έλεγχο καταλληλότητας (</w:t>
      </w:r>
      <w:r>
        <w:rPr>
          <w:b/>
          <w:noProof/>
        </w:rPr>
        <w:t>REFIT</w:t>
      </w:r>
      <w:r>
        <w:rPr>
          <w:noProof/>
        </w:rPr>
        <w:t>) που υποστηρίζει τον προτεινόμενο κανονισμό, η νέα προσέγγιση μπορεί να επιφέρει σημαντική μείωση του διοικητικού φόρτου για τα κράτη μέλη και την Επιτροπή, παρότι οι εν λόγω επιπτώσεις μόνο εν μέρει μπορούν να αποτιμηθούν ποσοτικά λόγω της περιορισμένης διαθεσιμότητας αξιόπιστων στοιχείων. Συγχρόνως, η νέα προσέγγιση αναμένεται να συμβάλλει σημαντικά στην ενίσχυση της συνοχής και της αποτελεσματικότητας. Στην πρόταση δεν περιλαμβάνονται εξαιρέσεις για πολύ μικρές επιχειρήσεις ούτε ειδική προσέγγιση για μικρές και μεσαίες επιχειρήσεις, επειδή τέτοιες οντότητες δεν επηρεάζονται από την πρωτοβουλία.</w:t>
      </w:r>
    </w:p>
    <w:p>
      <w:pPr>
        <w:pBdr>
          <w:top w:val="nil"/>
          <w:left w:val="nil"/>
          <w:bottom w:val="nil"/>
          <w:right w:val="nil"/>
          <w:between w:val="nil"/>
          <w:bar w:val="nil"/>
        </w:pBdr>
        <w:spacing w:before="0" w:after="240"/>
        <w:rPr>
          <w:rFonts w:eastAsia="Arial Unicode MS"/>
          <w:noProof/>
        </w:rPr>
      </w:pPr>
      <w:r>
        <w:rPr>
          <w:noProof/>
        </w:rPr>
        <w:t>Ο προτεινόμενος κανονισμός θα ενισχύσει τον ρόλο της ηλεκτρονικής υποβολής εκθέσεων, γεγονός που αναμένεται να μειώσει περαιτέρω τον διοικητικό φόρτο.</w:t>
      </w:r>
    </w:p>
    <w:p>
      <w:pPr>
        <w:pStyle w:val="ManualHeading2"/>
        <w:rPr>
          <w:rFonts w:eastAsia="Arial Unicode MS"/>
          <w:noProof/>
          <w:u w:color="000000"/>
          <w:bdr w:val="nil"/>
        </w:rPr>
      </w:pPr>
      <w:r>
        <w:rPr>
          <w:noProof/>
        </w:rPr>
        <w:t xml:space="preserve"> •</w:t>
      </w:r>
      <w:r>
        <w:rPr>
          <w:noProof/>
        </w:rPr>
        <w:tab/>
        <w:t>Εκτίμηση των επιπτώσεων</w:t>
      </w:r>
    </w:p>
    <w:p>
      <w:pPr>
        <w:pBdr>
          <w:top w:val="nil"/>
          <w:left w:val="nil"/>
          <w:bottom w:val="nil"/>
          <w:right w:val="nil"/>
          <w:between w:val="nil"/>
          <w:bar w:val="nil"/>
        </w:pBdr>
        <w:spacing w:before="0" w:after="240"/>
        <w:rPr>
          <w:noProof/>
        </w:rPr>
      </w:pPr>
      <w:r>
        <w:rPr>
          <w:noProof/>
        </w:rPr>
        <w:t>Η εκτίμηση επιπτώσεων που συνοδεύει την παρούσα πρόταση καταρτίστηκε και συντάχθηκε σύμφωνα με την ισχύουσα οδηγία για τη βελτίωση της νομοθεσίας και η επιτροπή ρυθμιστικού ελέγχου εξέδωσε θετική γνώμη. Οι βελτιώσεις που συνέστησε η επιτροπή ενσωματώθηκαν στην τελική έκδοση. Όσον αφορά τις επιλογές πολιτικής για τον εξορθολογισμό των υποχρεώσεων σχεδιασμού, υποβολής εκθέσεων και παρακολούθησης, μεταξύ των επιλογών που αξιολογήθηκαν περιλαμβάνονται από ήπια (μη νομοθετική) καθοδήγηση για τα κράτη μέλη έως ποικίλες νομικές προσεγγίσεις για τον εξορθολογισμό και την ενοποίηση των υφιστάμενων υποχρεώσεων.</w:t>
      </w:r>
    </w:p>
    <w:p>
      <w:pPr>
        <w:pBdr>
          <w:top w:val="nil"/>
          <w:left w:val="nil"/>
          <w:bottom w:val="nil"/>
          <w:right w:val="nil"/>
          <w:between w:val="nil"/>
          <w:bar w:val="nil"/>
        </w:pBdr>
        <w:spacing w:before="0" w:after="240"/>
        <w:rPr>
          <w:noProof/>
        </w:rPr>
      </w:pPr>
      <w:r>
        <w:rPr>
          <w:noProof/>
        </w:rPr>
        <w:t>Διάφορες επιλογές πολιτικής αξιολογήθηκαν, επίσης, αναφορικά π.χ. με την επικαιροποίηση και την περιοδικότητα των εθνικών σχεδίων και εκθέσεων και τη διαδικασία παρακολούθησης της Επιτροπής, την επαναληπτική διαδικασία μεταξύ των κρατών μελών και της Επιτροπής, συμπεριλαμβανομένων συστάσεων προς τα κράτη μέλη, την πιθανή πολιτική απόκριση, όπου οι συγκεντρωτικές προσπάθειες των κρατών μελών ενδέχεται να μην επαρκούν για την επίτευξη των συμφωνηθέντων στόχων σε επίπεδο ΕΕ και τον ρόλο της περιφερειακής διαβούλευσης στην κατάρτιση εθνικών σχεδίων.</w:t>
      </w:r>
    </w:p>
    <w:p>
      <w:pPr>
        <w:pBdr>
          <w:top w:val="nil"/>
          <w:left w:val="nil"/>
          <w:bottom w:val="nil"/>
          <w:right w:val="nil"/>
          <w:between w:val="nil"/>
          <w:bar w:val="nil"/>
        </w:pBdr>
        <w:spacing w:before="0" w:after="240"/>
        <w:rPr>
          <w:noProof/>
        </w:rPr>
      </w:pPr>
      <w:r>
        <w:rPr>
          <w:noProof/>
        </w:rPr>
        <w:t xml:space="preserve">Η εκτίμηση επιπτώσεων καταλήγει στο συμπέρασμα ότι η προτιμώμενη επιλογή είναι μια νέα, μοναδική νομική πράξη που θα ενσωματώνει πλήρως τον κανονισμό για μηχανισμό παρακολούθησης (MMR). Επισημαίνεται η ανάγκη να επιτρέπεται έως έναν βαθμό η επικαιροποίηση των εθνικών σχεδίων και των </w:t>
      </w:r>
      <w:r>
        <w:rPr>
          <w:i/>
          <w:noProof/>
        </w:rPr>
        <w:t>διετών</w:t>
      </w:r>
      <w:r>
        <w:rPr>
          <w:noProof/>
        </w:rPr>
        <w:t xml:space="preserve"> εκθέσεων προόδου από τα κράτη μέλη, όπως και των εκθέσεων παρακολούθησης από την Επιτροπή (συμπεριλαμβανομένων των ετήσιων εκθέσεων για ειδικούς τομείς πολιτικής). Συμπεραίνεται ότι στην επαναληπτική διαδικασία με την Επιτροπή θα πρέπει να καλύπτεται τόσο το στάδιο κατάρτισης (φιλοδοξία) όσο και το στάδιο υλοποίησης (πραγματοποίηση) των εθνικών σχεδίων, ενώ απαραίτητες κρίνονται συστάσεις της Επιτροπής για τα εθνικά σχέδια και τις εκθέσεις προόδου. Επιπλέον, συμπεραίνεται ότι απαιτούνται υποχρεωτικές περιφερειακές διαβουλεύσεις άλλων κρατών μελών για τα προσχέδια και τα τελικά εθνικά σχέδια, ώστε να διασφαλίζεται ο επαρκής συντονισμός των εθνικών διαδικασιών σχεδιασμού και των πολιτικών στο πλαίσιο της Ενεργειακής Ένωσης.</w:t>
      </w:r>
    </w:p>
    <w:p>
      <w:pPr>
        <w:pBdr>
          <w:top w:val="nil"/>
          <w:left w:val="nil"/>
          <w:bottom w:val="nil"/>
          <w:right w:val="nil"/>
          <w:between w:val="nil"/>
          <w:bar w:val="nil"/>
        </w:pBdr>
        <w:spacing w:before="0" w:after="240"/>
        <w:rPr>
          <w:noProof/>
        </w:rPr>
      </w:pPr>
      <w:r>
        <w:rPr>
          <w:noProof/>
        </w:rPr>
        <w:t>Ο παραπάνω συνδυασμός προτιμώμενων επιλογών πολιτικής μπορεί να επιφέρει τις καλύτερες επιπτώσεις ως προς τη μείωση του διοικητικού φόρτου και την ευελιξία των κρατών μελών, διασφαλίζοντας συγχρόνως επαρκώς ισχυρή διακυβέρνηση για την επίτευξη των στόχων της Ενεργειακής Ένωσης.</w:t>
      </w:r>
    </w:p>
    <w:p>
      <w:pPr>
        <w:pBdr>
          <w:top w:val="nil"/>
          <w:left w:val="nil"/>
          <w:bottom w:val="nil"/>
          <w:right w:val="nil"/>
          <w:between w:val="nil"/>
          <w:bar w:val="nil"/>
        </w:pBdr>
        <w:spacing w:before="0" w:after="240"/>
        <w:rPr>
          <w:noProof/>
        </w:rPr>
      </w:pPr>
      <w:r>
        <w:rPr>
          <w:noProof/>
        </w:rPr>
        <w:t>Αναφορά στη συνοπτική παρουσίαση της εκτίμησης επιπτώσεων: SWD(2016)395</w:t>
      </w:r>
      <w:r>
        <w:rPr>
          <w:rStyle w:val="FootnoteReference"/>
          <w:noProof/>
        </w:rPr>
        <w:footnoteReference w:id="5"/>
      </w:r>
    </w:p>
    <w:p>
      <w:pPr>
        <w:pBdr>
          <w:top w:val="nil"/>
          <w:left w:val="nil"/>
          <w:bottom w:val="nil"/>
          <w:right w:val="nil"/>
          <w:between w:val="nil"/>
          <w:bar w:val="nil"/>
        </w:pBdr>
        <w:spacing w:before="0" w:after="240"/>
        <w:rPr>
          <w:noProof/>
        </w:rPr>
      </w:pPr>
      <w:r>
        <w:rPr>
          <w:noProof/>
        </w:rPr>
        <w:t>Αναφορά στη θετική γνωμοδότηση της επιτροπής ρυθμιστικού ελέγχου: SEC(2016)494</w:t>
      </w:r>
      <w:r>
        <w:rPr>
          <w:rStyle w:val="FootnoteReference"/>
          <w:noProof/>
        </w:rPr>
        <w:footnoteReference w:id="6"/>
      </w:r>
      <w:r>
        <w:rPr>
          <w:noProof/>
        </w:rPr>
        <w:t xml:space="preserve">  </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pPr>
        <w:pBdr>
          <w:top w:val="nil"/>
          <w:left w:val="nil"/>
          <w:bottom w:val="nil"/>
          <w:right w:val="nil"/>
          <w:between w:val="nil"/>
          <w:bar w:val="nil"/>
        </w:pBdr>
        <w:spacing w:before="0" w:after="240"/>
        <w:rPr>
          <w:rFonts w:eastAsia="Arial Unicode MS"/>
          <w:noProof/>
        </w:rPr>
      </w:pPr>
      <w:r>
        <w:rPr>
          <w:noProof/>
        </w:rPr>
        <w:t xml:space="preserve">Η κατάρτιση του προτεινόμενου κανονισμού βασίστηκε σε έλεγχο καταλληλότητας των υποχρεώσεων σχεδιασμού, υποβολής εκθέσεων και παρακολούθησης που ισχύουν στο πλαίσιο του ενεργειακού κεκτημένου της ΕΕ (REFIT). Στον έλεγχο καταλληλότητας αξιολογήθηκαν, επίσης, οι διασυνδέσεις μεταξύ των υποχρεώσεων σχεδιασμού, υποβολής εκθέσεων και παρακολούθησης του ενεργειακού κεκτημένου και των υποχρεώσεων σύμφωνα με τη βασική νομοθεσία της ΕΕ για το κλίμα. </w:t>
      </w:r>
    </w:p>
    <w:p>
      <w:pPr>
        <w:pBdr>
          <w:top w:val="nil"/>
          <w:left w:val="nil"/>
          <w:bottom w:val="nil"/>
          <w:right w:val="nil"/>
          <w:between w:val="nil"/>
          <w:bar w:val="nil"/>
        </w:pBdr>
        <w:spacing w:before="0" w:after="240"/>
        <w:rPr>
          <w:rFonts w:eastAsia="Arial Unicode MS"/>
          <w:noProof/>
        </w:rPr>
      </w:pPr>
      <w:r>
        <w:rPr>
          <w:noProof/>
        </w:rPr>
        <w:t xml:space="preserve">Το γενικό συμπέρασμα που προέκυψε από τον έλεγχο καταλληλότητας είναι ότι, παρόλο που το υφιστάμενο σύστημα σχεδιασμού, υποβολής εκθέσεων και παρακολούθησης του ενεργειακού κεκτημένου της ΕΕ επέφερε συνολικά θετικά αποτελέσματα, υπάρχει εν προκειμένω περιθώριο σημαντικής βελτίωσης του τρέχοντος ενεργειακού κεκτημένου της ΕΕ, όπως και ενίσχυσης των διασυνδέσεων με το κλιματικό κεκτημένο της ΕΕ, βελτιώνοντας με τον τρόπο αυτόν σημαντικά τον τρέχοντα λόγο οφέλους/κόστους. </w:t>
      </w:r>
    </w:p>
    <w:p>
      <w:pPr>
        <w:pBdr>
          <w:top w:val="nil"/>
          <w:left w:val="nil"/>
          <w:bottom w:val="nil"/>
          <w:right w:val="nil"/>
          <w:between w:val="nil"/>
          <w:bar w:val="nil"/>
        </w:pBdr>
        <w:spacing w:before="0" w:after="240"/>
        <w:rPr>
          <w:rFonts w:eastAsia="Arial Unicode MS"/>
          <w:noProof/>
        </w:rPr>
      </w:pPr>
      <w:r>
        <w:rPr>
          <w:noProof/>
        </w:rPr>
        <w:t>Σε αυτήν τη βάση, από τον έλεγχο καταλληλότητας καταδεικνύεται εμφατικά ότι απαιτείται συστηματική ενοποίηση των υποχρεώσεων σχεδιασμού και υποβολής εκθέσεων των κρατών μελών και των υποχρεώσεων παρακολούθησης της Επιτροπής, προκειμένου να διασφαλιστεί η συνοχή και να επιτραπεί στα κράτη μέλη και στην Επιτροπή να αξιοποιήσουν πλήρως τις συνέργειες και να εξασφαλίσουν τη συνέπεια μεταξύ των διαφόρων σκελών σχεδιασμού και υποβολής εκθέσεων, καθώς επίσης για να καταστεί το σύστημα κατάλληλο για τον σκοπό σύμφωνα με το νέο βασικό πλαίσιο της Ενεργειακής Ένωσης, συμπεριλαμβανομένων των κλιματικών και ενεργειακών στόχων για το 2030. Ο προτεινόμενο κανονισμός εφαρμόζει της συστάσεις του ελέγχου καταλληλότητας, εξαιρουμένων μερικών περιπτώσεων όπου αυτό δεν ήταν δυνατό λόγω, κυρίως, του γεγονότος ότι η συχνότητα δεν συνέπιπτε με την προβλεπόμενη συχνότητα του κανονισμού για τη διακυβέρνηση ή ότι η υποχρέωση αποδείχθηκε ιδιαίτερα τεχνική.</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Δημόσια διαβούλευση ξεκίνησε στις 11 Ιανουαρίου 2016 με σκοπό τη συλλογή απόψεων και συμβολών από τα ενδιαφερόμενα μέρη και τους πολίτες. Η διαβούλευση διήρκεσε πάνω από 12 εβδομάδες και ολοκληρώθηκε στις 22 Απριλίου 2016</w:t>
      </w:r>
      <w:r>
        <w:rPr>
          <w:rStyle w:val="FootnoteReference"/>
          <w:noProof/>
        </w:rPr>
        <w:footnoteReference w:id="7"/>
      </w:r>
      <w:r>
        <w:rPr>
          <w:noProof/>
        </w:rPr>
        <w:t xml:space="preserve">. </w:t>
      </w:r>
    </w:p>
    <w:p>
      <w:pPr>
        <w:pBdr>
          <w:top w:val="nil"/>
          <w:left w:val="nil"/>
          <w:bottom w:val="nil"/>
          <w:right w:val="nil"/>
          <w:between w:val="nil"/>
          <w:bar w:val="nil"/>
        </w:pBdr>
        <w:spacing w:before="0" w:after="240"/>
        <w:rPr>
          <w:noProof/>
        </w:rPr>
      </w:pPr>
      <w:r>
        <w:rPr>
          <w:noProof/>
        </w:rPr>
        <w:t>Μέσω της ηλεκτρονικής έρευνας λήφθηκαν 103 υποβολές, ενώ πρόσθετες υποβολές λήφθηκαν μέσω ηλεκτρονικού ταχυδρομείου, εκ των οποίων 15 από κράτη μέλη</w:t>
      </w:r>
      <w:r>
        <w:rPr>
          <w:rStyle w:val="FootnoteReference"/>
          <w:noProof/>
        </w:rPr>
        <w:footnoteReference w:id="8"/>
      </w:r>
      <w:r>
        <w:rPr>
          <w:noProof/>
        </w:rPr>
        <w:t>. Οι αποκρίσεις σε αυτήν τη δημόσια διαβούλευση λήφθηκαν υπόψη κατά την αξιολόγηση από την Επιτροπή και τον έλεγχο καταλληλότητας των υφιστάμενων υποχρεώσεων σχεδιασμού και υποβολής εκθέσεων, όπως και στην εκτίμηση των επιπτώσεων που διέπουν τον προτεινόμενο κανονισμό.</w:t>
      </w:r>
    </w:p>
    <w:p>
      <w:pPr>
        <w:pBdr>
          <w:top w:val="nil"/>
          <w:left w:val="nil"/>
          <w:bottom w:val="nil"/>
          <w:right w:val="nil"/>
          <w:between w:val="nil"/>
          <w:bar w:val="nil"/>
        </w:pBdr>
        <w:spacing w:before="0" w:after="240"/>
        <w:rPr>
          <w:rFonts w:eastAsia="Arial Unicode MS"/>
          <w:noProof/>
        </w:rPr>
      </w:pPr>
      <w:r>
        <w:rPr>
          <w:noProof/>
        </w:rPr>
        <w:t>Η συντριπτική πλειονότητα των ερωτηθέντων αναγνώρισε τη σημασία των υφιστάμενων υποχρεώσεων σχεδιασμού και υποβολής εκθέσεων, αλλά συμφώνησε επίσης στην ανάγκη καλύτερου εξορθολογισμού, ευθυγράμμισης και ενοποίησης των υφιστάμενων υποχρεώσεων σχεδιασμού και υποβολής εκθέσεων για την αποφυγή αποκλίσεων, επαναλήψεων και ασυνεπειών, όπως και στην ανάγκη εστίασης των προσπαθειών εξορθολογισμού στον σχεδιασμό πιο εξειδικευμένων υποχρεώσεων σε σχέση με τους στόχους του πλαισίου για το 2030. Αρκετά ενδιαφερόμενα μέρη υπέδειξαν την ανάγκη καλύτερης ενοποίησης των υφιστάμενων εθνικών σχεδίων στους εν λόγω τομείς</w:t>
      </w:r>
      <w:r>
        <w:rPr>
          <w:rStyle w:val="FootnoteReference"/>
          <w:noProof/>
        </w:rPr>
        <w:footnoteReference w:id="9"/>
      </w:r>
      <w:r>
        <w:rPr>
          <w:noProof/>
        </w:rPr>
        <w:t>, υπογραμμίζοντας επίσης την ανάγκη εξορθολογισμού και μείωσης των συνολικών υποχρεώσεων σχεδιασμού.</w:t>
      </w:r>
    </w:p>
    <w:p>
      <w:pPr>
        <w:pBdr>
          <w:top w:val="nil"/>
          <w:left w:val="nil"/>
          <w:bottom w:val="nil"/>
          <w:right w:val="nil"/>
          <w:between w:val="nil"/>
          <w:bar w:val="nil"/>
        </w:pBdr>
        <w:spacing w:before="0" w:after="240"/>
        <w:rPr>
          <w:rFonts w:eastAsia="Arial Unicode MS"/>
          <w:noProof/>
        </w:rPr>
      </w:pPr>
      <w:r>
        <w:rPr>
          <w:noProof/>
        </w:rPr>
        <w:t xml:space="preserve">Η συντριπτική πλειονότητα των ερωτηθέντων θεώρησε ότι μια ενιαία νομοθετική πράξη αποτελεί την προτιμώμενη επιλογή για τον εξορθολογισμό των υποχρεώσεων σχεδιασμού και υποβολής εκθέσεων στον τομέα της ενέργειας και του κλίματος μετά το 2020. Τα κράτη μέλη ήταν πιο διαχασμένα μεταξύ των νομοθετικών και των μη νομοθετικών επιλογών. </w:t>
      </w:r>
    </w:p>
    <w:p>
      <w:pPr>
        <w:pBdr>
          <w:top w:val="nil"/>
          <w:left w:val="nil"/>
          <w:bottom w:val="nil"/>
          <w:right w:val="nil"/>
          <w:between w:val="nil"/>
          <w:bar w:val="nil"/>
        </w:pBdr>
        <w:spacing w:before="0" w:after="240"/>
        <w:rPr>
          <w:rFonts w:eastAsia="Arial Unicode MS"/>
          <w:noProof/>
        </w:rPr>
      </w:pPr>
      <w:r>
        <w:rPr>
          <w:noProof/>
        </w:rPr>
        <w:t>Οι περισσότεροι ερωτηθέντες θεώρησαν ότι τα εθνικά σχέδια θα πρέπει να αντικατοπτρίζουν και τις πέντε διαστάσεις της Ενεργειακής Ένωσης, να καταρτίζονται με βάση λεπτομερές υπόδειγμα (στοιχείο που επιβεβαιώθηκε και από τα κράτη μέλη της τεχνικής ομάδας εργασίας) και να εστιάζουν σαφώς στους τομείς με ποσοτικοποιημένους στόχους για την ΕΕ. Περιορισμένος αριθμός ερωτηθέντων, συμπεριλαμβανομένων αρκετών κρατών μελών, εξέφρασε προτίμηση για μικρής κλίμακας στρατηγικά εθνικά σχέδια. Αρκετά ενδιαφερόμενα μέρη, συμπεριλαμβανομένης της πλειονότητας των κρατών μελών, επέμειναν στην ανάγκη αποφυγής νέου διοικητικού φόρτου ή πρόσθετου κόστους.</w:t>
      </w:r>
    </w:p>
    <w:p>
      <w:pPr>
        <w:pBdr>
          <w:top w:val="nil"/>
          <w:left w:val="nil"/>
          <w:bottom w:val="nil"/>
          <w:right w:val="nil"/>
          <w:between w:val="nil"/>
          <w:bar w:val="nil"/>
        </w:pBdr>
        <w:spacing w:before="0" w:after="240"/>
        <w:rPr>
          <w:rFonts w:eastAsia="Arial Unicode MS"/>
          <w:noProof/>
        </w:rPr>
      </w:pPr>
      <w:r>
        <w:rPr>
          <w:noProof/>
        </w:rPr>
        <w:t xml:space="preserve">Όσον αφορά την πολιτική διαδικασία που διέπει την οριστικοποίηση και την αναθεώρηση των σχεδίων, αρκετοί από τους ερωτηθέντες υποστήριξαν μια διάφανη και συμμετοχική διαδικασία σχεδιασμού, η οποία θα ευνοεί την εμπιστοσύνη των επενδυτών και την ευρεία δημόσια αποδοχή. </w:t>
      </w:r>
    </w:p>
    <w:p>
      <w:pPr>
        <w:pBdr>
          <w:top w:val="nil"/>
          <w:left w:val="nil"/>
          <w:bottom w:val="nil"/>
          <w:right w:val="nil"/>
          <w:between w:val="nil"/>
          <w:bar w:val="nil"/>
        </w:pBdr>
        <w:spacing w:before="0" w:after="240"/>
        <w:rPr>
          <w:rFonts w:eastAsia="Arial Unicode MS"/>
          <w:noProof/>
        </w:rPr>
      </w:pPr>
      <w:r>
        <w:rPr>
          <w:noProof/>
        </w:rPr>
        <w:t>Τέλος, οι ερωτηθέντες συμφώνησαν σε γενικές γραμμές ότι το νέο σύστημα διακυβέρνησης θα πρέπει να διευκολύνει τον συντονισμό των εθνικών ενεργειακών πολιτικών και να προωθεί την περιφερειακή συνεργασία, ενώ σημαντικό ρόλο στη διαδικασία θα πρέπει να παίζει η Επιτροπή.</w:t>
      </w:r>
    </w:p>
    <w:p>
      <w:pPr>
        <w:pBdr>
          <w:top w:val="nil"/>
          <w:left w:val="nil"/>
          <w:bottom w:val="nil"/>
          <w:right w:val="nil"/>
          <w:between w:val="nil"/>
          <w:bar w:val="nil"/>
        </w:pBdr>
        <w:spacing w:before="0" w:after="240"/>
        <w:rPr>
          <w:rFonts w:eastAsia="Arial Unicode MS"/>
          <w:noProof/>
        </w:rPr>
      </w:pPr>
      <w:r>
        <w:rPr>
          <w:noProof/>
        </w:rPr>
        <w:t>Εκτενέστερη σύνοψη της δημόσιας διαβούλευσης περιλαμβάνεται στην εκτίμηση των επιπτώσεων.</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noProof/>
        </w:rPr>
      </w:pPr>
      <w:r>
        <w:rPr>
          <w:noProof/>
        </w:rPr>
        <w:t>Ο έλεγχος καταλληλότητας και η εκτίμηση των επιπτώσεων που διέπουν τον προτεινόμενο κανονισμό υποστηρίχθηκαν από δύο μελέτες που διεξάχθηκαν για λογαριασμό της Επιτροπής από τις εταιρείες Trinomics και Amec Foster Wheeler κατά το πρώτο εξάμηνο του 2016.</w:t>
      </w:r>
    </w:p>
    <w:p>
      <w:pPr>
        <w:pBdr>
          <w:top w:val="nil"/>
          <w:left w:val="nil"/>
          <w:bottom w:val="nil"/>
          <w:right w:val="nil"/>
          <w:between w:val="nil"/>
          <w:bar w:val="nil"/>
        </w:pBdr>
        <w:spacing w:before="0" w:after="240"/>
        <w:rPr>
          <w:noProof/>
        </w:rPr>
      </w:pPr>
      <w:r>
        <w:rPr>
          <w:noProof/>
        </w:rPr>
        <w:t>Οι εργασίες της τεχνικής ομάδας εργασίας για τα εθνικά σχέδια για την ενέργεια και το κλίμα, στην οποία προεδρεύει η Επιτροπή και εκπροσωπούνται όλα τα κράτη μέλη, συνέβαλαν στον ορισμό του πεδίου εφαρμογής και την προσέγγιση των εθνικών σχεδίων στον προτεινόμενο κανονισμό και το παράρτημα 1 του κανονισμού (υπόδειγμα εθνικών σχεδίων).</w:t>
      </w:r>
    </w:p>
    <w:p>
      <w:pPr>
        <w:pBdr>
          <w:top w:val="nil"/>
          <w:left w:val="nil"/>
          <w:bottom w:val="nil"/>
          <w:right w:val="nil"/>
          <w:between w:val="nil"/>
          <w:bar w:val="nil"/>
        </w:pBdr>
        <w:spacing w:before="0" w:after="240"/>
        <w:rPr>
          <w:rFonts w:eastAsia="Arial Unicode MS"/>
          <w:noProof/>
        </w:rPr>
      </w:pPr>
      <w:r>
        <w:rPr>
          <w:noProof/>
        </w:rPr>
        <w:t>Η εμπειρογνωσία από τη συμμετοχή των ενδιαφερόμενων μερών στη δημόσια διαβούλευση χρησιμοποιήθηκε ως πρόσθετη πηγή γνώσεων για τη συμπλήρωση της ανάλυσης.</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Επειδή η προτεινόμενη πολιτική απευθύνεται κυρίως στα κράτη μέλη ως θεσμικούς παράγοντες, είναι σύμφωνη με τον Χάρτη θεμελιωδών δικαιωμάτων.</w:t>
      </w:r>
    </w:p>
    <w:p>
      <w:pPr>
        <w:pStyle w:val="ManualHeading1"/>
        <w:rPr>
          <w:noProof/>
        </w:rPr>
      </w:pPr>
      <w:r>
        <w:rPr>
          <w:noProof/>
        </w:rPr>
        <w:t>4.</w:t>
      </w:r>
      <w:r>
        <w:rPr>
          <w:noProof/>
        </w:rPr>
        <w:tab/>
        <w:t xml:space="preserve"> ΔΗΜΟΣΙΟΝΟΜΙΚΕΣ ΕΠΙΠΤΩΣΕΙΣ</w:t>
      </w:r>
    </w:p>
    <w:p>
      <w:pPr>
        <w:spacing w:after="240"/>
        <w:rPr>
          <w:noProof/>
        </w:rPr>
      </w:pPr>
      <w:r>
        <w:rPr>
          <w:noProof/>
        </w:rPr>
        <w:t>Κύριοι στόχοι της παρούσας πρότασης είναι ο εξορθολογισμός των υποχρεώσεων σχεδιασμού, υποβολής εκθέσεων και παρακολούθησης και η καθιέρωση μηχανισμού διακυβέρνησης. Τα κράτη μέλη θα πρέπει να υποβάλλουν ενοποιημένα σχέδια και εκθέσεις στην Επιτροπή ανά τακτά χρονικά διαστήματα. Βάσει των πληροφοριών που παρέχονται από τα κράτη μέλη, η Επιτροπή θα πρέπει να συντάξει τις απαιτούμενες εκθέσεις παρακολούθησης. Τα καθήκοντα εκτέλεσης των εργασιών της Επιτροπής στο πλαίσιο της υφιστάμενης συνολικής εικόνας των ανθρωπίνων πόρων της Επιτροπής, θα επιμερίζονται σε μόνιμους υπαλλήλους, έκτακτους υπαλλήλους και εξωτερικό προσωπικό που απασχολείται στους τομείς πολιτικής της δράσης για την ενέργεια και το κλίμα. Όσον αφορά τον Ευρωπαϊκό Οργανισμό Περιβάλλοντος (ΕΟΠ), ζητείται η σταδιακή προσθήκη στον ΕΟΧ πρόσθετων συμβασιούχων υπαλλήλων (έως 3 το 2020) επιπλέον του υφιστάμενου προγραμματισμού για τους ανθρώπινους πόρους.</w:t>
      </w:r>
    </w:p>
    <w:p>
      <w:pPr>
        <w:spacing w:after="240"/>
        <w:rPr>
          <w:noProof/>
        </w:rPr>
      </w:pPr>
      <w:r>
        <w:rPr>
          <w:noProof/>
        </w:rPr>
        <w:t xml:space="preserve">Το κόστος από την εφαρμογή του προτεινόμενου κανονισμού από τη ΓΔ ENER και τη ΓΔ CLIMA, τα οποία ορίζονται περαιτέρω στο συνημμένο νομοθετικό δημοσιονομικό δελτίο, θα ενταχθούν πλήρως στο τρέχον προγραμματισμένο χρηματοδοτικό κονδύλι των εν λόγω θέσεων προϋπολογισμού έως το 2020. Όσον αφορά τους χρηματοδοτικούς πόρους που απαιτούνται για τον Ευρωπαϊκό Οργανισμό Περιβάλλοντος, αυτοί θα είναι επιπρόσθετοι του τρέχοντος χρηματοδοτικού προγραμματισμού.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pPr>
        <w:pBdr>
          <w:top w:val="nil"/>
          <w:left w:val="nil"/>
          <w:bottom w:val="nil"/>
          <w:right w:val="nil"/>
          <w:between w:val="nil"/>
          <w:bar w:val="nil"/>
        </w:pBdr>
        <w:spacing w:before="0" w:after="240"/>
        <w:rPr>
          <w:noProof/>
        </w:rPr>
      </w:pPr>
      <w:r>
        <w:rPr>
          <w:noProof/>
        </w:rPr>
        <w:t>Οι υποχρεώσεις υποβολής εκθέσεων και οι εκτιμήσεων που ορίζονται στον παρόντα κανονισμό για την Επιτροπή και τα κράτη μέλη θα διασφαλίζουν τη στενή παρακολούθηση της εφαρμογής του κανονισμού.</w:t>
      </w:r>
    </w:p>
    <w:p>
      <w:pPr>
        <w:pBdr>
          <w:top w:val="nil"/>
          <w:left w:val="nil"/>
          <w:bottom w:val="nil"/>
          <w:right w:val="nil"/>
          <w:between w:val="nil"/>
          <w:bar w:val="nil"/>
        </w:pBdr>
        <w:spacing w:before="0" w:after="240"/>
        <w:rPr>
          <w:rFonts w:eastAsia="Arial Unicode MS"/>
          <w:noProof/>
        </w:rPr>
      </w:pPr>
      <w:r>
        <w:rPr>
          <w:noProof/>
        </w:rPr>
        <w:t>Ο κανονισμός υπόκειται σε τυπική αναθεώρηση το 2026. Κατά την αναθεώρηση θα πρέπει να ληφθούν υπόψη τα αποτελέσματα του παγκόσμιου απολογισμού της συμφωνίας του Παρισιού.</w:t>
      </w:r>
    </w:p>
    <w:p>
      <w:pPr>
        <w:pStyle w:val="ManualHeading2"/>
        <w:rPr>
          <w:rFonts w:eastAsia="Arial Unicode MS"/>
          <w:noProof/>
          <w:u w:color="000000"/>
          <w:bdr w:val="nil"/>
        </w:rPr>
      </w:pPr>
      <w:r>
        <w:rPr>
          <w:noProof/>
        </w:rPr>
        <w:t>•</w:t>
      </w:r>
      <w:r>
        <w:rPr>
          <w:noProof/>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Στο κεφάλαιο 1 του προτεινόμενου κανονισμού καθορίζεται το πεδίο εφαρμογής του και το αντικείμενο, όπως και οι ορισμοί των χρησιμοποιούμενων όρων.</w:t>
      </w:r>
    </w:p>
    <w:p>
      <w:pPr>
        <w:pBdr>
          <w:top w:val="nil"/>
          <w:left w:val="nil"/>
          <w:bottom w:val="nil"/>
          <w:right w:val="nil"/>
          <w:between w:val="nil"/>
          <w:bar w:val="nil"/>
        </w:pBdr>
        <w:spacing w:before="0" w:after="240"/>
        <w:rPr>
          <w:noProof/>
        </w:rPr>
      </w:pPr>
      <w:r>
        <w:rPr>
          <w:noProof/>
        </w:rPr>
        <w:t>Στο κεφάλαιο 2 του προτεινόμενου κανονισμού καθορίζεται η υποχρέωση των κρατών μελών να καταρτίσουν μέχρι την 1</w:t>
      </w:r>
      <w:r>
        <w:rPr>
          <w:noProof/>
          <w:vertAlign w:val="superscript"/>
        </w:rPr>
        <w:t>η</w:t>
      </w:r>
      <w:r>
        <w:rPr>
          <w:noProof/>
        </w:rPr>
        <w:t xml:space="preserve"> Ιανουαρίου 2019 εθνικό ενοποιημένο σχέδιο για την ενέργεια και το κλίμα για την περίοδο από το 2021 έως το 2030 , όπως και για τις ακόλουθες δεκαετείς περιόδους. Στο παράρτημα I παρέχεται δεσμευτικό υπόδειγμα σχεδίου με περαιτέρω στοιχεία π.χ. για τις πολιτικές, τα μέτρα και τις αναλυτικές βάσεις.</w:t>
      </w:r>
    </w:p>
    <w:p>
      <w:pPr>
        <w:pBdr>
          <w:top w:val="nil"/>
          <w:left w:val="nil"/>
          <w:bottom w:val="nil"/>
          <w:right w:val="nil"/>
          <w:between w:val="nil"/>
          <w:bar w:val="nil"/>
        </w:pBdr>
        <w:spacing w:before="0" w:after="240"/>
        <w:rPr>
          <w:noProof/>
        </w:rPr>
      </w:pPr>
      <w:r>
        <w:rPr>
          <w:noProof/>
        </w:rPr>
        <w:t>Σε αυτό το κεφάλαιο καθιερώνεται επίσης επαναληπτική διαδικασία διαβούλευσης μεταξύ της Επιτροπής και των κρατών μελών πριν από την οριστικοποίηση του σχεδίου με βάση το προσχέδιο του εθνικού σχεδίου, που θα πρέπει να υποβληθεί στην Επιτροπή έως την 1</w:t>
      </w:r>
      <w:r>
        <w:rPr>
          <w:noProof/>
          <w:vertAlign w:val="superscript"/>
        </w:rPr>
        <w:t>η</w:t>
      </w:r>
      <w:r>
        <w:rPr>
          <w:noProof/>
        </w:rPr>
        <w:t xml:space="preserve"> Ιανουαρίου 2018 και ανά δέκα έτη εφεξής για την ερχόμενες δεκαετείς περιόδους. Σε αυτό το πλαίσιο, η Επιτροπή θα μπορεί να κάνει συστάσεις αναφορικά με το επίπεδο φιλοδοξίας των επιδιώξεων, στόχων και συνεισφορών, όπως και για συγκεκριμένες πολιτικές και μέτρα που περιλαμβάνονται στο σχέδιο. Άλλα κράτη μέλη θα μπορούν, επίσης, να σχολιάσουν το προσχέδιο στο πλαίσιο των περιφερειακών διαβουλεύσεων. Τα σχέδια πρέπει να επικαιροποιηθούν έως την 1</w:t>
      </w:r>
      <w:r>
        <w:rPr>
          <w:noProof/>
          <w:vertAlign w:val="superscript"/>
        </w:rPr>
        <w:t>η</w:t>
      </w:r>
      <w:r>
        <w:rPr>
          <w:noProof/>
        </w:rPr>
        <w:t xml:space="preserve"> Ιανουαρίου 2024 (εκ νέου με προοπτική για το 2030). </w:t>
      </w:r>
    </w:p>
    <w:p>
      <w:pPr>
        <w:pBdr>
          <w:top w:val="nil"/>
          <w:left w:val="nil"/>
          <w:bottom w:val="nil"/>
          <w:right w:val="nil"/>
          <w:between w:val="nil"/>
          <w:bar w:val="nil"/>
        </w:pBdr>
        <w:spacing w:before="0" w:after="240"/>
        <w:rPr>
          <w:noProof/>
        </w:rPr>
      </w:pPr>
      <w:r>
        <w:rPr>
          <w:noProof/>
        </w:rPr>
        <w:t xml:space="preserve">Στο κεφάλαιο 3 καθορίζεται η υποχρέωση των κρατών μελών να καταρτίζουν και να υποβάλλουν στην Επιτροπή μακροπρόθεσμες στρατηγικές χαμηλών εκπομπών με προοπτική 50 ετών, οι οποίες συμβάλλουν ουσιαστικά στον οικονομικό μετασχηματισμό, τη δημιουργία θέσεων εργασίας, την ανάπτυξη και την επίτευξη ευρύτερων στόχων βιώσιμης ανάπτυξης, όπως και στη δίκαιη και οικονομική επιδίωξη του μακροπρόθεσμου στόχου που τέθηκε στη συμφωνία του Παρισιού. </w:t>
      </w:r>
    </w:p>
    <w:p>
      <w:pPr>
        <w:pBdr>
          <w:top w:val="nil"/>
          <w:left w:val="nil"/>
          <w:bottom w:val="nil"/>
          <w:right w:val="nil"/>
          <w:between w:val="nil"/>
          <w:bar w:val="nil"/>
        </w:pBdr>
        <w:spacing w:before="0" w:after="240"/>
        <w:rPr>
          <w:noProof/>
        </w:rPr>
      </w:pPr>
      <w:r>
        <w:rPr>
          <w:noProof/>
        </w:rPr>
        <w:t>Στο κεφάλαιο 4 του προτεινόμενου κανονισμού καθορίζεται η υποχρέωση των κρατών μελών να καταρτίζουν διετείς εκθέσεις προόδου σχετικά με την υλοποίηση των σχεδίων από το 2021 και εξής, οι οποίες θα περιλαμβάνουν και τις πέντε διαστάσεις της Ενεργειακής Ένωσης, για την παρακολούθηση της προόδου. Σε αυτές τις εκθέσεις προόδου απαιτείται από τα κράτη μέλη να περιλαμβάνουν, επίσης, διετή στοιχεία αναφορικά με τον εθνικό σχεδιασμό και τις στρατηγικές προσαρμογής στην κλιματική αλλαγή, ευθυγραμμίζοντας το χρονοδιάγραμμα με τη συμφωνία του Παρισιού.</w:t>
      </w:r>
    </w:p>
    <w:p>
      <w:pPr>
        <w:pBdr>
          <w:top w:val="nil"/>
          <w:left w:val="nil"/>
          <w:bottom w:val="nil"/>
          <w:right w:val="nil"/>
          <w:between w:val="nil"/>
          <w:bar w:val="nil"/>
        </w:pBdr>
        <w:spacing w:before="0" w:after="240"/>
        <w:rPr>
          <w:noProof/>
          <w:szCs w:val="24"/>
        </w:rPr>
      </w:pPr>
      <w:r>
        <w:rPr>
          <w:noProof/>
        </w:rPr>
        <w:t>Σε αυτό το κεφάλαιο ορίζονται, ακόμη, οι εκθέσεις που πρέπει να καταρτίζονται ετησίως, π.χ. ενόψει της συμμόρφωσης με τις διεθνείς δεσμεύσεις της Ένωσης και των κρατών μελών της, όπως και η ανάγκη επίτευξης της απαραίτητης βάσης για την αξιολόγηση της συμμόρφωσης σύμφωνα με κανονισμό [Υπηρεσία Εκδόσεων: πράξη αριθ. XXX για τις δεσμευτικές ετήσιες μειώσεις των εκπομπών αερίων θερμοκηπίου από τα κράτη μέλη από το 2021 έως το 2030 για μια ανθεκτική Ενεργειακή Ένωση και την τήρηση των δεσμεύσεων που απορρέουν από τη συμφωνία του Παρισιού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w:t>
      </w:r>
      <w:r>
        <w:rPr>
          <w:rStyle w:val="FootnoteReference"/>
          <w:noProof/>
        </w:rPr>
        <w:footnoteReference w:id="10"/>
      </w:r>
      <w:r>
        <w:rPr>
          <w:noProof/>
        </w:rPr>
        <w:t xml:space="preserve"> και τον κανονισμό [Υπηρεσία Εκδόσεων: πράξη αριθ. XXX για τη συμπερίληψη των εκπομπών αερίων του θερμοκηπίου και των απορροφήσεων από τη χρήση γης, την αλλαγή χρήσης γης και τη δασοκομία στο πλαίσιο για το κλίμα και την ενέργεια για το 2030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w:t>
      </w:r>
      <w:r>
        <w:rPr>
          <w:rStyle w:val="FootnoteReference"/>
          <w:noProof/>
        </w:rPr>
        <w:footnoteReference w:id="11"/>
      </w:r>
      <w:r>
        <w:rPr>
          <w:noProof/>
        </w:rPr>
        <w:t xml:space="preserve">. Οι εκθέσεις αυτές σχετίζονται π.χ. με τις απογραφές αερίων θερμοκηπίου και την υποστήριξη των αναπτυσσόμενων χωρών, και επιτρέπουν στην Ένωση και τα κράτη μέλη της να επιδεικνύουν πρόοδο ως προς την υλοποίηση των δεσμεύσεών τους βάσει της UNFCCC και της συμφωνίας του Παρισιού. Επίσης, προβλέπει διαφάνεια για τη χρήση των εσόδων από τον πλειστηριασμό δικαιωμάτων βάσει της οδηγίας σχετικά με τη θέσπιση συστήματος εμπορίας δικαιωμάτων εκπομπής αερίων θερμοκηπίου (οδηγία ΕΔΕ). </w:t>
      </w:r>
    </w:p>
    <w:p>
      <w:pPr>
        <w:pBdr>
          <w:top w:val="nil"/>
          <w:left w:val="nil"/>
          <w:bottom w:val="nil"/>
          <w:right w:val="nil"/>
          <w:between w:val="nil"/>
          <w:bar w:val="nil"/>
        </w:pBdr>
        <w:spacing w:before="0" w:after="240"/>
        <w:rPr>
          <w:noProof/>
        </w:rPr>
      </w:pPr>
      <w:r>
        <w:rPr>
          <w:noProof/>
        </w:rPr>
        <w:t>Σε αυτό το κεφάλαιο προβλέπεται, επίσης, το απαραίτητο περιεχόμενο των σχετικών εκθέσεων για τις πέντε διαστάσεις και καθιερώνεται πλατφόρμα ηλεκτρονικής υποβολής εκθέσεων, η οποία θα πρέπει να επεκτείνει και να αξιοποιεί τις υπάρχουσες διαδικασίες υποβολής εκθέσεων, τις βάσεις δεδομένων και τα ηλεκτρονικά εργαλεία, όπως αυτά του Ευρωπαϊκού Οργανισμού Περιβάλλοντος (ΕΟΠ), της Eurostat (ESTAT) και του Κοινού Κέντρου Ερευνών (ΚΚΕρ).</w:t>
      </w:r>
    </w:p>
    <w:p>
      <w:pPr>
        <w:pBdr>
          <w:top w:val="nil"/>
          <w:left w:val="nil"/>
          <w:bottom w:val="nil"/>
          <w:right w:val="nil"/>
          <w:between w:val="nil"/>
          <w:bar w:val="nil"/>
        </w:pBdr>
        <w:spacing w:before="0" w:after="240"/>
        <w:rPr>
          <w:noProof/>
        </w:rPr>
      </w:pPr>
      <w:r>
        <w:rPr>
          <w:noProof/>
        </w:rPr>
        <w:t xml:space="preserve">Στο κεφάλαιο 5 του προτεινόμενου κανονισμού καθορίζονται οι απαραίτητες διαδικασίες παρακολούθησης και αξιολόγησης από την Επιτροπή για την παρακολούθηση της προόδου των κρατών μελών σε σχέση με τους στόχους που ορίζονται στο εθνικό σχέδιο. Επίσης, ορίζεται διαδικασία υποβολής συστάσεων από την Επιτροπή σχετικά με τον τρόπο ενίσχυσης της φιλοδοξίας των εθνικών σχεδίων ή την εφαρμογή των σχεδίων για την επίτευξη των ήδη καθορισμένων στόχων. </w:t>
      </w:r>
    </w:p>
    <w:p>
      <w:pPr>
        <w:pBdr>
          <w:top w:val="nil"/>
          <w:left w:val="nil"/>
          <w:bottom w:val="nil"/>
          <w:right w:val="nil"/>
          <w:between w:val="nil"/>
          <w:bar w:val="nil"/>
        </w:pBdr>
        <w:spacing w:before="0" w:after="240"/>
        <w:rPr>
          <w:noProof/>
        </w:rPr>
      </w:pPr>
      <w:r>
        <w:rPr>
          <w:noProof/>
        </w:rPr>
        <w:t xml:space="preserve">Σε αυτό το κεφάλαιο προβλέπεται, ακόμη, η συγκεντρωτική αξιολόγηση των πρώτων εθνικών σχεδίων για τον προσδιορισμό ενδεχόμενων αποκλίσεων από τους στόχους της ΕΕ συνολικά. Προβλέπεται η υποβολή συστάσεων από την Επιτροπή με βάση τις εκθέσεις προόδου και ορίζεται ότι η Επιτροπή αναλαμβάνει δράση σε επίπεδο ΕΕ ή ζητά τη λήψη μέτρων από τα κράτη μέλη εάν,  από την αξιολόγηση της προόδου προκύπτει ότι οι ενεργειακοί και κλιματικοί στόχοι της ΕΕ για το 2030 δεν θα επιτευχθούν (δηλ. μείωση των ενδεχόμενων αποκλίσεων φιλοδοξίας και υλοποίησης ή μείωση της εν λόγω απόστασης). Επιπλέον, ορίζεται η προσέγγιση ως προς την ετήσια κατάσταση της Ενεργειακής Ένωσης της Επιτροπής. </w:t>
      </w:r>
    </w:p>
    <w:p>
      <w:pPr>
        <w:rPr>
          <w:noProof/>
        </w:rPr>
      </w:pPr>
      <w:r>
        <w:rPr>
          <w:noProof/>
        </w:rPr>
        <w:t xml:space="preserve">Στο κεφάλαιο 6 του προτεινόμενου κανονισμού καθορίζονται οι απαιτήσεις για εθνικά και ενωσιακά συστήματα απογραφής των εκπομπών αερίων του θερμοκηπίου, των πολιτικών, των μέτρων και των προβλέψεων. Η καθιέρωση τέτοιων συστημάτων απαιτείται σε διεθνές επίπεδο. Τα συστήματα αυτά θα στηρίξουν, επίσης, την εφαρμογή των εθνικών σχεδίων όσον αφορά τη διάσταση απαλλαγή από τις ανθρακούχες εκπομπές. </w:t>
      </w:r>
    </w:p>
    <w:p>
      <w:pPr>
        <w:rPr>
          <w:rFonts w:eastAsia="Arial Unicode MS"/>
          <w:noProof/>
        </w:rPr>
      </w:pPr>
      <w:r>
        <w:rPr>
          <w:noProof/>
        </w:rPr>
        <w:t xml:space="preserve">Ακόμη, σε αυτό το κεφάλαιο παρέχεται η νομική βάση για την καθιέρωση ενωσιακών και εθνικών μητρώων, τα οποία θα λαμβάνονται υπόψη για τις εθνικά καθορισμένες συνεισφορές και προβλέπεται η χρήση διεθνώς μεταφερόμενων αποτελεσμάτων μετριασμού βάσει του άρθρου 4 παράγραφος 13 και του άρθρου 6 της συμφωνίας του Παρισιού. </w:t>
      </w:r>
    </w:p>
    <w:p>
      <w:pPr>
        <w:rPr>
          <w:noProof/>
        </w:rPr>
      </w:pPr>
      <w:r>
        <w:rPr>
          <w:noProof/>
        </w:rPr>
        <w:t>Στο κεφάλαιο 7 του προτεινόμενου κανονισμού καθορίζονται οι μηχανισμοί και οι αρχές συνεργασίας και υποστήριξης μεταξύ των κρατών μελών και της Ένωσης. Επιπλέον, ορίζεται ο ρόλος του Ευρωπαϊκού Οργανισμού Περιβάλλοντος όσον αφορά την παροχή κατάλληλης υποστήριξης στην Επιτροπή κατά τις εργασίες παρακολούθησης και υποβολής εκθέσεων βάσει του παρόντος κανονισμού.</w:t>
      </w:r>
    </w:p>
    <w:p>
      <w:pPr>
        <w:rPr>
          <w:noProof/>
        </w:rPr>
      </w:pPr>
      <w:r>
        <w:rPr>
          <w:noProof/>
        </w:rPr>
        <w:t xml:space="preserve">Στο κεφάλαιο 8 του προτεινόμενου κανονισμού καθορίζονται οι απαραίτητες διατάξεις ανάθεσης ορισμένων αρμοδιοτήτων στην Επιτροπή για την έκδοση κατ’ εξουσιοδότηση και εκτελεστικών πράξεων σε σαφώς προσδιορισμένες καταστάσεις. </w:t>
      </w:r>
    </w:p>
    <w:p>
      <w:pPr>
        <w:rPr>
          <w:noProof/>
        </w:rPr>
      </w:pPr>
      <w:r>
        <w:rPr>
          <w:noProof/>
        </w:rPr>
        <w:t>Στο κεφάλαιο 9 του προτεινόμενου κανονισμού καθιερώνεται Επιτροπή Ενεργειακής Ένωσης [εξεταστική επιτροπή βάσει του κανονισμού (ΕΕ) αριθ. 182/2011] και καθορίζονται οι διατάξεις για την αναθεώρηση του κανονισμού το 2026, την ακύρωση και την τροποποίηση άλλων νομοθετημάτων της ΕΕ για τη διασφάλιση συνοχής, όπως και οι διατάξεις σχετικά με τα μεταβατικά μέτρα και την έναρξη ισχύος.</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 διακυβέρνηση της Ενεργειακής Ένωσης,</w:t>
      </w:r>
      <w:r>
        <w:rPr>
          <w:noProof/>
        </w:rPr>
        <w:br/>
      </w:r>
      <w:r>
        <w:rPr>
          <w:noProof/>
        </w:rPr>
        <w:br/>
        <w:t xml:space="preserve">και για την τροποποίηση της οδηγίας 94/22/ΕΚ, της οδηγίας 98/70/ΕΚ, της οδηγίας 2009/31/ΕΚ, του κανονισμού (ΕΚ) αριθ. 663/2009, του κανονισμού (ΕΚ) αριθ. 715/2009, της οδηγίας 2009/73/ΕΚ, της οδηγίας 2009/119/ΕΚ του Συμβουλίου, της οδηγίας 2010/31/ΕΕ, </w:t>
      </w:r>
      <w:r>
        <w:rPr>
          <w:noProof/>
        </w:rPr>
        <w:br/>
        <w:t>της οδηγίας 2012/27/ΕΕ, της οδηγίας 2013/30/ΕΕ και της οδηγίας (ΕΕ) 2015/652 του Συμβουλίου και την κατάργηση του κανονισμού (ΕΕ) αριθ. 525/2013</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192 παράγραφος 1 και το άρθρο 194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2"/>
      </w:r>
      <w:r>
        <w:rPr>
          <w:noProof/>
        </w:rPr>
        <w:t>,]</w:t>
      </w:r>
    </w:p>
    <w:p>
      <w:pPr>
        <w:rPr>
          <w:noProof/>
        </w:rPr>
      </w:pPr>
      <w:r>
        <w:rPr>
          <w:noProof/>
        </w:rPr>
        <w:t>[Έχοντας υπόψη τη γνώμη της Επιτροπής των Περιφερειών</w:t>
      </w:r>
      <w:r>
        <w:rPr>
          <w:rStyle w:val="FootnoteReference"/>
          <w:noProof/>
        </w:rPr>
        <w:footnoteReference w:id="13"/>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rPr>
          <w:noProof/>
        </w:rPr>
        <w:t>(1)</w:t>
      </w:r>
      <w:r>
        <w:rPr>
          <w:noProof/>
        </w:rPr>
        <w:tab/>
        <w:t>Ο παρών κανονισμός καθορίζει την απαραίτητη νομοθετική βάση για μια αξιόπιστη και διαφανή διακυβέρνηση, η οποία θα διασφαλίζει την επίτευξη των στόχων και των επιδιώξεων της Ενεργειακής Ένωσης μέσω συμπληρωματικών, συνεκτικών και φιλόδοξων προσπαθειών εκ μέρους της Ένωσης και των κρατών μελών της, προωθώντας τις αρχές της Ένωσης για τη βελτίωση της νομοθεσίας.</w:t>
      </w:r>
    </w:p>
    <w:p>
      <w:pPr>
        <w:pStyle w:val="ManualConsidrant"/>
        <w:rPr>
          <w:noProof/>
        </w:rPr>
      </w:pPr>
      <w:r>
        <w:rPr>
          <w:noProof/>
        </w:rPr>
        <w:t>(2)</w:t>
      </w:r>
      <w:r>
        <w:rPr>
          <w:noProof/>
        </w:rPr>
        <w:tab/>
        <w:t>Η Ευρωπαϊκή Ενεργειακή Ένωση θα πρέπει να καλύπτει πέντε βασικές διαστάσεις: ενεργειακή ασφάλεια, εσωτερική αγορά ενέργειας, ενεργειακή απόδοση, απαλλαγή από τις ανθρακούχες εκπομπές· και έρευνα, καινοτομία και ανταγωνιστικότητα.</w:t>
      </w:r>
    </w:p>
    <w:p>
      <w:pPr>
        <w:pStyle w:val="ManualConsidrant"/>
        <w:rPr>
          <w:noProof/>
        </w:rPr>
      </w:pPr>
      <w:r>
        <w:rPr>
          <w:noProof/>
        </w:rPr>
        <w:t>(3)</w:t>
      </w:r>
      <w:r>
        <w:rPr>
          <w:noProof/>
        </w:rPr>
        <w:tab/>
        <w:t>Ο στόχος της δημιουργίας μιας ανθεκτικής Ενεργειακής Ένωσης με επίκεντρο μια φιλόδοξη πολιτική για το κλίμα είναι να έχουν οι καταναλωτές της Ένωσης, τόσο τα νοικοκυριά όσο και οι επιχειρήσεις, πρόσβαση σε ασφαλή, βιώσιμη, ανταγωνιστική και οικονομική ενέργεια, για το οποίο απαιτείται ο θεμελιώδης μετασχηματισμός του ενεργειακού συστήματος της Ευρώπης. Ο στόχος αυτός μπορεί να επιτευχθεί μόνο μέσω συντονισμένης δράσης, στο πλαίσιο της οποίας συνδυάζονται νομοθετικές και μη νομοθετικές πράξεις σε ενωσιακό και εθνικό επίπεδο.</w:t>
      </w:r>
    </w:p>
    <w:p>
      <w:pPr>
        <w:pStyle w:val="ManualConsidrant"/>
        <w:rPr>
          <w:noProof/>
        </w:rPr>
      </w:pPr>
      <w:r>
        <w:rPr>
          <w:noProof/>
        </w:rPr>
        <w:t>(4)</w:t>
      </w:r>
      <w:r>
        <w:rPr>
          <w:noProof/>
        </w:rPr>
        <w:tab/>
        <w:t>Η πρόταση της Επιτροπής αναπτύχθηκε παράλληλα και δημοσιεύθηκε σε συνδυασμό με σειρά πρωτοβουλιών στον τομέα πολιτικής για την ενέργεια, ιδίως όσον αφορά τις ανανεώσιμες πηγές ενέργειας, την ενεργειακή απόδοση και το σχεδιασμό της αγοράς. Αυτές οι πρωτοβουλίες αποτελούν πακέτο με βασικό θέμα την προτεραιότητα της ενεργειακής απόδοσης, την παγκόσμια πρωτοπορία της Ένωσης όσον αφορά τις ανανεώσιμες πηγές ενέργειας και τη δίκαιη συμφωνία για τους καταναλωτές ενέργειας.</w:t>
      </w:r>
    </w:p>
    <w:p>
      <w:pPr>
        <w:pStyle w:val="ManualConsidrant"/>
        <w:rPr>
          <w:noProof/>
        </w:rPr>
      </w:pPr>
      <w:r>
        <w:rPr>
          <w:noProof/>
        </w:rPr>
        <w:t>(5)</w:t>
      </w:r>
      <w:r>
        <w:rPr>
          <w:noProof/>
        </w:rPr>
        <w:tab/>
        <w:t>Το Ευρωπαϊκό Συμβούλιο συμφώνησε στις 24 Οκτωβρίου 2014 το πλαίσιο για την ενέργεια και το κλίμα για το 2030 για την Ένωση με άξονα τέσσερις βασικούς στόχους: περικοπή κατά τουλάχιστον 40 % των εκπομπών αερίων του θερμοκηπίου (GHG) σε όλους τους τομείς της οικονομίας, βελτίωση κατά τουλάχιστον 27 % της ενεργειακής απόδοσης με απώτερο στόχο το 30 %, επίτευξη μεριδίου ενέργειας από ανανεώσιμες πηγές που καταναλώνεται στην ΕΕ τουλάχιστον 27 % και επίτευξη διασύνδεσης ηλεκτρικής ενέργειας κατά τουλάχιστον 15 %. Διευκρινίζεται ότι ο στόχος για τις ανανεώσιμες πηγές ενέργειας είναι δεσμευτικός σε επίπεδο Ένωσης και αναμένεται να υλοποιηθεί μέσω της συνεισφοράς των κρατών μελών στο πλαίσιο της ανάγκης συλλογικής επίτευξης του ενωσιακού στόχου.</w:t>
      </w:r>
    </w:p>
    <w:p>
      <w:pPr>
        <w:pStyle w:val="ManualConsidrant"/>
        <w:rPr>
          <w:noProof/>
        </w:rPr>
      </w:pPr>
      <w:r>
        <w:rPr>
          <w:noProof/>
        </w:rPr>
        <w:t>(6)</w:t>
      </w:r>
      <w:r>
        <w:rPr>
          <w:noProof/>
        </w:rPr>
        <w:tab/>
        <w:t>Ο δεσμευτικός στόχος εγχώριας μείωσης των αερίων του θερμοκηπίου κατά τουλάχιστον 40 % σε όλους τους τομείς της οικονομίας έως το 2030 σε σχέση με το 1990 εγκρίθηκε επισήμως ως προβλεπόμενη εθνικά καθορισμένη συνεισφορά της Ένωσης και των κρατών μελών στη συμφωνία του Παρισιού κατά τη συνεδρίαση του Συμβουλίου Περιβάλλοντος στις 6 Μαρτίου 2015. Η συμφωνία του Παρισιού επικυρώθηκε από την Ένωση στις 5 Οκτωβρίου 2016</w:t>
      </w:r>
      <w:r>
        <w:rPr>
          <w:rStyle w:val="FootnoteReference"/>
          <w:noProof/>
        </w:rPr>
        <w:footnoteReference w:id="14"/>
      </w:r>
      <w:r>
        <w:rPr>
          <w:noProof/>
        </w:rPr>
        <w:t xml:space="preserve"> και τέθηκε σε ισχύ στις 4 Νοεμβρίου 2016. Αντικαθιστά την προσέγγιση που ίσχυε σύμφωνα με το πρωτόκολλο του Κιότο του 1997, η οποία δεν θα συνεχιστεί πέραν του 2020. Συνεπώς, το σύστημα της Ένωσης για την παρακολούθηση και την υποβολή εκθέσεων αναφορικά με τις εκπομπές και τις απορροφήσεις θα πρέπει να ενημερωθεί σχετικά.</w:t>
      </w:r>
    </w:p>
    <w:p>
      <w:pPr>
        <w:pStyle w:val="ManualConsidrant"/>
        <w:rPr>
          <w:noProof/>
        </w:rPr>
      </w:pPr>
      <w:r>
        <w:rPr>
          <w:noProof/>
        </w:rPr>
        <w:t>(7)</w:t>
      </w:r>
      <w:r>
        <w:rPr>
          <w:noProof/>
        </w:rPr>
        <w:tab/>
        <w:t>Σύμφωνα, επίσης, με τα συμπεράσματα του Ευρωπαϊκού Συμβουλίου της 24</w:t>
      </w:r>
      <w:r>
        <w:rPr>
          <w:noProof/>
          <w:vertAlign w:val="superscript"/>
        </w:rPr>
        <w:t>ης</w:t>
      </w:r>
      <w:r>
        <w:rPr>
          <w:noProof/>
        </w:rPr>
        <w:t xml:space="preserve"> Οκτωβρίου 2014,</w:t>
      </w:r>
      <w:r>
        <w:rPr>
          <w:rStyle w:val="FootnoteReference"/>
          <w:noProof/>
        </w:rPr>
        <w:footnoteReference w:id="15"/>
      </w:r>
      <w:r>
        <w:rPr>
          <w:noProof/>
        </w:rPr>
        <w:t xml:space="preserve"> απαιτείται η ανάπτυξη  αξιόπιστου και διάφανου συστήματος διακυβέρνησης, χωρίς περιττό διοικητικό φόρτο, ώστε να διασφαλιστεί ότι η ΕΕ θα επιτύχει τους στόχους της ενεργειακής πολιτικής της, με την παροχή της απαραίτητης ευελιξίας στα κράτη μέλη και με πλήρη σεβασμό προς την ελευθερία τους να καθορίζουν το ενεργειακό τους μείγμα. Τονίζεται ότι ένα τέτοιο σύστημα διακυβέρνησης θα πρέπει να βασιστεί σε ήδη υπάρχουσες δομές, όπως τα εθνικά προγράμματα για το κλίμα, τα εθνικά σχέδια για τις ανανεώσιμες πηγές ενέργειας και την ενεργειακή απόδοση, όπως και στην ανάγκη εξορθολογισμού και συγκερασμού των ξεχωριστών σκελών σχεδιασμού και υποβολής εκθέσεων. Ακόμη, συμφωνήθηκε να ενισχυθεί ο ρόλος και τα δικαιώματα των καταναλωτών, η διαφάνεια και η προβλεψιμότητα για τους επενδυτές, μεταξύ άλλων μέσω συστηματικής παρακολούθησης βασικών δεικτών για ένα οικονομικό, ασφαλές, ανταγωνιστικό, προστατευμένο και βιώσιμο ενεργειακό σύστημα, καθώς και να διευκολυνθεί ο συντονισμός των εθνικών ενεργειακών πολιτικών και να προωθηθεί η περιφερειακή συνεργασία μεταξύ των κρατών μελών.</w:t>
      </w:r>
    </w:p>
    <w:p>
      <w:pPr>
        <w:pStyle w:val="ManualConsidrant"/>
        <w:rPr>
          <w:noProof/>
        </w:rPr>
      </w:pPr>
      <w:r>
        <w:rPr>
          <w:noProof/>
        </w:rPr>
        <w:t>(8)</w:t>
      </w:r>
      <w:r>
        <w:rPr>
          <w:noProof/>
        </w:rPr>
        <w:tab/>
        <w:t>Στη στρατηγική της Ενεργειακής Ένωσης της Επιτροπής, της 25</w:t>
      </w:r>
      <w:r>
        <w:rPr>
          <w:noProof/>
          <w:vertAlign w:val="superscript"/>
        </w:rPr>
        <w:t>ης</w:t>
      </w:r>
      <w:r>
        <w:rPr>
          <w:noProof/>
        </w:rPr>
        <w:t xml:space="preserve"> Φεβρουαρίου 2015, δηλώνεται η ανάγκη ενοποιημένης διακυβέρνησης, προκειμένου να διασφαλιστεί ότι όλες οι σχετιζόμενες με την ενέργεια δράσεις σε ενωσιακό, περιφερειακό, εθνικό και τοπικό επίπεδο θα συμβάλουν στην επίτευξη των στόχων της Ενεργειακής Ένωσης, διευρύνοντας με αυτόν τον τρόπο το πεδίο εφαρμογής της διακυβέρνησης και στις πέντε βασικές διαστάσεις της Ενεργειακής Ένωσης, πέραν του Πλαισίου για την ενέργεια και το κλίμα για το 2030</w:t>
      </w:r>
    </w:p>
    <w:p>
      <w:pPr>
        <w:pStyle w:val="ManualConsidrant"/>
        <w:rPr>
          <w:noProof/>
        </w:rPr>
      </w:pPr>
      <w:r>
        <w:rPr>
          <w:noProof/>
        </w:rPr>
        <w:t>(9)</w:t>
      </w:r>
      <w:r>
        <w:rPr>
          <w:noProof/>
        </w:rPr>
        <w:tab/>
        <w:t>Στην ανακοίνωση σχετικά με την κατάσταση της Ενεργειακής Ένωσης της 18</w:t>
      </w:r>
      <w:r>
        <w:rPr>
          <w:noProof/>
          <w:vertAlign w:val="superscript"/>
        </w:rPr>
        <w:t>ης</w:t>
      </w:r>
      <w:r>
        <w:rPr>
          <w:noProof/>
        </w:rPr>
        <w:t xml:space="preserve"> Νοεμβρίου 2015</w:t>
      </w:r>
      <w:r>
        <w:rPr>
          <w:rStyle w:val="FootnoteReference"/>
          <w:noProof/>
        </w:rPr>
        <w:footnoteReference w:id="16"/>
      </w:r>
      <w:r>
        <w:rPr>
          <w:noProof/>
        </w:rPr>
        <w:t>, η Επιτροπή διευκρίνισε περαιτέρω ότι τα ενοποιημένα εθνικά σχέδια για την ενέργεια και το κλίμα, όπου περιλαμβάνονται και οι πέντε βασικές διαστάσεις της Ενεργειακής Ένωσης, αποτελούν απαραίτητα εργαλεία για έναν πιο στρατηγικό σχεδιασμό της πολιτικής για την ενέργεια και το κλίμα. Ως μέρος της κατάστασης της Ενεργειακής Ένωσης, οι οδηγίες της Επιτροπής προς τα κράτη μέλη σχετικά με τα ενοποιημένα εθνικά σχέδια για την ενέργεια και το κλίμα αποτέλεσαν τη βάση, προκειμένου τα κράτη μέλη να ξεκινήσουν την κατάρτιση εθνικών σχεδίων για την περίοδο 2021 έως 2030 και καθόρισαν τους βασικούς πυλώνες της διαδικασίας διακυβέρνησης. Στην κατάσταση της Ενεργειακής Ένωσης διευκρινίζεται επίσης ότι η διακυβέρνηση θα πρέπει να εδραιωθεί στη νομοθεσία.</w:t>
      </w:r>
    </w:p>
    <w:p>
      <w:pPr>
        <w:pStyle w:val="ManualConsidrant"/>
        <w:rPr>
          <w:noProof/>
        </w:rPr>
      </w:pPr>
      <w:r>
        <w:rPr>
          <w:noProof/>
        </w:rPr>
        <w:t>(10)</w:t>
      </w:r>
      <w:r>
        <w:rPr>
          <w:noProof/>
        </w:rPr>
        <w:tab/>
        <w:t>Στα συμπεράσματα του Συμβουλίου της 26</w:t>
      </w:r>
      <w:r>
        <w:rPr>
          <w:noProof/>
          <w:vertAlign w:val="superscript"/>
        </w:rPr>
        <w:t>ης</w:t>
      </w:r>
      <w:r>
        <w:rPr>
          <w:noProof/>
        </w:rPr>
        <w:t xml:space="preserve"> Νοεμβρίου 2015</w:t>
      </w:r>
      <w:r>
        <w:rPr>
          <w:rStyle w:val="FootnoteReference"/>
          <w:noProof/>
        </w:rPr>
        <w:footnoteReference w:id="17"/>
      </w:r>
      <w:r>
        <w:rPr>
          <w:noProof/>
        </w:rPr>
        <w:t xml:space="preserve"> αναγνωρίζεται ότι η dιακυβέρνηση της Ενεργειακής Ένωσης θα αποτελέσει ουσιαστικό εργαλείο για την αποδοτική και αποτελεσματική οικοδόμηση της Ενεργειακής Ένωσης και την επίτευξη των στόχων της. Υπογραμμίζεται ότι το σύστημα διακυβέρνησης θα πρέπει να βασίζεται στις αρχές ενσωμάτωσης του στρατηγικού σχεδιασμού και της υποβολής εκθέσεων σχετικά με την υλοποίηση των πολιτικών για το κλίμα και την ενέργεια, όπως και τον συντονισμό μεταξύ των υπευθύνων για την ενεργειακή και κλιματική πολιτική σε ενωσιακό, περιφερειακό και εθνικό επίπεδο. Ακόμη, υπογραμμίστηκε ότι η διακυβέρνηση θα πρέπει να διασφαλίζει την επίτευξη των ενεργειακών και κλιματικών στόχων για το 2030 και ότι μέσω της διακυβέρνησης θα παρακολουθείται η συλλογική πρόοδος της Ένωσης ως προς την επίτευξη των στόχων πολιτικής αναφορικά με τις πέντε διαστάσεις της Ενεργειακής Ένωσης. </w:t>
      </w:r>
    </w:p>
    <w:p>
      <w:pPr>
        <w:pStyle w:val="ManualConsidrant"/>
        <w:rPr>
          <w:noProof/>
        </w:rPr>
      </w:pPr>
      <w:r>
        <w:rPr>
          <w:noProof/>
        </w:rPr>
        <w:t>(11)</w:t>
      </w:r>
      <w:r>
        <w:rPr>
          <w:noProof/>
        </w:rPr>
        <w:tab/>
        <w:t>Στο ψήφισμα του Ευρωπαϊκού Κοινοβουλίου της 15</w:t>
      </w:r>
      <w:r>
        <w:rPr>
          <w:noProof/>
          <w:vertAlign w:val="superscript"/>
        </w:rPr>
        <w:t>ης</w:t>
      </w:r>
      <w:r>
        <w:rPr>
          <w:noProof/>
        </w:rPr>
        <w:t xml:space="preserve"> Δεκεμβρίου 2015 με τίτλο «Η πορεία προς μια Ευρωπαϊκή Ενεργειακή Ένωση»</w:t>
      </w:r>
      <w:r>
        <w:rPr>
          <w:rStyle w:val="FootnoteReference"/>
          <w:noProof/>
        </w:rPr>
        <w:footnoteReference w:id="18"/>
      </w:r>
      <w:r>
        <w:rPr>
          <w:noProof/>
        </w:rPr>
        <w:t xml:space="preserve"> τονίζεται η ανάγκη για ένα πλαίσιο διακυβέρνησης της Ενεργειακής Ένωσης που θα είναι φιλόδοξο, αξιόπιστο, διαφανές, δημοκρατικό και στο οποίο θα συμμετέχει πλήρως το Ευρωπαϊκό Κοινοβούλιο, ώστε να διασφαλιστεί η επίτευξη των κλιματικών και ενεργειακών στόχων για το 2030.</w:t>
      </w:r>
    </w:p>
    <w:p>
      <w:pPr>
        <w:pStyle w:val="ManualConsidrant"/>
        <w:rPr>
          <w:noProof/>
        </w:rPr>
      </w:pPr>
      <w:r>
        <w:rPr>
          <w:noProof/>
        </w:rPr>
        <w:t>(12)</w:t>
      </w:r>
      <w:r>
        <w:rPr>
          <w:noProof/>
        </w:rPr>
        <w:tab/>
        <w:t>Συνεπώς, κύριος στόχος της διακυβέρνησης της Ενεργειακής Ένωσης θα πρέπει να είναι η εξασφάλιση των συνθηκών για την επίτευξη των στόχων της Ενεργειακής Ένωσης και, ειδικά, των επιδιώξεων του πλαισίου για την ενέργεια και το κλίμα για το 2030. Ο παρών κανονισμός συνδέεται επομένως με την εφαρμογή της τομεακής νομοθεσίας για την επίτευξη των ενεργειακών και κλιματικών στόχων για το 2030. Τα κράτη μέλη χρειάζονται ευελιξία κατά την επιλογή των ενδεδειγμένων πολιτικών για το εθνικό ενεργειακό τους μείγμα και τις προτιμήσεις τους, αλλά η ευελιξία αυτή θα πρέπει να συνάδει με την περαιτέρω ση της αγοράς, τον αυξημένο ανταγωνισμό και την επίτευξη των κλιματικών και ενεργειακών στόχων, καθώς και τη σταδιακή μετάβαση προς μια οικονομία χαμηλών ανθρακούχων εκπομπών.</w:t>
      </w:r>
    </w:p>
    <w:p>
      <w:pPr>
        <w:pStyle w:val="ManualConsidrant"/>
        <w:rPr>
          <w:noProof/>
        </w:rPr>
      </w:pPr>
      <w:r>
        <w:rPr>
          <w:noProof/>
        </w:rPr>
        <w:t>(13)</w:t>
      </w:r>
      <w:r>
        <w:rPr>
          <w:noProof/>
        </w:rPr>
        <w:tab/>
        <w:t>Για τη μετάβαση σε μια οικονομία χαμηλών ανθρακούχων εκπομπών απαιτούνται αλλαγές στην επενδυτική συμπεριφορά και παροχή κινήτρων σε ολόκληρο το φάσμα πολιτικών. Για τη μείωση των εκπομπών αερίων του θερμοκηπίου θα πρέπει να ενισχυθεί η αποδοτικότητα και η καινοτομία στο πλαίσιο της ευρωπαϊκής οικονομίας, επιφέροντας ειδικά βελτιώσεις στην ποιότητα του αέρα.</w:t>
      </w:r>
    </w:p>
    <w:p>
      <w:pPr>
        <w:pStyle w:val="ManualConsidrant"/>
        <w:rPr>
          <w:noProof/>
          <w:szCs w:val="24"/>
        </w:rPr>
      </w:pPr>
      <w:r>
        <w:rPr>
          <w:noProof/>
        </w:rPr>
        <w:t>(14)</w:t>
      </w:r>
      <w:r>
        <w:rPr>
          <w:noProof/>
        </w:rPr>
        <w:tab/>
        <w:t>Επειδή τα αέρια του θερμοκηπίου και οι ατμοσφαιρικοί ρύποι προέρχονται κυρίως από κοινές πηγές, η πολιτική μείωσης των αερίων του θερμοκηπίου μπορεί να έχει παράλληλα θετικές επιπτώσεις στην ποιότητα του αέρα, αντισταθμίζοντας με αυτόν τον τρόπο εν μέρει ή συνολικά τις βραχυπρόθεσμες δαπάνες για τον μετριασμό των αερίων του θερμοκηπίου. Εφόσον τα δεδομένα που αναφέρονται στην οδηγία 2001/81/ΕΚ</w:t>
      </w:r>
      <w:r>
        <w:rPr>
          <w:rStyle w:val="FootnoteReference"/>
          <w:noProof/>
        </w:rPr>
        <w:footnoteReference w:id="19"/>
      </w:r>
      <w:r>
        <w:rPr>
          <w:noProof/>
        </w:rPr>
        <w:t xml:space="preserve"> αποτελούν σημαντική συμβολή στην κατάρτιση της απογραφής αερίων θερμοκηπίου και των εθνικών σχεδίων, θα πρέπει να αναγνωρίζεται η σημασία της συλλογής συνεκτικών δεδομένων και της υποβολής εκθέσεων με συνεκτικά δεδομένά μεταξύ της οδηγίας 2001/81/ΕΚ και της απογραφής αερίων του θερμοκηπίου.</w:t>
      </w:r>
    </w:p>
    <w:p>
      <w:pPr>
        <w:pStyle w:val="ManualConsidrant"/>
        <w:rPr>
          <w:noProof/>
        </w:rPr>
      </w:pPr>
      <w:r>
        <w:rPr>
          <w:noProof/>
        </w:rPr>
        <w:t>(15)</w:t>
      </w:r>
      <w:r>
        <w:rPr>
          <w:noProof/>
        </w:rPr>
        <w:tab/>
        <w:t>Η εμπειρία που αποκομίστηκε κατά την εφαρμογή του κανονισμού (ΕΕ) αριθ. 525/2013</w:t>
      </w:r>
      <w:r>
        <w:rPr>
          <w:rStyle w:val="FootnoteReference"/>
          <w:noProof/>
        </w:rPr>
        <w:footnoteReference w:id="20"/>
      </w:r>
      <w:r>
        <w:rPr>
          <w:noProof/>
        </w:rPr>
        <w:t xml:space="preserve"> υποδεικνύει την ανάγκη συνεργειών και συνοχής με τις απαιτήσεις υποβολής εκθέσεων βάσει άλλων νομικών πράξεων, ειδικά της οδηγίας 2003/87/ΕΚ</w:t>
      </w:r>
      <w:r>
        <w:rPr>
          <w:rStyle w:val="FootnoteReference"/>
          <w:noProof/>
        </w:rPr>
        <w:footnoteReference w:id="21"/>
      </w:r>
      <w:r>
        <w:rPr>
          <w:noProof/>
        </w:rPr>
        <w:t>, του κανονισμού (ΕΚ) αριθ. 166/2006</w:t>
      </w:r>
      <w:r>
        <w:rPr>
          <w:rStyle w:val="FootnoteReference"/>
          <w:noProof/>
        </w:rPr>
        <w:footnoteReference w:id="22"/>
      </w:r>
      <w:r>
        <w:rPr>
          <w:noProof/>
        </w:rPr>
        <w:t>, του κανονισμού (ΕΚ) αριθ. 517/2014</w:t>
      </w:r>
      <w:r>
        <w:rPr>
          <w:rStyle w:val="FootnoteReference"/>
          <w:noProof/>
        </w:rPr>
        <w:footnoteReference w:id="23"/>
      </w:r>
      <w:r>
        <w:rPr>
          <w:noProof/>
        </w:rPr>
        <w:t xml:space="preserve"> και του κανονισμού (ΕΚ) αριθ. 1099/2008</w:t>
      </w:r>
      <w:r>
        <w:rPr>
          <w:rStyle w:val="FootnoteReference"/>
          <w:noProof/>
        </w:rPr>
        <w:footnoteReference w:id="24"/>
      </w:r>
      <w:r>
        <w:rPr>
          <w:noProof/>
        </w:rPr>
        <w:t>. Η χρήση συνεκτικών δεδομένων για την υποβολή εκθέσεων σχετικά με τις εκπομπές αερίων του θερμοκηπίου παίζει ουσιαστικό ρόλο για τη διασφάλιση της ποιότητας των εν λόγω εκθέσεων.</w:t>
      </w:r>
    </w:p>
    <w:p>
      <w:pPr>
        <w:pStyle w:val="ManualConsidrant"/>
        <w:rPr>
          <w:noProof/>
        </w:rPr>
      </w:pPr>
      <w:r>
        <w:rPr>
          <w:noProof/>
        </w:rPr>
        <w:t>(16)</w:t>
      </w:r>
      <w:r>
        <w:rPr>
          <w:noProof/>
        </w:rPr>
        <w:tab/>
        <w:t>Σε συμφωνία με τη δέσμευση της Επιτροπής για βελτίωση της νομοθεσίας, η διακυβέρνηση τη Ενεργειακής Ένωσης θα μειώσει σημαντικά τον διοικητικό φόρτο για τα κράτη μέλη, την Επιτροπή και άλλα θεσμικά όργανα της Ένωσης, και θα συμβάλει στη διασφάλιση της συνοχής και της επάρκειας των πολιτικών και των μέτρων σε ενωσιακό και εθνικό επίπεδο όσον αφορά τον μετασχηματισμό του ενεργειακού συστήματος σε μια οικονομία χαμηλών ανθρακούχων εκπομπών.</w:t>
      </w:r>
    </w:p>
    <w:p>
      <w:pPr>
        <w:pStyle w:val="ManualConsidrant"/>
        <w:rPr>
          <w:noProof/>
        </w:rPr>
      </w:pPr>
      <w:r>
        <w:rPr>
          <w:noProof/>
        </w:rPr>
        <w:t>(17)</w:t>
      </w:r>
      <w:r>
        <w:rPr>
          <w:noProof/>
        </w:rPr>
        <w:tab/>
        <w:t xml:space="preserve">Η επίτευξη των στόχων της Ενεργειακής Ένωσης θα διασφαλιστεί μέσω ενός συνδυασμού πρωτοβουλιών της Ένωσης και συνεκτικών εθνικών πολιτικών που θα ορίζονται στα ενοποιημένα εθνικά σχέδια για την ενέργεια και το κλίμα. Στην τομεακή νομοθεσία της Ένωσης για την ενέργεια και το κλίμα προβλέπονται απαιτήσεις σχεδιασμού, οι οποίες αποτέλεσαν χρήσιμα εργαλεία για την προώθηση αλλαγών σε εθνικό επίπεδο. Η εισαγωγή τους σε διαφορετικές χρονικές στιγμές οδήγησε σε αλληλοεπικάλυψη και ανεπαρκή εξέταση των συνεργειών και αλληλεπιδράσεων μεταξύ των τομέων πολιτικής. Συνεπώς, οι τρέχουσες ξεχωριστές διαδικασίες σχεδιασμού, υποβολής εκθέσεων και παρακολούθησης στους τομείς του κλίματος και της ενέργειας θα πρέπει κατά το δυνατόν να εξορθολογιστούν και να ενοποιηθούν. </w:t>
      </w:r>
    </w:p>
    <w:p>
      <w:pPr>
        <w:pStyle w:val="ManualConsidrant"/>
        <w:rPr>
          <w:noProof/>
        </w:rPr>
      </w:pPr>
      <w:r>
        <w:rPr>
          <w:noProof/>
        </w:rPr>
        <w:t>(18)</w:t>
      </w:r>
      <w:r>
        <w:rPr>
          <w:noProof/>
        </w:rPr>
        <w:tab/>
        <w:t>Τα ενοποιημένα σχέδια για την ενέργεια και το κλίμα θα πρέπει να καλύπτουν δεκαετείς περιόδους και να παρέχουν επισκόπηση της τρέχουσας κατάστασης του ενεργειακού συστήματος και της πολιτικής. Θα πρέπει να θέτουν εθνικούς στόχους για τις πέντε διαστάσεις της Ενεργειακής Ένωσης, όπως και αντίστοιχες πολιτικές και μέτρα για την ικανοποίηση αυτών των στόχων και να θεμελιώνονται αναλυτικά. Στα εθνικά σχέδια που θα καλύπτουν την πρώτη περίοδο από το 2021 έως το 2030 θα πρέπει να δίνεται ιδιαίτερη προσοχή στους στόχους για το 2030 που αφορούν τη μείωση των εκπομπών αερίων του θερμοκηπίου, τις ανανεώσιμες πηγές ενέργειας, την ενεργειακή απόδοση και τη διασύνδεση ηλεκτρικής ενέργειας. Τα κράτη μέλη θα πρέπει να διασφαλίζουν ότι τα εθνικά σχέδια είναι συνεπή με την επίτευξη των στόχων βιώσιμης ανάπτυξης και συμβάλλουν σε αυτήν.</w:t>
      </w:r>
    </w:p>
    <w:p>
      <w:pPr>
        <w:pStyle w:val="ManualConsidrant"/>
        <w:rPr>
          <w:noProof/>
        </w:rPr>
      </w:pPr>
      <w:r>
        <w:rPr>
          <w:noProof/>
        </w:rPr>
        <w:t>(19)</w:t>
      </w:r>
      <w:r>
        <w:rPr>
          <w:noProof/>
        </w:rPr>
        <w:tab/>
        <w:t>Θα πρέπει να καθιερωθεί υποχρεωτικό υπόδειγμα εθνικού σχεδίου, ώστε να διασφαλιστεί ότι όλα τα εθνικά σχέδια θα είναι ολοκληρωμένα και να διευκολυνθεί η σύγκριση και η συγκεντρωτική ανάλυση των εθνικών σχεδίων, διασφαλίζοντας συγχρόνως επαρκή ευελιξία στα κράτη μέλη να ορίζουν τις λεπτομέρειες των εθνικών σχεδίων τους, όπου θα αντικατοπτρίζονται οι εθνικές προτιμήσεις και ιδιαιτερότητες.</w:t>
      </w:r>
    </w:p>
    <w:p>
      <w:pPr>
        <w:pStyle w:val="ManualConsidrant"/>
        <w:rPr>
          <w:noProof/>
        </w:rPr>
      </w:pPr>
      <w:r>
        <w:rPr>
          <w:noProof/>
        </w:rPr>
        <w:t>(20)</w:t>
      </w:r>
      <w:r>
        <w:rPr>
          <w:noProof/>
        </w:rPr>
        <w:tab/>
        <w:t>Η εφαρμογή πολιτικών και μέτρων στους τομείς της ενέργειας και του κλίματος έχει επιπτώσεις στο περιβάλλον. Συνεπώς, τα κράτη μέλη θα πρέπει να διασφαλίζουν στο κοινό την έγκαιρη και αποτελεσματική παροχή της δυνατότητας συμμετοχής και συμβολής στην κατάρτιση των ενοποιημένων εθνικών σχεδίων για την ενέργεια και το κλίμα σύμφωνα, κατά περίπτωση, με τις διατάξεις της οδηγίας 2001/42/ΕΚ</w:t>
      </w:r>
      <w:r>
        <w:rPr>
          <w:rStyle w:val="FootnoteReference"/>
          <w:noProof/>
        </w:rPr>
        <w:footnoteReference w:id="25"/>
      </w:r>
      <w:r>
        <w:rPr>
          <w:noProof/>
        </w:rPr>
        <w:t xml:space="preserve"> και τη σύμβαση της Οικονομικής Επιτροπής των Ηνωμένων Εθνών για την Ευρώπη (ΟΗΕ/ΗΕ) σχετικά με την πρόσβαση σε πληροφορίες, τη συμμετοχή του κοινού στη λήψη αποφάσεων και την πρόσβαση στη δικαιοσύνη για περιβαλλοντικά θέματα της 25</w:t>
      </w:r>
      <w:r>
        <w:rPr>
          <w:noProof/>
          <w:vertAlign w:val="superscript"/>
        </w:rPr>
        <w:t>ης</w:t>
      </w:r>
      <w:r>
        <w:rPr>
          <w:noProof/>
        </w:rPr>
        <w:t xml:space="preserve"> Ιουνίου 1998 («σύμβαση του Aarhus»). Τα κράτη μέλη θα πρέπει επίσης να εξασφαλίζουν τη συμμετοχή των κοινωνικών εταίρων στην κατάρτιση των ενοποιημένων εθνικών προγραμμάτων για την ενέργεια και το κλίμα.</w:t>
      </w:r>
    </w:p>
    <w:p>
      <w:pPr>
        <w:pStyle w:val="ManualConsidrant"/>
        <w:rPr>
          <w:noProof/>
        </w:rPr>
      </w:pPr>
      <w:r>
        <w:rPr>
          <w:noProof/>
        </w:rPr>
        <w:t>(21)</w:t>
      </w:r>
      <w:r>
        <w:rPr>
          <w:noProof/>
        </w:rPr>
        <w:tab/>
        <w:t xml:space="preserve">Η περιφερειακή συνεργασία παίζει ουσιαστικό ρόλο στην αποτελεσματική επίτευξη των στόχων της Ενεργειακής Ένωσης. Θα πρέπει να δίνεται στα κράτη μέλη η δυνατότητα να σχολιάζουν τα σχέδια άλλων κρατών μελών πριν από την οριστικοποίησή τους, για να αποφεύγονται ασυνέπειες και ενδεχόμενες αρνητικές επιπτώσεις σε άλλα κράτη μέλη και προκειμένου να διασφαλίζεται ότι οι κοινοί στόχοι επιτυγχάνονται συλλογικά. Η περιφερειακή συνεργασία κατά την εκπόνηση και την οριστικοποίηση των εθνικών σχεδίων, όπως και κατά την επακόλουθη εφαρμογή των εθνικών σχεδίων θα πρέπει να είναι καθοριστικής σημασίας για τη βελτίωση της αποτελεσματικότητας και της αποδοτικότητας των μέτρων και για την προώθηση της ενοποίησης της αγοράς και της ενεργειακής ασφάλειας. </w:t>
      </w:r>
    </w:p>
    <w:p>
      <w:pPr>
        <w:pStyle w:val="ManualConsidrant"/>
        <w:rPr>
          <w:noProof/>
        </w:rPr>
      </w:pPr>
      <w:r>
        <w:rPr>
          <w:noProof/>
        </w:rPr>
        <w:t>(22)</w:t>
      </w:r>
      <w:r>
        <w:rPr>
          <w:noProof/>
        </w:rPr>
        <w:tab/>
        <w:t>Τα εθνικά σχέδια θα πρέπει να είναι ικανά να διασφαλίζουν τη διαφάνεια και την προβλεψιμότητα των εθνικών πολιτικών και μέτρων, προκειμένου να διασφαλίζεται η επενδυτική ασφάλεια. Ωστόσο, θα πρέπει να προβλέπεται ενημέρωση των εθνικών σχεδίων μία φορά κατά τη διάρκεια της καλυπτόμενης δεκαετούς περιόδου, ώστε να δίνεται στα κράτη μέλη η δυνατότητα να προσαρμόζονται σε σημαντικές μεταβαλλόμενες συνθήκες. Για τα σχέδια της περιόδου από το 2021 έως το 2030 θα πρέπει να δοθεί στα κράτη μέλη η δυνατότητα επικαιροποίησης των σχεδίων τους το 2024. Οι επιδιώξεις, οι στόχοι και οι συνεισφορές θα πρέπει να τροποποιούνται μόνο προκειμένου να αντικατοπτρίζουν αυξημένη γενική φιλοδοξία, ειδικά όσον αφορά τους στόχους του 2030 για την ενέργεια και το κλίμα. Στο πλαίσιο των επικαιροποιήσεων, τα κράτη μέλη θα πρέπει να επιδιώκουν τον μετριασμό των ενδεχόμενων αρνητικών περιβαλλοντικών επιπτώσεων που καθίστανται εμφανή από την ενοποιημένη έκθεση.</w:t>
      </w:r>
    </w:p>
    <w:p>
      <w:pPr>
        <w:pStyle w:val="ManualConsidrant"/>
        <w:rPr>
          <w:noProof/>
        </w:rPr>
      </w:pPr>
      <w:r>
        <w:rPr>
          <w:noProof/>
        </w:rPr>
        <w:t>(23)</w:t>
      </w:r>
      <w:r>
        <w:rPr>
          <w:noProof/>
        </w:rPr>
        <w:tab/>
        <w:t xml:space="preserve">Η ανάπτυξη σταθερών στρατηγικών για μακροπρόθεσμα χαμηλές εκπομπές θα συμβάλει ουσιαστικά στον οικονομικό μετασχηματισμό, τη δημιουργία θέσεων εργασίας, την ανάπτυξη και την επίτευξη ευρύτερων στόχων βιώσιμης ανάπτυξης, όπως και στη δίκαιη και οικονομική επιδίωξη του μακροπρόθεσμου στόχου που τέθηκε στη συμφωνία του Παρισιού. Επιπλέον, τα μέρη της συμφωνίας του Παρισιού καλούνται να κοινοποιήσουν, έως το 2020, τις αναπτυξιακές τους στρατηγικές χαμηλών εκπομπών αερίων του θερμοκηπίου τόσο για τα μέσα του αιώνα όσο και μακροπρόθεσμα. </w:t>
      </w:r>
    </w:p>
    <w:p>
      <w:pPr>
        <w:pStyle w:val="ManualConsidrant"/>
        <w:rPr>
          <w:noProof/>
        </w:rPr>
      </w:pPr>
      <w:r>
        <w:rPr>
          <w:noProof/>
        </w:rPr>
        <w:t>(24)</w:t>
      </w:r>
      <w:r>
        <w:rPr>
          <w:noProof/>
        </w:rPr>
        <w:tab/>
        <w:t xml:space="preserve">Όπως ισχύει για τον σχεδιασμό, στην τομεακή νομοθεσία της Ένωσης για την ενέργεια και το κλίμα καθορίζονται απαιτήσεις υποβολής εκθέσεων, αρκετές από τις οποίες αποτέλεσαν χρήσιμα εργαλεία για την προώθηση αλλαγών σε εθνικό επίπεδο. Ωστόσο, οι απαιτήσεις αυτές εισήχθησαν σε διαφορετικές χρονικές στιγμές, με αποτέλεσμα να προκύψει επικάλυψη και ανεπαρκής εξέταση των συνεργειών και των αλληλεπιδράσεων μεταξύ τομέων πολιτικής όπως ο μετριασμός των αερίων του θερμοκηπίου, οι ανανεώσιμες πηγές ενέργειας, η ενεργειακή απόδοση και η ενοποίηση της αγοράς. Για την εξισορρόπηση της ανάγκης διασφάλισης της κατάλληλης παρακολούθησης της εφαρμογής των εθνικών σχεδίων και της ανάγκης μείωσης του διοικητικού φόρτου, τα κράτη μέλη θα πρέπει να καθιερώσουν την υποβολή διετών εκθέσεων αναφορικά με την εφαρμογή των σχεδίων και με άλλες εξελίξεις στο ενεργειακό σύστημα. Ωστόσο, ορισμένες υποχρεώσεις υποβολής εκθέσεων, ειδικά σε σχέση με τις απαιτήσεις υποβολής εκθέσεων στον κλιματικό τομέα που προκύπτουν από τη σύμβαση-πλαίσιο των Ηνωμένων Εθνών για την κλιματική αλλαγή («UNFCCC») και τους κανονισμούς της Ένωσης θα πρέπει να συνεχίσουν να υποβάλλονται σε ετήσια βάση. </w:t>
      </w:r>
    </w:p>
    <w:p>
      <w:pPr>
        <w:pStyle w:val="ManualConsidrant"/>
        <w:rPr>
          <w:noProof/>
        </w:rPr>
      </w:pPr>
      <w:r>
        <w:rPr>
          <w:noProof/>
        </w:rPr>
        <w:t>(25)</w:t>
      </w:r>
      <w:r>
        <w:rPr>
          <w:noProof/>
        </w:rPr>
        <w:tab/>
        <w:t>Στις ενοποιημένες εκθέσεις προόδου των κρατών μελών θα πρέπει να αντικατοπτρίζονται τα στοιχεία που καθορίζονται στο υπόδειγμα εθνικού σχεδίου. Λεπτομέρειες σχετικά με το υπόδειγμα ενοποιημένης έκθεσης προόδου θα παρέχονται σε ακόλουθες εκτελεστικές πράξεις, δεδομένου του τεχνικού χαρακτήρα τους και του γεγονότος ότι οι πρώτες εκθέσεις προόδου πρόκειται να υποβληθούν το 2021. Οι εκθέσεις προόδου θα πρέπει να πραγματοποιούνται, προκειμένου να διασφαλίζεται η διαφάνεια έναντι της Ένωσης, των κρατών μελών και των παραγόντων της αγοράς, συμπεριλαμβανομένων των καταναλωτών. Αυτές θα πρέπει να περιλαμβάνουν και τις πέντε διαστάσεις της Ενεργειακής Ένωσης και, για την πρώτη περίοδο, να δίνουν συγχρόνως έμφαση στους τομείς που καλύπτονται από τους στόχους του πλαισίου για την ενέργεια και το κλίμα για το 2030.</w:t>
      </w:r>
    </w:p>
    <w:p>
      <w:pPr>
        <w:pStyle w:val="ManualConsidrant"/>
        <w:rPr>
          <w:noProof/>
        </w:rPr>
      </w:pPr>
      <w:r>
        <w:rPr>
          <w:noProof/>
        </w:rPr>
        <w:t>(26)</w:t>
      </w:r>
      <w:r>
        <w:rPr>
          <w:noProof/>
        </w:rPr>
        <w:tab/>
        <w:t>Βάσει της UNFCCC, απαιτείται από την Ένωση και τα κράτη μέλη της να αναπτύσσουν, να ενημερώνουν τακτικά, να δημοσιεύουν και να υποβάλλουν στη διάσκεψη των μερών εθνικές απογραφές ανθρωπογενών εκπομπών από πηγές και απορροφήσεων από καταβόθρες των αερίων θερμοκηπίου, χρησιμοποιώντας συγκρίσιμες μεθοδολογίες, οι οποίες θα συμφωνούνται από τη διάσκεψη των μερών. Οι απογραφές αερίων του θερμοκηπίου παίζουν ουσιαστικό ρόλο στη διασφάλιση της δυνατότητας παρακολούθησης της προόδου κατά την υλοποίηση της διάστασης της απαλλαγής από τις ανθρακούχες εκπομπές και την αξιολόγηση της συμμόρφωσης με τη νομοθεσία στο πεδίο του κλίματος, ειδικά τον κανονισμό [Υπηρεσία Εκδόσεων: πράξη αριθ. XXX για τις δεσμευτικές ετήσιες μειώσεις των εκπομπών αερίων θερμοκηπίου από τα κράτη μέλη από το 2021 έως το 2030 για μια ανθεκτική Ενεργειακή Ένωση και την τήρηση των δεσμεύσεων που απορρέουν από τη συμφωνία του Παρισιού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w:t>
      </w:r>
      <w:r>
        <w:rPr>
          <w:rStyle w:val="FootnoteReference"/>
          <w:noProof/>
        </w:rPr>
        <w:footnoteReference w:id="26"/>
      </w:r>
      <w:r>
        <w:rPr>
          <w:noProof/>
        </w:rPr>
        <w:t xml:space="preserve"> («κανονισμός [ ] [ESR]») και τον κανονισμό [Υπηρεσία Εκδόσεων: πράξη αριθ. XXX για τη συμπερίληψη των εκπομπών αερίων του θερμοκηπίου και των απορροφήσεων από τη χρήση γης, την αλλαγή χρήσης γης και τη δασοκομία στο πλαίσιο για το κλίμα και την ενέργεια για το 2030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 («κανονισμός [ ] [LULUCF]»)</w:t>
      </w:r>
      <w:r>
        <w:rPr>
          <w:rStyle w:val="FootnoteReference"/>
          <w:noProof/>
        </w:rPr>
        <w:footnoteReference w:id="27"/>
      </w:r>
      <w:r>
        <w:rPr>
          <w:noProof/>
        </w:rPr>
        <w:t>.</w:t>
      </w:r>
    </w:p>
    <w:p>
      <w:pPr>
        <w:pStyle w:val="ManualConsidrant"/>
        <w:rPr>
          <w:noProof/>
        </w:rPr>
      </w:pPr>
      <w:r>
        <w:rPr>
          <w:noProof/>
        </w:rPr>
        <w:t>(27)</w:t>
      </w:r>
      <w:r>
        <w:rPr>
          <w:noProof/>
        </w:rPr>
        <w:tab/>
        <w:t>Σύμφωνα με την απόφαση 1/CP.16 της διάσκεψης των μερών της UNFCCC, απαιτείται η καθιέρωση εθνικών ρυθμίσεων για την αξιολόγηση των ανθρωπογενών εκπομπών από πηγές και των απορροφήσεων από καταβόθρες όλων των αερίων του θερμοκηπίου. Ο κανονισμός θα πρέπει να καθιστά δυνατή την καθιέρωση τέτοιων εθνικών ρυθμίσεων.</w:t>
      </w:r>
    </w:p>
    <w:p>
      <w:pPr>
        <w:pStyle w:val="ManualConsidrant"/>
        <w:rPr>
          <w:noProof/>
        </w:rPr>
      </w:pPr>
      <w:r>
        <w:rPr>
          <w:noProof/>
        </w:rPr>
        <w:t>(28)</w:t>
      </w:r>
      <w:r>
        <w:rPr>
          <w:noProof/>
        </w:rPr>
        <w:tab/>
        <w:t xml:space="preserve">Η εμπειρία που αποκομίστηκε κατά την εφαρμογή του κανονισμού (ΕΕ) αριθ. 525/2013 υποδεικνύει τη σημασία της διαφάνειας, της ακρίβειας, της συνέπειας, της πληρότητας και της συγκρισιμότητας των πληροφοριών. Βάσει αυτής της εμπειρίας, ο κανονισμός θα πρέπει να διασφαλίζει ότι τα κράτη μέλη θα υποβάλλουν στοιχεία σχετικά με τις πολιτικές και τα μέτρα, καθώς και τις προβλέψεις τους ως βασικό μέρος των εκθέσεων προόδου. Οι πληροφορίες αυτών των εκθέσεων θα παίξουν ουσιαστικό ρόλο στην έγκαιρη υλοποίηση των δεσμεύσεων που απορρέουν από τον κανονισμό [ ] [ESR]. Η λειτουργία και η συνεχής βελτίωση συστημάτων σε επίπεδο ένωσης και κρατών μελών σε συνδυασμό με καλύτερες οδηγίες υποβολής εκθέσεων θα συμβάλει σημαντικά στη διαρκή ενίσχυση των απαιτούμενων πληροφοριών για την παρακολούθηση της προόδου όσον αφορά τη διάσταση της απαλλαγής από τις ανθρακούχες εκπομπές. </w:t>
      </w:r>
    </w:p>
    <w:p>
      <w:pPr>
        <w:pStyle w:val="ManualConsidrant"/>
        <w:rPr>
          <w:noProof/>
        </w:rPr>
      </w:pPr>
      <w:r>
        <w:rPr>
          <w:noProof/>
        </w:rPr>
        <w:t>(29)</w:t>
      </w:r>
      <w:r>
        <w:rPr>
          <w:noProof/>
        </w:rPr>
        <w:tab/>
        <w:t>Ο παρών κανονισμός θα πρέπει να διασφαλίζει την υποβολή εκθέσεων από τα κράτη μέλη σχετικά με την προσαρμογή στην αλλαγή του κλίματος και την παροχή στήριξης –οικονομικής, τεχνολογικής και ανάπτυξης ικανοτήτων– στις αναπτυσσόμενες χώρες, διευκολύνοντας με αυτόν τον τρόπο την υλοποίηση των δεσμεύσεων της Ένωσης βάσει της UNFCCC και της συμφωνίας του Παρισιού. Επιπλέον, οι πληροφορίες σχετικά με τις εθνικές δράσεις προσαρμογής και την υποστήριξη παίζουν επίσης σημαντικό ρόλο στο πλαίσιο των ενοποιημένων εθνικών σχεδίων για την ενέργεια και το κλίμα, ειδικά όσον αφορά την προσαρμογή στις αρνητικές επιπτώσεις της κλιματικής αλλαγής που σχετίζονται με την ασφάλεια του ενεργειακού εφοδιασμού της Ένωσης, όπως η διαθεσιμότητα νερού ψύξης για τους σταθμούς παραγωγής ηλεκτρικής ενέργειας και η διαθεσιμότητα βιομάζας για την παραγωγή ενέργειας, αλλά και οι πληροφορίες για τη στήριξη που σχετίζεται με την εξωτερική διάσταση της Ενεργειακής Ένωσης.</w:t>
      </w:r>
    </w:p>
    <w:p>
      <w:pPr>
        <w:pStyle w:val="ManualConsidrant"/>
        <w:rPr>
          <w:noProof/>
        </w:rPr>
      </w:pPr>
      <w:r>
        <w:rPr>
          <w:noProof/>
        </w:rPr>
        <w:t>(30)</w:t>
      </w:r>
      <w:r>
        <w:rPr>
          <w:noProof/>
        </w:rPr>
        <w:tab/>
        <w:t>Προκειμένου να περιοριστεί ο διοικητικός φόρτος για τα κράτη μέλη και την Επιτροπή, η Επιτροπή θα πρέπει να καθιερώσει πλατφόρμα ηλεκτρονικής υποβολής εκθέσεων που θα διευκολύνει την επικοινωνία και θα προωθήσει τη συνεργασία. Με τον τρόπο αυτόν θα πρέπει να διασφαλιστεί η έγκαιρη υποβολή των εκθέσεων και θα διευκολυνθεί η βελτίωση της διαφάνειας στις εθνικές εκθέσεις. Η πλατφόρμα ηλεκτρονικής υποβολής εκθέσεων θα πρέπει να συμπληρώνει, να επεκτείνει και να αξιοποιεί τις υπάρχουσες διαδικασίες υποβολής εκθέσεων, τις βάσεις δεδομένων και τα ηλεκτρονικά εργαλεία, όπως αυτά του Ευρωπαϊκού Οργανισμού Περιβάλλοντος (ΕΟΠ), της Eurostat (ESTAT) και του Κοινού Κέντρου Ερευνών (ΚΚΕρ), όπως και τα διδάγματα που αποκομίστηκαν από το σύστημα οικολογικής διαχείρισης και οικολογικού ελέγχου (EMAS) της Ένωσης.</w:t>
      </w:r>
    </w:p>
    <w:p>
      <w:pPr>
        <w:pStyle w:val="ManualConsidrant"/>
        <w:rPr>
          <w:noProof/>
        </w:rPr>
      </w:pPr>
      <w:r>
        <w:rPr>
          <w:noProof/>
        </w:rPr>
        <w:t>(31)</w:t>
      </w:r>
      <w:r>
        <w:rPr>
          <w:noProof/>
        </w:rPr>
        <w:tab/>
        <w:t>Όσον αφορά την παροχή δεδομένων στην Επιτροπή μέσω εθνικού σχεδιασμού και υποβολής εκθέσεων, στις πληροφορίες των κρατών μελών δεν θα πρέπει να επαναλαμβάνονται τα δεδομένα και τα στατιστικά στοιχεία που έχουν ήδη διατεθεί από τη Eurostat στο πλαίσιο του κανονισμού (ΕΚ) αριθ. 223/2009 σχετικά με τις ευρωπαϊκές στατιστικές</w:t>
      </w:r>
      <w:r>
        <w:rPr>
          <w:rStyle w:val="FootnoteReference"/>
          <w:noProof/>
        </w:rPr>
        <w:footnoteReference w:id="28"/>
      </w:r>
      <w:r>
        <w:rPr>
          <w:noProof/>
        </w:rPr>
        <w:t xml:space="preserve"> με τον ίδιο μορφότυπο όπως προβλέπεται από τις υποχρεώσεις σχεδιασμού και υποβολής εκθέσεων του παρόντος κανονισμού και εφόσον εξακολουθούν να διατίθενται από τη Eurostat με τις ίδιες τιμές. Εφόσον διατίθενται και κρίνεται κατάλληλο από άποψη χρόνου, τα δεδομένα της έκθεσης και οι προβλέψεις που παρέχονται στα εθνικά σχέδια για την ενέργεια και το κλίμα θα πρέπει να χρησιμοποιούν ως βάση και να συμφωνούν με τα δεδομένα της Eurostat και τη μεθοδολογία που χρησιμοποιείται για την υποβολή ευρωπαϊκών στατιστικών σύμφωνα με τον κανονισμό (ΕΚ) αριθ. 223/2009.</w:t>
      </w:r>
    </w:p>
    <w:p>
      <w:pPr>
        <w:pStyle w:val="ManualConsidrant"/>
        <w:rPr>
          <w:noProof/>
        </w:rPr>
      </w:pPr>
      <w:r>
        <w:rPr>
          <w:noProof/>
        </w:rPr>
        <w:t>(32)</w:t>
      </w:r>
      <w:r>
        <w:rPr>
          <w:noProof/>
        </w:rPr>
        <w:tab/>
        <w:t>Είναι πολύ σημαντικό η Επιτροπή να αξιολογεί τα προσχέδια των εθνικών σχεδίων και την υλοποίηση των κοινοποιημένων εθνικών σχεδίων μέσω εκθέσεων προόδου ενόψει της συλλογικής επίτευξης των στόχων της στρατηγικής της Ενεργειακής Ένωσης και, για την πρώτη περίοδο, ειδικά των στόχων σε επίπεδο Ένωσης για το 2030 σε σχέση με την ενέργεια και το κλίμα, όπως και τις εθνικές συνεισφορές σε αυτούς τους στόχους. Η αξιολόγηση αυτή θα πρέπει να διενεργείται σε διετή βάση ή, μόνο εφόσον κρίνεται απαραίτητο, ετησίως και να ενσωματώνεται στις εκθέσεις της Επιτροπής σχετικά με την κατάσταση της Ενεργειακής Ένωσης.</w:t>
      </w:r>
    </w:p>
    <w:p>
      <w:pPr>
        <w:pStyle w:val="ManualConsidrant"/>
        <w:rPr>
          <w:noProof/>
        </w:rPr>
      </w:pPr>
      <w:r>
        <w:rPr>
          <w:noProof/>
        </w:rPr>
        <w:t>(33)</w:t>
      </w:r>
      <w:r>
        <w:rPr>
          <w:noProof/>
        </w:rPr>
        <w:tab/>
        <w:t>Οι αεροπορικές μεταφορές έχουν επιπτώσεις στο κλίμα του πλανήτη μέσω της εκπομπής CO</w:t>
      </w:r>
      <w:r>
        <w:rPr>
          <w:rStyle w:val="sub"/>
          <w:noProof/>
          <w:color w:val="000000"/>
          <w:bdr w:val="none" w:sz="0" w:space="0" w:color="auto" w:frame="1"/>
          <w:vertAlign w:val="subscript"/>
        </w:rPr>
        <w:t>2</w:t>
      </w:r>
      <w:r>
        <w:rPr>
          <w:noProof/>
        </w:rPr>
        <w:t>, καθώς επίσης και μέσω άλλων εκπομπών, συμπεριλαμβανομένων των εκπομπών οξειδίων του αζώτου και μηχανισμών αύξησης των θυσάνων. Βάσει της ταχείας και αναπτυσσόμενης επιστημονικής κατανόησης αυτών των επιπτώσεων, στον κανονισμό (ΕΕ) αριθ. 525/2013 προβλέπεται ήδη ενημερωμένη εκτίμηση των επιπτώσεων από τις αεροπορικές μεταφορές που δεν σχετίζονται με την εκπομπή CO</w:t>
      </w:r>
      <w:r>
        <w:rPr>
          <w:rStyle w:val="sub"/>
          <w:noProof/>
          <w:color w:val="000000"/>
          <w:bdr w:val="none" w:sz="0" w:space="0" w:color="auto" w:frame="1"/>
          <w:vertAlign w:val="subscript"/>
        </w:rPr>
        <w:t>2</w:t>
      </w:r>
      <w:r>
        <w:rPr>
          <w:noProof/>
        </w:rPr>
        <w:t> στο κλίμα του πλανήτη. Η μοντελοποίηση που χρησιμοποιείται για τον σκοπό αυτόν θα πρέπει να προσαρμόζεται στην επιστημονική πρόοδο. Αφού αξιολογήσει τις εν λόγω επιπτώσεις, η Επιτροπή οφείλει να εξετάζει επιλογές πολιτικής για την αντιμετώπισή τους.</w:t>
      </w:r>
    </w:p>
    <w:p>
      <w:pPr>
        <w:pStyle w:val="ManualConsidrant"/>
        <w:rPr>
          <w:noProof/>
        </w:rPr>
      </w:pPr>
      <w:r>
        <w:rPr>
          <w:noProof/>
        </w:rPr>
        <w:t>(34)</w:t>
      </w:r>
      <w:r>
        <w:rPr>
          <w:noProof/>
        </w:rPr>
        <w:tab/>
        <w:t>Για τη διασφάλιση συνοχής μεταξύ των εθνικών και των ενωσιακών πολιτικών και των στόχων της Ενεργειακής Ένωσης, η Επιτροπή και τα κράτη μέλη θα πρέπει να βρίσκονται σε διαρκή διάλογο. Η Επιτροπή θα πρέπει, κατά περίπτωση, να εκδίδει συστάσεις προς τα κράτη μέλη, μεταξύ άλλων για το επίπεδο φιλοδοξίας των εθνικών σχεδίων, την ακόλουθη εφαρμογή των πολιτικών και των μέτρων των κοινοποιημένων εθνικών σχεδίων, όπως και για άλλες εθνικές πολιτικές και μέτρα που σχετίζονται με την υλοποίηση της Ενεργειακής Ένωσης. Τα κράτη μέλη θα πρέπει να δίνουν ιδιαίτερη προσοχή σε αυτές τις συστάσεις και να επεξηγούν στις επακόλουθες εκθέσεις προόδου τους τρόπους υλοποίησής τους.</w:t>
      </w:r>
    </w:p>
    <w:p>
      <w:pPr>
        <w:pStyle w:val="ManualConsidrant"/>
        <w:rPr>
          <w:noProof/>
        </w:rPr>
      </w:pPr>
      <w:r>
        <w:rPr>
          <w:noProof/>
        </w:rPr>
        <w:t>(35)</w:t>
      </w:r>
      <w:r>
        <w:rPr>
          <w:noProof/>
        </w:rPr>
        <w:tab/>
        <w:t>Εάν η φιλοδοξία των ενοποιημένων εθνικών προγραμμάτων για την ενέργεια και το κλίμα ή των ενημερώσεών τους δεν είναι επαρκής για τη συλλογική επίτευξη των στόχων της Ενεργειακής Ένωσης και, για την πρώτη περίοδο, ειδικά για τους στόχους του 2030 σχετικά με τις ανανεώσιμες πηγές ενέργειας και την ενεργειακή απόδοση, η Επιτροπή θα πρέπει να λαμβάνει μέτρα σε επίπεδο Ένωσης, ώστε να διασφαλίζεται η συλλογική επίτευξη των εν λόγω στόχων και επιδιώξεων (γεφυρώνοντας με τον τρόπο αυτόν τα ενδεχόμενα «κενά φιλοδοξίας»). Εάν η πρόοδος της Ένωσης ως προς αυτούς τους στόχους και τις επιδιώξεις δεν επαρκεί για την υλοποίησή τους, η Επιτροπή μπορεί, εκτός από την έκδοση συστάσεων, να λάβει μέτρα σε επίπεδο Ένωσης ή να ζητήσει την εφαρμογή πρόσθετων μέτρων από τα κράτη μέλη, ώστε να διασφαλιστεί η επίτευξή τους (κλείνοντας με τον τρόπο αυτόν τα ενδεχόμενα «κενά υλοποίησης»). Σε αυτά τα μέτρα, κατά τον επιμερισμό της προσπάθειας για τη συλλογική επίτευξη των στόχων, θα πρέπει να λαμβάνονται υπόψη οι πρώιμες φιλόδοξες συνεισφορές των κρατών μελών στους στόχους του 2030 για τις ανανεώσιμες πηγές ενέργειας και την ενεργειακή απόδοση. Όσον αφορά τις ανανεώσιμες πηγές ενέργειας, στα μέτρα μπορούν επίσης να περιλαμβάνονται οι οικονομικές συνεισφορές των κρατών μελών σε πλατφόρμα χρηματοδότησης υπό τη διαχείριση της Επιτροπής, το οποίο θα χρησιμοποιείται για τη συμβολή στον τομέα των ανανεώσιμων πηγών ενέργειας στην Ένωση. Οι συστάσεις και τα μέτρα στον τομέα των ανανεώσιμων πηγών ενέργειας θα πρέπει να λαμβάνουν υπόψη τις πρώιμες φιλόδοξες συνεισφορές που κατέβαλαν κράτη μέλη για να επιτευχθεί συλλογικά ο στόχος της ΕΕ για το 2030. Οι εθνικοί στόχοι των κρατών μελών για τις ανανεώσιμες πηγές ενέργειας για το 2020 θα πρέπει να λειτουργούν ως μερίδιο βάσης για την ανανεώσιμη ενέργεια από το 2021 και μετά. Στον τομέα της ενεργειακής απόδοσης, πρόσθετα μέτρα μπορούν να ληφθούν ειδικά για τη βελτίωση της ενεργειακής απόδοσης των προϊόντων, των κτιρίων και των μεταφορών.</w:t>
      </w:r>
    </w:p>
    <w:p>
      <w:pPr>
        <w:pStyle w:val="ManualConsidrant"/>
        <w:rPr>
          <w:noProof/>
        </w:rPr>
      </w:pPr>
      <w:r>
        <w:rPr>
          <w:noProof/>
        </w:rPr>
        <w:t>(36)</w:t>
      </w:r>
      <w:r>
        <w:rPr>
          <w:noProof/>
        </w:rPr>
        <w:tab/>
        <w:t>Η Ένωση και τα κράτη μέλη θα πρέπει να παρέχουν όσο το δυνατόν πιο επικαιροποιημένες πληροφορίες σχετικά με τις εκπομπές και τις απορροφήσεις αερίων του θερμοκηπίου. Ο παρών κανονισμός θα πρέπει να επιτρέψει να γίνονται οι εκτιμήσεις αυτές το ταχύτερο δυνατόν με τη χρήση στατιστικών και άλλων πληροφοριών, όπως τα δορυφορικά δεδομένα που δίνει το πρόγραμμα παγκόσμιας παρακολούθησης του περιβάλλοντος και της ασφάλειας και άλλα δορυφορικά συστήματα.</w:t>
      </w:r>
    </w:p>
    <w:p>
      <w:pPr>
        <w:pStyle w:val="ManualConsidrant"/>
        <w:rPr>
          <w:noProof/>
        </w:rPr>
      </w:pPr>
      <w:r>
        <w:rPr>
          <w:noProof/>
        </w:rPr>
        <w:t>(37)</w:t>
      </w:r>
      <w:r>
        <w:rPr>
          <w:noProof/>
        </w:rPr>
        <w:tab/>
        <w:t>Σύμφωνα με τον κανονισμό [ ] [ESR], η προσέγγιση του κύκλου ετήσιων δεσμεύσεων που ορίστηκε στην απόφαση αριθ. 406/2009/ΕΚ</w:t>
      </w:r>
      <w:r>
        <w:rPr>
          <w:rStyle w:val="FootnoteReference"/>
          <w:noProof/>
        </w:rPr>
        <w:footnoteReference w:id="29"/>
      </w:r>
      <w:r>
        <w:rPr>
          <w:noProof/>
        </w:rPr>
        <w:t xml:space="preserve"> θα συνεχιστεί. Εν προκειμένω, απαιτείται ολοκληρωμένη αναθεώρηση των απογραφών αερίων του θερμοκηπίου των κρατών μελών, ώστε να είναι δυνατή η αξιολόγηση της συμμόρφωσης και η εφαρμογή διορθωτικών μέτρων κατά περίπτωση. Είναι αναγκαίο να θεσπιστεί διαδικασία για την εξέταση σε ενωσιακό επίπεδο των απογραφών αερίων του θερμοκηπίου που υποβάλλουν τα κράτη μέλη, ώστε να διασφαλιστεί ότι η συμμόρφωση με τον κανονισμό [ ] [ESR] αξιολογείται κατά τρόπο αξιόπιστο, συνεπή, διαφανή και έγκαιρο.</w:t>
      </w:r>
    </w:p>
    <w:p>
      <w:pPr>
        <w:pStyle w:val="ManualConsidrant"/>
        <w:rPr>
          <w:noProof/>
        </w:rPr>
      </w:pPr>
      <w:r>
        <w:rPr>
          <w:noProof/>
        </w:rPr>
        <w:t>(38)</w:t>
      </w:r>
      <w:r>
        <w:rPr>
          <w:noProof/>
        </w:rPr>
        <w:tab/>
        <w:t>Τα κράτη μέλη και η Επιτροπή θα πρέπει να διασφαλίζουν τη στενή συνεργασία σε όλα τα θέματα σχετικά με την υλοποίηση της Ενεργειακής Ένωσης και του παρόντος κανονισμού, με τη στενή συμμετοχή του Ευρωπαϊκού Κοινοβουλίου. Η Επιτροπή θα πρέπει, κατά περίπτωση, να συνδράμει τα κράτη μέλη στην εφαρμογή του παρόντος κανονισμού, ειδικά όσον αφορά την κατάρτιση των εθνικών σχεδίων και τη σχετική δημιουργία ικανοτήτων.</w:t>
      </w:r>
    </w:p>
    <w:p>
      <w:pPr>
        <w:pStyle w:val="ManualConsidrant"/>
        <w:rPr>
          <w:noProof/>
        </w:rPr>
      </w:pPr>
      <w:r>
        <w:rPr>
          <w:noProof/>
        </w:rPr>
        <w:t>(39)</w:t>
      </w:r>
      <w:r>
        <w:rPr>
          <w:noProof/>
        </w:rPr>
        <w:tab/>
      </w:r>
      <w:r>
        <w:rPr>
          <w:noProof/>
        </w:rPr>
        <w:tab/>
        <w:t>Τα κράτη μέλη θα πρέπει να διασφαλίζουν ότι στα ενοποιημένα εθνικά σχέδια για την ενέργεια και το κλίμα λαμβάνονται υπόψη οι τελευταίες ειδικές ανά χώρα συστάσεις που εκδίδονται στο πλαίσιο του Ευρωπαϊκού Εξαμήνου.</w:t>
      </w:r>
    </w:p>
    <w:p>
      <w:pPr>
        <w:pStyle w:val="ManualConsidrant"/>
        <w:rPr>
          <w:noProof/>
        </w:rPr>
      </w:pPr>
      <w:r>
        <w:rPr>
          <w:noProof/>
        </w:rPr>
        <w:t>(40)</w:t>
      </w:r>
      <w:r>
        <w:rPr>
          <w:noProof/>
        </w:rPr>
        <w:tab/>
        <w:t xml:space="preserve">Ο Ευρωπαϊκός Οργανισμός Περιβάλλοντος θα πρέπει να συνδράμει, κατά περίπτωση και σύμφωνα με το ετήσιο πρόγραμμα εργασιών του, την Επιτροπή στις εργασίες αξιολόγησης, παρακολούθησης και υποβολής εκθέσεων. </w:t>
      </w:r>
    </w:p>
    <w:p>
      <w:pPr>
        <w:pStyle w:val="ManualConsidrant"/>
        <w:rPr>
          <w:noProof/>
        </w:rPr>
      </w:pPr>
      <w:r>
        <w:rPr>
          <w:noProof/>
        </w:rPr>
        <w:t>(41)</w:t>
      </w:r>
      <w:r>
        <w:rPr>
          <w:noProof/>
        </w:rPr>
        <w:tab/>
        <w:t>Η αρμοδιότητα έκδοσης πράξεων σύμφωνα με το άρθρο 290 της Συνθήκης για τη λειτουργία της Ευρωπαϊκής Ένωσης (ΣΛΕΕ) θα πρέπει να ανατεθεί στην Επιτροπή, ώστε να τροποποιήσει το γενικό πλαίσιο των ενοποιημένων εθνικών σχεδίων για την ενέργεια και το κλίμα (υπόδειγμα), να ορίσει πλατφόρμα χρηματοδότησης στην οποίο τα κράτη μέλη θα μπορούν να συνεισφέρουν σε περίπτωση που η πορεία της Ένωσης προς τον στόχο του 2030 για τις ανανεώσιμες πηγές ενέργειας δεν ολοκληρωθεί συλλογικά, να λάβει υπόψη τις αλλαγές στο δυναμικό υπερθέρμανσης του πλανήτη (GWP) και τις διεθνώς συμφωνηθείσες οδηγίες απογραφής, να ορίσει ουσιαστικές απαιτήσεις για το σύστημα απογραφής της Ένωσης και να καταρτίσει τα μητρώα σύμφωνα με το άρθρο 33. Είναι ιδιαίτερα σημαντικό να διενεργεί η Επιτροπή κατάλληλες διαβουλεύσεις κατά τις προπαρασκευαστικές εργασίες της, μεταξύ άλλων και σε επίπεδο εμπειρογνωμόνων, και οι εν λόγω διαβουλεύσεις να διενεργούνται σύμφωνα με τις αρχές που προβλέπονται στη διοργανική συμφωνία για τη βελτίωση της νομοθεσίας της 13</w:t>
      </w:r>
      <w:r>
        <w:rPr>
          <w:noProof/>
          <w:vertAlign w:val="superscript"/>
        </w:rPr>
        <w:t>ης</w:t>
      </w:r>
      <w:r>
        <w:rPr>
          <w:noProof/>
        </w:rPr>
        <w:t xml:space="preserve"> Απριλίου 2016. Πιο συγκεκριμένα, προκειμένου να διασφαλιστεί η ίση συμμετοχή στην προετοιμασία των κατ' εξουσιοδότηση πράξεων, οι εμπειρογνώμονες του Ευρωπαϊκού Κοινοβουλίου και του Συμβουλίου θα πρέπει να λαμβάνουν όλα τα έγγραφα κατά τον ίδιο χρόνο με τους εμπειρογνώμονες των κρατών μελών, και θα πρέπει να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rPr>
          <w:noProof/>
        </w:rPr>
        <w:t>(42)</w:t>
      </w:r>
      <w:r>
        <w:rPr>
          <w:noProof/>
        </w:rPr>
        <w:tab/>
        <w:t>Προκειμένου να εξασφαλισθούν ομοιόμορφες συνθήκες για την εφαρμογή των άρθρων 15 παράγραφος 3, 17 παράγραφος 4, 23 παράγραφος 6, 31 παράγραφοι 3 και 4, και 32 παράγραφος 3 του παρόντος κανονισμού, θα πρέπει να ανατεθούν εκτελεστικές αρμοδιότητες στην Επιτροπή. Οι αρμοδιότητες αυτές θα πρέπει να ασκούνται σύμφωνα με τον κανονισμό (ΕΕ) αριθ. 182/2011 του Ευρωπαϊκού Κοινοβουλίου και του Συμβουλίου, της 16</w:t>
      </w:r>
      <w:r>
        <w:rPr>
          <w:noProof/>
          <w:vertAlign w:val="superscript"/>
        </w:rPr>
        <w:t>ης</w:t>
      </w:r>
      <w:r>
        <w:rPr>
          <w:noProof/>
        </w:rPr>
        <w:t xml:space="preserve">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w:t>
      </w:r>
    </w:p>
    <w:p>
      <w:pPr>
        <w:pStyle w:val="ManualConsidrant"/>
        <w:rPr>
          <w:noProof/>
        </w:rPr>
      </w:pPr>
      <w:r>
        <w:rPr>
          <w:noProof/>
        </w:rPr>
        <w:t>(43)</w:t>
      </w:r>
      <w:r>
        <w:rPr>
          <w:noProof/>
        </w:rPr>
        <w:tab/>
        <w:t xml:space="preserve">Η επιτροπή της Ενεργειακής Ένωσης θα συνδράμει την Επιτροπή στη σύνταξη εκτελεστικών πράξεων στο πλαίσιο των καθηκόντων της βάσει του παρόντος κανονισμού. Θα πρέπει να αντικαταστήσει και να αναλάβει τα καθήκοντα της επιτροπής για την κλιματική αλλαγή και άλλων επιτροπών, κατά περίπτωση. </w:t>
      </w:r>
    </w:p>
    <w:p>
      <w:pPr>
        <w:pStyle w:val="ManualConsidrant"/>
        <w:rPr>
          <w:noProof/>
        </w:rPr>
      </w:pPr>
      <w:r>
        <w:rPr>
          <w:noProof/>
        </w:rPr>
        <w:t>(44)</w:t>
      </w:r>
      <w:r>
        <w:rPr>
          <w:noProof/>
        </w:rPr>
        <w:tab/>
        <w:t>Η Επιτροπή θα πρέπει να αναθεωρήσει την εφαρμογή του παρόντος κανονισμού το 2026 και να υποβάλει, κατά περίπτωση, τροποποιητικές προτάσεις, ώστε να διασφαλιστεί η κατάλληλη εφαρμογή του κανονισμού και η επίτευξη των στόχων του. Κατά την αναθεώρηση θα πρέπει να λαμβάνονται υπόψη οι εξελισσόμενες συνθήκες και τα αποτελέσματα του παγκόσμιου απολογισμού της συμφωνίας του Παρισιού, κατά περίπτωση.</w:t>
      </w:r>
    </w:p>
    <w:p>
      <w:pPr>
        <w:pStyle w:val="ManualConsidrant"/>
        <w:rPr>
          <w:noProof/>
        </w:rPr>
      </w:pPr>
      <w:r>
        <w:rPr>
          <w:noProof/>
        </w:rPr>
        <w:t>(45)</w:t>
      </w:r>
      <w:r>
        <w:rPr>
          <w:noProof/>
        </w:rPr>
        <w:tab/>
        <w:t>Ο παρών κανονισμός ενοποιεί, τροποποιεί, αντικαθιστά και καταργεί ορισμένες υποχρεώσεις σχεδιασμού, υποβολής εκθέσεων και παρακολούθησης που περιέχονται επί του παρόντος στην τομεακή νομοθεσία της Ένωσης για την ενέργεια και το κλίμα, ώστε να διασφαλίζεται εξορθολογισμένη και ενοποιημένη προσέγγιση των κύριων σκελών σχεδιασμού, υποβολής εκθέσεων και παρακολούθησης. Συνεπώς θα πρέπει να τροποποιηθούν αναλόγως οι οδηγίες 94/22/ΕΚ</w:t>
      </w:r>
      <w:r>
        <w:rPr>
          <w:rStyle w:val="FootnoteReference"/>
          <w:noProof/>
        </w:rPr>
        <w:footnoteReference w:id="30"/>
      </w:r>
      <w:r>
        <w:rPr>
          <w:noProof/>
        </w:rPr>
        <w:t>, 98/70/ΕΚ</w:t>
      </w:r>
      <w:r>
        <w:rPr>
          <w:rStyle w:val="FootnoteReference"/>
          <w:noProof/>
        </w:rPr>
        <w:footnoteReference w:id="31"/>
      </w:r>
      <w:r>
        <w:rPr>
          <w:noProof/>
        </w:rPr>
        <w:t>, 2009/31/ΕΚ</w:t>
      </w:r>
      <w:r>
        <w:rPr>
          <w:rStyle w:val="FootnoteReference"/>
          <w:noProof/>
        </w:rPr>
        <w:footnoteReference w:id="32"/>
      </w:r>
      <w:r>
        <w:rPr>
          <w:noProof/>
        </w:rPr>
        <w:t>, οι κανονισμοί (ΕΚ) No 663/2009</w:t>
      </w:r>
      <w:r>
        <w:rPr>
          <w:rStyle w:val="FootnoteReference"/>
          <w:noProof/>
        </w:rPr>
        <w:footnoteReference w:id="33"/>
      </w:r>
      <w:r>
        <w:rPr>
          <w:noProof/>
        </w:rPr>
        <w:t>, (ΕΚ) αριθ. 715/2009</w:t>
      </w:r>
      <w:r>
        <w:rPr>
          <w:rStyle w:val="FootnoteReference"/>
          <w:noProof/>
        </w:rPr>
        <w:footnoteReference w:id="34"/>
      </w:r>
      <w:r>
        <w:rPr>
          <w:noProof/>
        </w:rPr>
        <w:t>, η οδηγία 2009/73/ΕΚ του Ευρωπαϊκού Κοινοβουλίου και του Συμβουλίου</w:t>
      </w:r>
      <w:r>
        <w:rPr>
          <w:rStyle w:val="FootnoteReference"/>
          <w:noProof/>
        </w:rPr>
        <w:footnoteReference w:id="35"/>
      </w:r>
      <w:r>
        <w:rPr>
          <w:noProof/>
        </w:rPr>
        <w:t>, η οδηγία 2009/119/ΕΚ του Συμβουλίου</w:t>
      </w:r>
      <w:r>
        <w:rPr>
          <w:rStyle w:val="FootnoteReference"/>
          <w:noProof/>
        </w:rPr>
        <w:footnoteReference w:id="36"/>
      </w:r>
      <w:r>
        <w:rPr>
          <w:noProof/>
        </w:rPr>
        <w:t>, οι οδηγίες 2010/31/ΕΕ</w:t>
      </w:r>
      <w:r>
        <w:rPr>
          <w:rStyle w:val="FootnoteReference"/>
          <w:noProof/>
        </w:rPr>
        <w:footnoteReference w:id="37"/>
      </w:r>
      <w:r>
        <w:rPr>
          <w:noProof/>
        </w:rPr>
        <w:t>, 2012/27/ΕΕ</w:t>
      </w:r>
      <w:r>
        <w:rPr>
          <w:rStyle w:val="FootnoteReference"/>
          <w:noProof/>
        </w:rPr>
        <w:footnoteReference w:id="38"/>
      </w:r>
      <w:r>
        <w:rPr>
          <w:noProof/>
        </w:rPr>
        <w:t>, 2013/30/ΕΕ του Ευρωπαϊκού Κοινοβουλίου και του Συμβουλίου</w:t>
      </w:r>
      <w:r>
        <w:rPr>
          <w:rStyle w:val="FootnoteReference"/>
          <w:noProof/>
        </w:rPr>
        <w:footnoteReference w:id="39"/>
      </w:r>
      <w:r>
        <w:rPr>
          <w:noProof/>
        </w:rPr>
        <w:t xml:space="preserve"> και η οδηγία (ΕΕ) 2015/652 του Συμβουλίου</w:t>
      </w:r>
      <w:r>
        <w:rPr>
          <w:rStyle w:val="FootnoteReference"/>
          <w:noProof/>
        </w:rPr>
        <w:footnoteReference w:id="40"/>
      </w:r>
      <w:r>
        <w:rPr>
          <w:noProof/>
        </w:rPr>
        <w:t>.</w:t>
      </w:r>
    </w:p>
    <w:p>
      <w:pPr>
        <w:pStyle w:val="ManualConsidrant"/>
        <w:rPr>
          <w:noProof/>
        </w:rPr>
      </w:pPr>
      <w:r>
        <w:rPr>
          <w:noProof/>
        </w:rPr>
        <w:t>(46)</w:t>
      </w:r>
      <w:r>
        <w:rPr>
          <w:noProof/>
        </w:rPr>
        <w:tab/>
        <w:t>Η παρούσα οδηγία ενσωματώνει επίσης πλήρως τις διατάξεις του κανονισμού (ΕΕ) αριθ. 525/2013. Κατά συνέπεια, ο κανονισμός (ΕΕ) αριθ. 525/2013 θα πρέπει να καταργηθεί από την 1η Ιανουαρίου 2021. Ωστόσο, για να εξασφαλιστεί η συνέχεια της εφαρμογής της απόφασης αριθ. 406/2009/ΕΚ σύμφωνα με τον κανονισμό (ΕΕ) αριθ. 525/2013 και ότι ορισμένες πτυχές που συνδέονται με την εφαρμογή του πρωτοκόλλου του Κιότο θα εξακολουθήσουν να καλύπτονται από τη νομοθεσία, είναι απαραίτητο ορισμένες διατάξεις εξακολουθούν να ισχύουν μετά την εν λόγω ημερομηνία.</w:t>
      </w:r>
    </w:p>
    <w:p>
      <w:pPr>
        <w:pStyle w:val="ManualConsidrant"/>
        <w:rPr>
          <w:noProof/>
        </w:rPr>
      </w:pPr>
      <w:r>
        <w:rPr>
          <w:noProof/>
        </w:rPr>
        <w:t>(47)</w:t>
      </w:r>
      <w:r>
        <w:rPr>
          <w:noProof/>
        </w:rPr>
        <w:tab/>
        <w:t>Δεδομένου ότι οι στόχοι του παρόντος κανονισμού δεν μπορούν να επιτευχθούν επαρκώς μόνο από τα κράτη μέλη και μπορούν συνεπώς, λόγω της κλίμακας και των αποτελεσμάτων της προτεινόμενης δράσης, να επιτευχθούν καλύτερα σε επίπεδο Ένωσης, η Ένωση δύναται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διατυπώνεται στο εν λόγω άρθρο, ο παρών κανονισμός δεν υπερβαίνει τα αναγκαία όρια για την επίτευξη των στόχων αυτών.</w:t>
      </w:r>
    </w:p>
    <w:p>
      <w:pPr>
        <w:pStyle w:val="Formuledadoption"/>
        <w:rPr>
          <w:noProof/>
        </w:rPr>
      </w:pPr>
      <w:r>
        <w:rPr>
          <w:noProof/>
        </w:rPr>
        <w:t>ΕΞΕΔΩΣΑΝ ΤΟΝ ΠΑΡΟΝΤΑ ΚΑΝΟΝΙΣΜΟ:</w:t>
      </w:r>
    </w:p>
    <w:p>
      <w:pPr>
        <w:spacing w:before="0" w:after="200" w:line="276" w:lineRule="auto"/>
        <w:jc w:val="left"/>
        <w:rPr>
          <w:b/>
          <w:noProof/>
          <w:sz w:val="32"/>
        </w:rPr>
      </w:pPr>
      <w:r>
        <w:rPr>
          <w:noProof/>
        </w:rPr>
        <w:br w:type="page"/>
      </w:r>
    </w:p>
    <w:p>
      <w:pPr>
        <w:pStyle w:val="PartTitle"/>
        <w:rPr>
          <w:noProof/>
        </w:rPr>
      </w:pPr>
      <w:r>
        <w:rPr>
          <w:noProof/>
        </w:rPr>
        <w:t>ΚΕΦΑΛΑΙΟ 1</w:t>
      </w:r>
      <w:r>
        <w:rPr>
          <w:noProof/>
        </w:rPr>
        <w:br/>
        <w:t>ΓΕΝΙΚΕΣ ΔΙΑΤΑΞΕΙΣ</w:t>
      </w:r>
    </w:p>
    <w:p>
      <w:pPr>
        <w:pStyle w:val="Titrearticle"/>
        <w:rPr>
          <w:i w:val="0"/>
          <w:noProof/>
        </w:rPr>
      </w:pPr>
      <w:r>
        <w:rPr>
          <w:noProof/>
        </w:rPr>
        <w:t>Άρθρο 1</w:t>
      </w:r>
      <w:r>
        <w:rPr>
          <w:b/>
          <w:i w:val="0"/>
          <w:noProof/>
        </w:rPr>
        <w:br/>
        <w:t>Αντικείμενο και πεδίο εφαρμογής</w:t>
      </w:r>
    </w:p>
    <w:p>
      <w:pPr>
        <w:rPr>
          <w:noProof/>
          <w:szCs w:val="24"/>
        </w:rPr>
      </w:pPr>
      <w:r>
        <w:rPr>
          <w:noProof/>
        </w:rPr>
        <w:t>1.</w:t>
      </w:r>
      <w:r>
        <w:rPr>
          <w:noProof/>
        </w:rPr>
        <w:tab/>
        <w:t xml:space="preserve">Ο παρών κανονισμός θεσπίζει μηχανισμό διακυβέρνησης για </w:t>
      </w:r>
    </w:p>
    <w:p>
      <w:pPr>
        <w:pStyle w:val="Point1"/>
        <w:rPr>
          <w:noProof/>
        </w:rPr>
      </w:pPr>
      <w:r>
        <w:rPr>
          <w:noProof/>
        </w:rPr>
        <w:t>α)</w:t>
      </w:r>
      <w:r>
        <w:rPr>
          <w:noProof/>
        </w:rPr>
        <w:tab/>
        <w:t xml:space="preserve">την εφαρμογή στρατηγικών και μέτρων σχεδιασμένων να ικανοποιούν τους στόχους και τις επιδιώξεις της Ενεργειακής Ένωσης και, για την πρώτη δεκαετή περίοδο, </w:t>
      </w:r>
      <w:r>
        <w:rPr>
          <w:noProof/>
          <w:color w:val="000000" w:themeColor="text1"/>
        </w:rPr>
        <w:t>από το 2021 έως το 2030</w:t>
      </w:r>
      <w:r>
        <w:rPr>
          <w:noProof/>
        </w:rPr>
        <w:t xml:space="preserve">, ειδικά τους ενεργειακούς και κλιματικούς στόχους της ΕΕ για το 2030· </w:t>
      </w:r>
    </w:p>
    <w:p>
      <w:pPr>
        <w:pStyle w:val="Point1"/>
        <w:rPr>
          <w:noProof/>
        </w:rPr>
      </w:pPr>
      <w:r>
        <w:rPr>
          <w:noProof/>
        </w:rPr>
        <w:t>β)</w:t>
      </w:r>
      <w:r>
        <w:rPr>
          <w:noProof/>
        </w:rPr>
        <w:tab/>
        <w:t>τη διασφάλιση της έγκαιρης υποβολής, της διαφάνειας, της ακρίβειας, της συνέπειας, της συγκρισιμότητας και της πληρότητας των εκθέσεων της Ένωσης και των κρατών μελών της προς τη γραμματεία της UNFCCC και της συμφωνίας του Παρισιού.</w:t>
      </w:r>
    </w:p>
    <w:p>
      <w:pPr>
        <w:rPr>
          <w:noProof/>
        </w:rPr>
      </w:pPr>
      <w:r>
        <w:rPr>
          <w:noProof/>
        </w:rPr>
        <w:t>Ο μηχανισμός διακυβέρνησης βασίζεται σε ενοποιημένα εθνικά σχέδια για την ενέργεια και το κλίμα που καλύπτουν δεκαετείς περιόδους, ξεκινώντας από την περίοδο 2021 έως 2030, τις αντίστοιχες ενοποιημένες εθνικές εκθέσεις προόδου των κρατών μελών για την ενέργεια και το κλίμα και τις ενοποιημένες ρυθμίσεις παρακολούθησης από την Ευρωπαϊκή Επιτροπή. Καθορίζει δομημένη, επαναληπτική διαδικασία μεταξύ της Επιτροπής και των κρατών μελών ενόψει της οριστικοποίησης των εθνικών σχεδίων και της ακόλουθης εφαρμογής τους, συμπεριλαμβανομένης της περιφερειακής συνεργασίας και της αντίστοιχης δράσης της Επιτροπής.</w:t>
      </w:r>
    </w:p>
    <w:p>
      <w:pPr>
        <w:ind w:left="720" w:hanging="720"/>
        <w:rPr>
          <w:noProof/>
        </w:rPr>
      </w:pPr>
      <w:r>
        <w:rPr>
          <w:noProof/>
        </w:rPr>
        <w:t>2.</w:t>
      </w:r>
      <w:r>
        <w:rPr>
          <w:noProof/>
        </w:rPr>
        <w:tab/>
        <w:t xml:space="preserve">Ο κανονισμός αφορά τις ακόλουθες πέντε διαστάσεις της Ενεργειακής Ένωσης: </w:t>
      </w:r>
    </w:p>
    <w:p>
      <w:pPr>
        <w:pStyle w:val="Point2"/>
        <w:rPr>
          <w:noProof/>
        </w:rPr>
      </w:pPr>
      <w:r>
        <w:rPr>
          <w:noProof/>
        </w:rPr>
        <w:t>1)</w:t>
      </w:r>
      <w:r>
        <w:rPr>
          <w:noProof/>
        </w:rPr>
        <w:tab/>
        <w:t xml:space="preserve">ενεργειακή ασφάλεια· </w:t>
      </w:r>
    </w:p>
    <w:p>
      <w:pPr>
        <w:pStyle w:val="Point2"/>
        <w:rPr>
          <w:noProof/>
        </w:rPr>
      </w:pPr>
      <w:r>
        <w:rPr>
          <w:noProof/>
        </w:rPr>
        <w:t>2)</w:t>
      </w:r>
      <w:r>
        <w:rPr>
          <w:noProof/>
        </w:rPr>
        <w:tab/>
        <w:t xml:space="preserve">αγορά ενέργειας· </w:t>
      </w:r>
    </w:p>
    <w:p>
      <w:pPr>
        <w:pStyle w:val="Point2"/>
        <w:rPr>
          <w:noProof/>
        </w:rPr>
      </w:pPr>
      <w:r>
        <w:rPr>
          <w:noProof/>
        </w:rPr>
        <w:t>3)</w:t>
      </w:r>
      <w:r>
        <w:rPr>
          <w:noProof/>
        </w:rPr>
        <w:tab/>
        <w:t xml:space="preserve">ενεργειακή απόδοση· </w:t>
      </w:r>
    </w:p>
    <w:p>
      <w:pPr>
        <w:pStyle w:val="Point2"/>
        <w:rPr>
          <w:noProof/>
        </w:rPr>
      </w:pPr>
      <w:r>
        <w:rPr>
          <w:noProof/>
        </w:rPr>
        <w:t>4)</w:t>
      </w:r>
      <w:r>
        <w:rPr>
          <w:noProof/>
        </w:rPr>
        <w:tab/>
        <w:t>απαλλαγή από τις ανθρακούχες εκπομπές και</w:t>
      </w:r>
    </w:p>
    <w:p>
      <w:pPr>
        <w:pStyle w:val="Point2"/>
        <w:rPr>
          <w:noProof/>
          <w:szCs w:val="24"/>
        </w:rPr>
      </w:pPr>
      <w:r>
        <w:rPr>
          <w:noProof/>
        </w:rPr>
        <w:t>5)</w:t>
      </w:r>
      <w:r>
        <w:rPr>
          <w:noProof/>
        </w:rPr>
        <w:tab/>
        <w:t xml:space="preserve"> έρευνα, καινοτομία και ανταγωνιστικότητα.</w:t>
      </w:r>
    </w:p>
    <w:p>
      <w:pPr>
        <w:pStyle w:val="Titrearticle"/>
        <w:rPr>
          <w:noProof/>
        </w:rPr>
      </w:pPr>
      <w:r>
        <w:rPr>
          <w:noProof/>
        </w:rPr>
        <w:t>Άρθρο 2</w:t>
      </w:r>
      <w:r>
        <w:rPr>
          <w:noProof/>
        </w:rPr>
        <w:br/>
      </w:r>
      <w:r>
        <w:rPr>
          <w:b/>
          <w:i w:val="0"/>
          <w:noProof/>
        </w:rPr>
        <w:t>Ορισμοί</w:t>
      </w:r>
    </w:p>
    <w:p>
      <w:pPr>
        <w:rPr>
          <w:noProof/>
          <w:szCs w:val="24"/>
        </w:rPr>
      </w:pPr>
      <w:r>
        <w:rPr>
          <w:noProof/>
        </w:rPr>
        <w:t>Για τους σκοπούς του παρόντος κανονισμού, ισχύουν οι ορισμοί της [αναδιατύπωση της οδηγίας 2009/28/ΕΚ όπως προτείνεται από την απόφαση COM(2016) 767], της οδηγίας 2010/31/ΕΕ και της οδηγίας 2012/27/ΕΕ.</w:t>
      </w:r>
    </w:p>
    <w:p>
      <w:pPr>
        <w:rPr>
          <w:noProof/>
          <w:szCs w:val="24"/>
        </w:rPr>
      </w:pPr>
      <w:r>
        <w:rPr>
          <w:noProof/>
        </w:rPr>
        <w:t>Ισχύουν επίσης οι ακόλουθοι ορισμοί:</w:t>
      </w:r>
    </w:p>
    <w:p>
      <w:pPr>
        <w:pStyle w:val="Point0"/>
        <w:rPr>
          <w:noProof/>
        </w:rPr>
      </w:pPr>
      <w:r>
        <w:rPr>
          <w:noProof/>
        </w:rPr>
        <w:t>1)</w:t>
      </w:r>
      <w:r>
        <w:rPr>
          <w:noProof/>
        </w:rPr>
        <w:tab/>
        <w:t>«υπάρχουσες πολιτικές και μέτρα»: οι πολιτικές και τα μέτρα που έχουν θεσπιστεί και τεθεί σε εφαρμογή·</w:t>
      </w:r>
    </w:p>
    <w:p>
      <w:pPr>
        <w:pStyle w:val="Point0"/>
        <w:rPr>
          <w:noProof/>
        </w:rPr>
      </w:pPr>
      <w:r>
        <w:rPr>
          <w:noProof/>
        </w:rPr>
        <w:t>2)</w:t>
      </w:r>
      <w:r>
        <w:rPr>
          <w:noProof/>
        </w:rPr>
        <w:tab/>
        <w:t xml:space="preserve">«εφαρμοζόμενες πολιτικές και μέτρα»: οι πολιτικές και τα μέτρα για τις/τα οποίες/-α, κατά την ημερομηνία υποβολής του εθνικού σχεδίου, ισχύει μία ή περισσότερες από τις παρακάτω συνθήκες: εθνική νομοθεσία έχει τεθεί σε ισχύ, έχουν συναφθεί μία ή περισσότερες εθελούσιες συμφωνίες, έχουν κατανεμηθεί χρηματοδοτικοί πόροι, έχουν κινητοποιηθεί ανθρώπινοι πόροι· </w:t>
      </w:r>
    </w:p>
    <w:p>
      <w:pPr>
        <w:pStyle w:val="Point0"/>
        <w:rPr>
          <w:noProof/>
        </w:rPr>
      </w:pPr>
      <w:r>
        <w:rPr>
          <w:noProof/>
        </w:rPr>
        <w:t>3)</w:t>
      </w:r>
      <w:r>
        <w:rPr>
          <w:noProof/>
        </w:rPr>
        <w:tab/>
        <w:t>«θεσπισμένες πολιτικές και μέτρα»: οι πολιτικές και τα μέτρα για τα οποία έχει ληφθεί επίσημη κυβερνητική απόφαση πριν από την ημερομηνία υποβολής του εθνικού σχεδίου ή της έκθεσης προόδου και υφίσταται σαφής δέσμευση για τη συνέχιση της εφαρμογής τους·</w:t>
      </w:r>
    </w:p>
    <w:p>
      <w:pPr>
        <w:pStyle w:val="Point0"/>
        <w:rPr>
          <w:noProof/>
        </w:rPr>
      </w:pPr>
      <w:r>
        <w:rPr>
          <w:noProof/>
        </w:rPr>
        <w:t>4)</w:t>
      </w:r>
      <w:r>
        <w:rPr>
          <w:noProof/>
        </w:rPr>
        <w:tab/>
        <w:t>«προγραμματισμένες πολιτικές και μέτρα»: επιλογές υπό συζήτηση και με βάσιμες πιθανότητες έγκρισης και εφαρμογής μετά την ημερομηνία υποβολής του εθνικού σχεδίου ή της έκθεσης προόδου·</w:t>
      </w:r>
    </w:p>
    <w:p>
      <w:pPr>
        <w:pStyle w:val="Point0"/>
        <w:rPr>
          <w:noProof/>
        </w:rPr>
      </w:pPr>
      <w:r>
        <w:rPr>
          <w:noProof/>
        </w:rPr>
        <w:t>5)</w:t>
      </w:r>
      <w:r>
        <w:rPr>
          <w:noProof/>
        </w:rPr>
        <w:tab/>
        <w:t>«προβλέψεις»: οι προβλέψεις για τις ανθρωπογενείς εκπομπές αερίων του θερμοκηπίου από πηγές και τις απορροφήσεις από καταβόθρες ή εξελίξεις του ενεργειακού συστήματος, συμπεριλαμβανομένων τουλάχιστον ποσοτικών εκτιμήσεων για ακολουθία τεσσάρων ετών που λήγουν σε 0 ή 5 και έπονται άμεσα του έτους υποβολής της έκθεσης·</w:t>
      </w:r>
    </w:p>
    <w:p>
      <w:pPr>
        <w:pStyle w:val="Point0"/>
        <w:rPr>
          <w:noProof/>
        </w:rPr>
      </w:pPr>
      <w:r>
        <w:rPr>
          <w:noProof/>
        </w:rPr>
        <w:t>6)</w:t>
      </w:r>
      <w:r>
        <w:rPr>
          <w:noProof/>
        </w:rPr>
        <w:tab/>
        <w:t>«προβλέψεις χωρίς μέτρα»: οι προβλέψεις για τις ανθρωπογενείς εκπομπές αερίων του θερμοκηπίου από πηγές και τις απορροφήσεις από καταβόθρες στις οποίες δεν λαμβάνονται υπόψη τα αποτελέσματα όλων των πολιτικών και των μέτρων που έχουν προγραμματιστεί, θεσπιστεί ή τεθεί σε εφαρμογή μετά το έτος που επιλέγεται ως αφετηρία της συγκεκριμένης πρόβλεψης·</w:t>
      </w:r>
    </w:p>
    <w:p>
      <w:pPr>
        <w:pStyle w:val="Point0"/>
        <w:rPr>
          <w:noProof/>
        </w:rPr>
      </w:pPr>
      <w:r>
        <w:rPr>
          <w:noProof/>
        </w:rPr>
        <w:t>7)</w:t>
      </w:r>
      <w:r>
        <w:rPr>
          <w:noProof/>
        </w:rPr>
        <w:tab/>
        <w:t>«προβλέψεις με μέτρα»: οι προβλέψεις για τις ανθρωπογενείς εκπομπές αερίων του θερμοκηπίου από πηγές και τις απορροφήσεις από καταβόθρες οι οποίες περιλαμβάνουν τα αποτελέσματα, ως προς τις μειώσεις των εκπομπών αερίων του θερμοκηπίου ή τις εξελίξεις του ενεργειακού συστήματος, των πολιτικών και των μέτρων που έχουν θεσπιστεί και τεθεί σε εφαρμογή·</w:t>
      </w:r>
    </w:p>
    <w:p>
      <w:pPr>
        <w:pStyle w:val="Point0"/>
        <w:rPr>
          <w:noProof/>
        </w:rPr>
      </w:pPr>
      <w:r>
        <w:rPr>
          <w:noProof/>
        </w:rPr>
        <w:t>8)</w:t>
      </w:r>
      <w:r>
        <w:rPr>
          <w:noProof/>
        </w:rPr>
        <w:tab/>
        <w:t>«προβλέψεις με πρόσθετα μέτρα»: οι προβλέψεις για τις ανθρωπογενείς εκπομπές αερίων του θερμοκηπίου από πηγές και τις απορροφήσεις από καταβόθρες ή τις εξελίξεις στο ενεργειακό σύστημα, οι οποίες περιλαμβάνουν τα αποτελέσματα, ως προς τις μειώσεις των εκπομπών αερίων του θερμοκηπίου, των πολιτικών και των μέτρων που έχουν θεσπιστεί και τεθεί σε εφαρμογή για τον μετριασμό της αλλαγής του κλίματος ή την ικανοποίηση των ενεργειακών στόχων, καθώς και των προγραμματισμένων πολιτικών και μέτρων προς τον σκοπό αυτόν·</w:t>
      </w:r>
    </w:p>
    <w:p>
      <w:pPr>
        <w:pStyle w:val="Point0"/>
        <w:rPr>
          <w:noProof/>
        </w:rPr>
      </w:pPr>
      <w:r>
        <w:rPr>
          <w:noProof/>
        </w:rPr>
        <w:t>9)</w:t>
      </w:r>
      <w:r>
        <w:rPr>
          <w:noProof/>
        </w:rPr>
        <w:tab/>
        <w:t>«ενεργειακοί και κλιματικοί στόχοι της Ένωσης για το 2030»: ο δεσμευτικός στόχος της Ένωσης για εγχώρια μείωση κατά τουλάχιστον 40 % των εκπομπών αερίων του θερμοκηπίου σε σχέση με το 1990 σε όλους τους τομείς της οικονομίας με ορίζοντα επίτευξης το 2030, ο δεσμευτικός στόχος σε επίπεδο Ένωσης για την επίτευξη μεριδίου ενέργειας από ανανεώσιμες πηγές που καταναλώνεται στην Ένωση τουλάχιστον 27 % έως το 2030, ο στόχος σε επίπεδο Ένωσης για βελτίωση κατά τουλάχιστον 27 % της ενεργειακής απόδοσης το 2030, που θα αναθεωρηθεί έως το 2020 έχοντας υπόψη ενός στόχο σε επίπεδο Ένωσης τη τάξης του 30 %, και ο στόχος διασύνδεσης ηλεκτρικής ενέργειας σε ποσοστό 15 % το 2030 ή άλλοι ακόλουθοι σχετικοί στόχοι που θα συμφωνηθούν από το Ευρωπαϊκό Συμβούλιο ή το Συμβούλιο και το Κοινοβούλιο για το 2030·</w:t>
      </w:r>
    </w:p>
    <w:p>
      <w:pPr>
        <w:pStyle w:val="Point0"/>
        <w:rPr>
          <w:noProof/>
        </w:rPr>
      </w:pPr>
      <w:r>
        <w:rPr>
          <w:noProof/>
        </w:rPr>
        <w:t>10)</w:t>
      </w:r>
      <w:r>
        <w:rPr>
          <w:noProof/>
        </w:rPr>
        <w:tab/>
        <w:t xml:space="preserve">«εθνικό σύστημα απογραφών»: σύστημα θεσμικών, νομικών και διαδικαστικών ρυθμίσεων, το οποίο καθιερώνεται από κράτος μέλος για την εκτίμηση των ανθρωπογενών εκπομπών από πηγές και των απορροφήσεων από καταβόθρες αερίων του θερμοκηπίου, όπως και για την υποβολή εκθέσεων και την αρχειοθέτηση των πληροφοριών απογραφής· </w:t>
      </w:r>
    </w:p>
    <w:p>
      <w:pPr>
        <w:pStyle w:val="Point0"/>
        <w:rPr>
          <w:noProof/>
        </w:rPr>
      </w:pPr>
      <w:r>
        <w:rPr>
          <w:noProof/>
        </w:rPr>
        <w:t>11)</w:t>
      </w:r>
      <w:r>
        <w:rPr>
          <w:noProof/>
        </w:rPr>
        <w:tab/>
        <w:t>«δείκτης»: ποσοτικός ή ποιοτικός συντελεστής ή μεταβλητή που συμβάλλει στην καλύτερη κατανόηση της προόδου κατά την εφαρμογή·</w:t>
      </w:r>
    </w:p>
    <w:p>
      <w:pPr>
        <w:pStyle w:val="Point0"/>
        <w:rPr>
          <w:noProof/>
        </w:rPr>
      </w:pPr>
      <w:r>
        <w:rPr>
          <w:noProof/>
        </w:rPr>
        <w:t>12)</w:t>
      </w:r>
      <w:r>
        <w:rPr>
          <w:noProof/>
        </w:rPr>
        <w:tab/>
        <w:t>«πολιτικές και μέτρα»: όλα τα μέσα που συμβάλλουν στην επίτευξη των στόχων των ενοποιημένων εθνικών σχεδίων για την ενέργεια και το κλίμα ή/και την υλοποίηση των δεσμεύσεων που απορρέουν από το άρθρο 4 παράγραφος 2 στοιχεία α) και β) της UNFCCC, όπου μπορεί να περιλαμβάνονται και μέσα που δεν έχουν ως κύριο στόχο τον περιορισμό και τη μείωση των εκπομπών αερίων του θερμοκηπίου ή την αλλαγή του ενεργειακού συστήματος·</w:t>
      </w:r>
    </w:p>
    <w:p>
      <w:pPr>
        <w:pStyle w:val="Point0"/>
        <w:rPr>
          <w:noProof/>
        </w:rPr>
      </w:pPr>
      <w:r>
        <w:rPr>
          <w:noProof/>
        </w:rPr>
        <w:t>13)</w:t>
      </w:r>
      <w:r>
        <w:rPr>
          <w:noProof/>
        </w:rPr>
        <w:tab/>
        <w:t>«σύστημα πολιτικών, μέτρων και προβλέψεων»: σύστημα θεσμικών, νομικών και διαδικαστικών ρυθμίσεων που θεσπίζονται για την υποβολή εκθέσεων όσον αφορά τις πολιτικές, τα μέτρα και τις προβλέψεις σχετικά με τις ανθρωπογενείς εκπομπές από πηγές και τις απορροφήσεις από καταβόθρες αερίων του θερμοκηπίου, όπως και με το ενεργειακό σύστημα, σύμφωνα, μεταξύ άλλων, με το άρθρο 32 του παρόντος κανονισμού·</w:t>
      </w:r>
    </w:p>
    <w:p>
      <w:pPr>
        <w:pStyle w:val="Point0"/>
        <w:rPr>
          <w:noProof/>
        </w:rPr>
      </w:pPr>
      <w:r>
        <w:rPr>
          <w:noProof/>
        </w:rPr>
        <w:t>14)</w:t>
      </w:r>
      <w:r>
        <w:rPr>
          <w:noProof/>
        </w:rPr>
        <w:tab/>
        <w:t xml:space="preserve">«τεχνικές διορθώσεις»: προσαρμογές των εκτιμήσεων της εθνικής απογραφής αερίων θερμοκηπίου, οι οποίες γίνονται στο πλαίσιο της εξέτασης δυνάμει του άρθρου 31, όταν τα υποβληθέντα δεδομένα απογραφής δεν είναι πλήρη ή έχουν συγκεντρωθεί κατά τρόπο μη σύμφωνο προς τους σχετικούς διεθνείς ή ενωσιακούς κανόνες ή κατευθυντήριες γραμμές, και οι οποίες προορίζονται να αντικαταστήσουν τις εκτιμήσεις που υποβλήθηκαν αρχικά· </w:t>
      </w:r>
    </w:p>
    <w:p>
      <w:pPr>
        <w:pStyle w:val="Point0"/>
        <w:rPr>
          <w:noProof/>
        </w:rPr>
      </w:pPr>
      <w:r>
        <w:rPr>
          <w:noProof/>
        </w:rPr>
        <w:t>15)</w:t>
      </w:r>
      <w:r>
        <w:rPr>
          <w:noProof/>
        </w:rPr>
        <w:tab/>
        <w:t>«διασφάλιση ποιότητας»: σχεδιασμένο σύστημα διαδικασιών εξέτασης, στόχος του οποίου είναι να εξασφαλίζεται ότι τηρούνται οι στόχοι ποιότητας των δεδομένων και ότι υποβάλλονται οι βέλτιστες δυνατές εκτιμήσεις και πληροφορίες με σκοπό την υποστήριξη της αποτελεσματικότητας του προγράμματος ποιοτικού ελέγχου και τη συνδρομή προς τα κράτη μέλη·</w:t>
      </w:r>
    </w:p>
    <w:p>
      <w:pPr>
        <w:pStyle w:val="Point0"/>
        <w:rPr>
          <w:noProof/>
        </w:rPr>
      </w:pPr>
      <w:r>
        <w:rPr>
          <w:noProof/>
        </w:rPr>
        <w:t>16)</w:t>
      </w:r>
      <w:r>
        <w:rPr>
          <w:noProof/>
        </w:rPr>
        <w:tab/>
        <w:t>«ποιοτικός έλεγχος»: σύστημα συνήθων τεχνικών δραστηριοτήτων για τη μέτρηση και τον έλεγχο της ποιότητας των πληροφοριών και των εκτιμήσεων που καταρτίζονται, με σκοπό την εξασφάλιση της ακεραιότητας, της ακρίβειας και της πληρότητας των δεδομένων, τον εντοπισμό και την αντιμετώπιση σφαλμάτων και παραλείψεων, την τεκμηρίωση και την αρχειοθέτηση των δεδομένων και άλλου υλικού που χρησιμοποιείται και την καταγραφή όλων των δραστηριοτήτων διασφάλισης ποιότητας·</w:t>
      </w:r>
    </w:p>
    <w:p>
      <w:pPr>
        <w:pStyle w:val="Point0"/>
        <w:rPr>
          <w:noProof/>
        </w:rPr>
      </w:pPr>
      <w:r>
        <w:rPr>
          <w:noProof/>
        </w:rPr>
        <w:t>17)</w:t>
      </w:r>
      <w:r>
        <w:rPr>
          <w:noProof/>
        </w:rPr>
        <w:tab/>
        <w:t>«βασικοί δείκτες»: οι δείκτες προόδου ως προς τις πέντε διαστάσεις της Ενεργειακής Ένωσης που προτείνονται από την Επιτροπή·</w:t>
      </w:r>
    </w:p>
    <w:p>
      <w:pPr>
        <w:pStyle w:val="Point0"/>
        <w:rPr>
          <w:noProof/>
        </w:rPr>
      </w:pPr>
      <w:r>
        <w:rPr>
          <w:noProof/>
        </w:rPr>
        <w:t>18)</w:t>
      </w:r>
      <w:r>
        <w:rPr>
          <w:noProof/>
        </w:rPr>
        <w:tab/>
        <w:t>«σχέδιο ΣΕΤ»: το Στρατηγικό σχέδιο Ενεργειακής Τεχνολογίας, όπως ορίζεται στην ανακοίνωση της Επιτροπής (2015) 6317.</w:t>
      </w:r>
    </w:p>
    <w:p>
      <w:pPr>
        <w:pStyle w:val="PartTitle"/>
        <w:rPr>
          <w:noProof/>
        </w:rPr>
      </w:pPr>
      <w:r>
        <w:rPr>
          <w:noProof/>
        </w:rPr>
        <w:t>ΚΕΦΑΛΑΙΟ 2</w:t>
      </w:r>
      <w:r>
        <w:rPr>
          <w:noProof/>
        </w:rPr>
        <w:br/>
        <w:t>ΕΝΟΠΟΙΗΜΕΝΑ ΕΘΝΙΚΑ ΣΧΕΔΙΑ ΓΙΑ ΤΗΝ ΕΝΕΡΓΕΙΑ ΚΑΙ ΤΟ ΚΛΙΜΑ</w:t>
      </w:r>
    </w:p>
    <w:p>
      <w:pPr>
        <w:pStyle w:val="Titrearticle"/>
        <w:rPr>
          <w:b/>
          <w:noProof/>
        </w:rPr>
      </w:pPr>
      <w:r>
        <w:rPr>
          <w:noProof/>
        </w:rPr>
        <w:t>Άρθρο 3</w:t>
      </w:r>
      <w:r>
        <w:rPr>
          <w:noProof/>
        </w:rPr>
        <w:br/>
      </w:r>
      <w:r>
        <w:rPr>
          <w:b/>
          <w:i w:val="0"/>
          <w:noProof/>
        </w:rPr>
        <w:t>Ενοποιημένα εθνικά σχέδια για την ενέργεια και το κλίμα</w:t>
      </w:r>
    </w:p>
    <w:p>
      <w:pPr>
        <w:rPr>
          <w:noProof/>
        </w:rPr>
      </w:pPr>
      <w:r>
        <w:rPr>
          <w:noProof/>
        </w:rPr>
        <w:t>1.</w:t>
      </w:r>
      <w:r>
        <w:rPr>
          <w:noProof/>
        </w:rPr>
        <w:tab/>
        <w:t>Από την 1</w:t>
      </w:r>
      <w:r>
        <w:rPr>
          <w:noProof/>
          <w:vertAlign w:val="superscript"/>
        </w:rPr>
        <w:t>η</w:t>
      </w:r>
      <w:r>
        <w:rPr>
          <w:noProof/>
        </w:rPr>
        <w:t xml:space="preserve"> Ιανουαρίου 2019 και ανά δέκα έτη εφεξής κάθε κράτος μέλος υποβάλλει στην Επιτροπή ενοποιημένο εθνικό σχέδιο για την ενέργεια και το κλίμα. Τα σχέδια περιέχουν τα στοιχεία που καθορίζονται στην παράγραφο 2 και το παράρτημα I. Το πρώτο σχέδιο καλύπτει την περίοδο από το 2021 έως το 2030. Τα ακόλουθα σχέδια καλύπτουν την ακριβώς επόμενη δεκαετή περίοδο που έπεται της λήξης της περιόδου που καλύφθηκε από το προηγούμενο σχέδιο. </w:t>
      </w:r>
    </w:p>
    <w:p>
      <w:pPr>
        <w:rPr>
          <w:noProof/>
        </w:rPr>
      </w:pPr>
      <w:r>
        <w:rPr>
          <w:noProof/>
        </w:rPr>
        <w:t>2.</w:t>
      </w:r>
      <w:r>
        <w:rPr>
          <w:noProof/>
        </w:rPr>
        <w:tab/>
        <w:t xml:space="preserve">Τα ενοποιημένα εθνικά σχέδια για την ενέργεια και το κλίμα αποτελούνται από τις παρακάτω κύριες ενότητες: </w:t>
      </w:r>
    </w:p>
    <w:p>
      <w:pPr>
        <w:pStyle w:val="Point0"/>
        <w:rPr>
          <w:noProof/>
        </w:rPr>
      </w:pPr>
      <w:r>
        <w:rPr>
          <w:noProof/>
        </w:rPr>
        <w:t>α)</w:t>
      </w:r>
      <w:r>
        <w:rPr>
          <w:noProof/>
        </w:rPr>
        <w:tab/>
        <w:t>επισκόπηση της διαδικασίας που ακολουθήθηκε για την κατάρτιση του ενοποιημένου εθνικού σχεδίου για την ενέργεια και το κλίμα, η οποία θα περιλαμβάνει συνοπτική παρουσίαση, περιγραφή της διαβούλευσης και της συμμετοχής ενδιαφερόμενων μερών με τα σχετικά αποτελέσματα και περιγραφή της περιφερειακής συνεργασίας με άλλα κράτη μέλη για την κατάρτιση του σχεδίου·</w:t>
      </w:r>
    </w:p>
    <w:p>
      <w:pPr>
        <w:pStyle w:val="Point0"/>
        <w:rPr>
          <w:noProof/>
        </w:rPr>
      </w:pPr>
      <w:r>
        <w:rPr>
          <w:noProof/>
        </w:rPr>
        <w:t>β)</w:t>
      </w:r>
      <w:r>
        <w:rPr>
          <w:noProof/>
        </w:rPr>
        <w:tab/>
        <w:t>περιγραφή των εθνικών στόχων, επιδιώξεων και συνεισφορών για τις πέντε διαστάσεις της Ενεργειακής Ένωσης·</w:t>
      </w:r>
    </w:p>
    <w:p>
      <w:pPr>
        <w:pStyle w:val="Point0"/>
        <w:rPr>
          <w:noProof/>
        </w:rPr>
      </w:pPr>
      <w:r>
        <w:rPr>
          <w:noProof/>
        </w:rPr>
        <w:t>γ)</w:t>
      </w:r>
      <w:r>
        <w:rPr>
          <w:noProof/>
        </w:rPr>
        <w:tab/>
        <w:t>περιγραφή των πολιτικών και των μέτρων που προβλέπονται για την επίτευξη των σχετικών στόχων, επιδιώξεων και συνεισφορών που καθορίζονται στο στοιχείο β)·</w:t>
      </w:r>
    </w:p>
    <w:p>
      <w:pPr>
        <w:pStyle w:val="Point0"/>
        <w:rPr>
          <w:noProof/>
        </w:rPr>
      </w:pPr>
      <w:r>
        <w:rPr>
          <w:noProof/>
        </w:rPr>
        <w:t>δ)</w:t>
      </w:r>
      <w:r>
        <w:rPr>
          <w:noProof/>
        </w:rPr>
        <w:tab/>
        <w:t>περιγραφή της τρέχουσας κατάστασης των πέντε διαστάσεων της Ενεργειακής Ένωσης, συμπεριλαμβανομένου του ενεργειακού συστήματος και των εκπομπών και απορροφήσεων αερίων του θερμοκηπίου, όπως και προβλέψεων σχετικά με τους αναφερόμενους στόχους στο στοιχείο β) με βάση ήδη υπάρχουσες πολιτικές και μέτρα (που έχουν θεσπιστεί και τεθεί σε εφαρμογή)·</w:t>
      </w:r>
    </w:p>
    <w:p>
      <w:pPr>
        <w:pStyle w:val="Point0"/>
        <w:rPr>
          <w:noProof/>
        </w:rPr>
      </w:pPr>
      <w:r>
        <w:rPr>
          <w:noProof/>
        </w:rPr>
        <w:t>ε)</w:t>
      </w:r>
      <w:r>
        <w:rPr>
          <w:noProof/>
        </w:rPr>
        <w:tab/>
        <w:t>εκτίμηση των επιπτώσεων των προγραμματισμένων πολιτικών και μέτρων για την επίτευξη των στόχων που αναφέρονται στο στοιχείο β)·</w:t>
      </w:r>
    </w:p>
    <w:p>
      <w:pPr>
        <w:pStyle w:val="Point0"/>
        <w:rPr>
          <w:noProof/>
        </w:rPr>
      </w:pPr>
      <w:r>
        <w:rPr>
          <w:noProof/>
        </w:rPr>
        <w:t>στ)</w:t>
      </w:r>
      <w:r>
        <w:rPr>
          <w:noProof/>
        </w:rPr>
        <w:tab/>
        <w:t>παράρτημα το οποίο συντάσσεται σύμφωνα με τις απαιτήσεις και τη δομή που ορίζεται στο παράρτημα II του παρόντος κανονισμού και ορίζει τις μεθοδολογίες και τα μέτρα πολιτικής των κρατών μελών για την ικανοποίηση της απαίτησης εξοικονόμησης ενέργειας σύμφωνα με το άρθρο 7 στοιχεία α) και β) και το παράρτημα IV της οδηγίας για την ενεργειακή απόδοση [όπως τροποποιήθηκε από την πρόταση COM(2016)761].</w:t>
      </w:r>
    </w:p>
    <w:p>
      <w:pPr>
        <w:rPr>
          <w:noProof/>
        </w:rPr>
      </w:pPr>
      <w:r>
        <w:rPr>
          <w:noProof/>
        </w:rPr>
        <w:t>3.</w:t>
      </w:r>
      <w:r>
        <w:rPr>
          <w:noProof/>
        </w:rPr>
        <w:tab/>
        <w:t>Κατά την κατάρτιση των εθνικών σχεδίων της παραγράφου 1, τα κράτη μέλη λαμβάνουν υπόψη τις διασυνδέσεις μεταξύ των πέντε διαστάσεων της Ενεργειακής Ένωσης και χρησιμοποιούν συνεκτικά δεδομένα και παραδοχές και στις πέντε διαστάσεις, κατά περίπτωση.</w:t>
      </w:r>
      <w:r>
        <w:rPr>
          <w:noProof/>
        </w:rPr>
        <w:tab/>
      </w:r>
    </w:p>
    <w:p>
      <w:pPr>
        <w:rPr>
          <w:noProof/>
        </w:rPr>
      </w:pPr>
      <w:r>
        <w:rPr>
          <w:noProof/>
        </w:rPr>
        <w:t>4.</w:t>
      </w:r>
      <w:r>
        <w:rPr>
          <w:noProof/>
        </w:rPr>
        <w:tab/>
        <w:t>Η Επιτροπή εξουσιοδοτείται να εκδίδει κατ’ εξουσιοδότηση πράξεις σύμφωνα με το άρθρο 36 του παρόντος κανονισμού για την τροποποίηση του παραρτήματος I, ώστε να το προσαρμόζει στις τροποποιήσεις του πλαισίου πολιτικής της Ένωσης για την ενέργεια και το κλίμα, τις εξελίξεις στην αγορά ενέργειας και τις νέες απαιτήσεις βάσει της UNFCCC και της συμφωνίας του Παρισιού.</w:t>
      </w:r>
    </w:p>
    <w:p>
      <w:pPr>
        <w:pStyle w:val="Titrearticle"/>
        <w:rPr>
          <w:b/>
          <w:i w:val="0"/>
          <w:noProof/>
        </w:rPr>
      </w:pPr>
      <w:r>
        <w:rPr>
          <w:noProof/>
        </w:rPr>
        <w:t>Άρθρο 4</w:t>
      </w:r>
      <w:r>
        <w:rPr>
          <w:noProof/>
        </w:rPr>
        <w:br/>
      </w:r>
      <w:r>
        <w:rPr>
          <w:b/>
          <w:i w:val="0"/>
          <w:noProof/>
        </w:rPr>
        <w:t>Εθνικοί στόχοι, επιδιώξεις και συνεισφορές για καθεμία από τις πέντε διαστάσεις της Ενεργειακής Ένωσης</w:t>
      </w:r>
    </w:p>
    <w:p>
      <w:pPr>
        <w:rPr>
          <w:noProof/>
        </w:rPr>
      </w:pPr>
      <w:r>
        <w:rPr>
          <w:noProof/>
        </w:rPr>
        <w:t>Τα κράτη μέλη καθορίζουν στο ενοποιημένο εθνικό σχέδιο για την ενέργεια και το κλίμα τους ακόλουθους κύριους στόχους, επιδιώξεις και συνεισφορές, όπως ορίζονται στο τμήμα Α.2 του παραρτήματος I:</w:t>
      </w:r>
    </w:p>
    <w:p>
      <w:pPr>
        <w:pStyle w:val="Point0"/>
        <w:rPr>
          <w:noProof/>
        </w:rPr>
      </w:pPr>
      <w:r>
        <w:rPr>
          <w:noProof/>
        </w:rPr>
        <w:t>α)</w:t>
      </w:r>
      <w:r>
        <w:rPr>
          <w:noProof/>
        </w:rPr>
        <w:tab/>
        <w:t>Όσον αφορά τη διάσταση της «απαλλαγής από τις ανθρακούχες εκπομπές»:</w:t>
      </w:r>
    </w:p>
    <w:p>
      <w:pPr>
        <w:pStyle w:val="Point1"/>
        <w:rPr>
          <w:noProof/>
        </w:rPr>
      </w:pPr>
      <w:r>
        <w:rPr>
          <w:noProof/>
        </w:rPr>
        <w:t>1)</w:t>
      </w:r>
      <w:r>
        <w:rPr>
          <w:noProof/>
        </w:rPr>
        <w:tab/>
        <w:t>αναφορικά με τις εκπομπές και απορροφήσεις αερίων του θερμοκηπίου και ενόψει της συνεισφοράς στον στόχο μείωσης των αερίων του θερμοκηπίου σε όλους τους τομείς της οικονομίας στην ΕΕ:</w:t>
      </w:r>
    </w:p>
    <w:p>
      <w:pPr>
        <w:pStyle w:val="Point2"/>
        <w:rPr>
          <w:noProof/>
        </w:rPr>
      </w:pPr>
      <w:r>
        <w:rPr>
          <w:noProof/>
        </w:rPr>
        <w:t>i.</w:t>
      </w:r>
      <w:r>
        <w:rPr>
          <w:noProof/>
        </w:rPr>
        <w:tab/>
        <w:t>τον δεσμευτικό εθνικό στόχο του κράτους μέλους για τις εκπομπές αερίων του θερμοκηπίου και τα ετήσια δεσμευτικά εθνικά όρια σύμφωνα με τον κανονισμό [ ] [ESR]·</w:t>
      </w:r>
    </w:p>
    <w:p>
      <w:pPr>
        <w:pStyle w:val="Point2"/>
        <w:rPr>
          <w:noProof/>
        </w:rPr>
      </w:pPr>
      <w:r>
        <w:rPr>
          <w:noProof/>
        </w:rPr>
        <w:t>ii.</w:t>
      </w:r>
      <w:r>
        <w:rPr>
          <w:noProof/>
        </w:rPr>
        <w:tab/>
        <w:t>τις δεσμεύσεις του κράτους μέλους σύμφωνα με τον κανονισμό [ ] [LULUCF]·</w:t>
      </w:r>
    </w:p>
    <w:p>
      <w:pPr>
        <w:pStyle w:val="Point2"/>
        <w:rPr>
          <w:noProof/>
        </w:rPr>
      </w:pPr>
      <w:r>
        <w:rPr>
          <w:noProof/>
        </w:rPr>
        <w:t>iii.</w:t>
      </w:r>
      <w:r>
        <w:rPr>
          <w:noProof/>
        </w:rPr>
        <w:tab/>
        <w:t>κατά περίπτωση, άλλους εθνικούς στόχους και επιδιώξεις, συνεπείς με τις υφιστάμενες μακροπρόθεσμες στρατηγικές χαμηλών εκπομπών·</w:t>
      </w:r>
    </w:p>
    <w:p>
      <w:pPr>
        <w:pStyle w:val="Point2"/>
        <w:rPr>
          <w:noProof/>
        </w:rPr>
      </w:pPr>
      <w:r>
        <w:rPr>
          <w:noProof/>
        </w:rPr>
        <w:t>iv.</w:t>
      </w:r>
      <w:r>
        <w:rPr>
          <w:noProof/>
        </w:rPr>
        <w:tab/>
        <w:t>κατά περίπτωση, άλλους στόχους και επιδιώξεις, συμπεριλαμβανομένων τομεακών επιδιώξεων και στόχων προσαρμογής·</w:t>
      </w:r>
    </w:p>
    <w:p>
      <w:pPr>
        <w:pStyle w:val="Point1"/>
        <w:rPr>
          <w:noProof/>
        </w:rPr>
      </w:pPr>
      <w:r>
        <w:rPr>
          <w:noProof/>
        </w:rPr>
        <w:t>2)</w:t>
      </w:r>
      <w:r>
        <w:rPr>
          <w:noProof/>
        </w:rPr>
        <w:tab/>
        <w:t>αναφορικά με τις ανανεώσιμες πηγές ενέργειας:</w:t>
      </w:r>
    </w:p>
    <w:p>
      <w:pPr>
        <w:pStyle w:val="Point2"/>
        <w:rPr>
          <w:noProof/>
        </w:rPr>
      </w:pPr>
      <w:r>
        <w:rPr>
          <w:noProof/>
        </w:rPr>
        <w:t>i.</w:t>
      </w:r>
      <w:r>
        <w:rPr>
          <w:noProof/>
        </w:rPr>
        <w:tab/>
        <w:t>ενόψει της επίτευξης του δεσμευτικού στόχου της Ένωσης για κατανάλωση ενέργειας από ανανεώσιμες πηγές σε ποσοστό τουλάχιστον 27 % έως το 2030, όπως αναφέρεται στο άρθρο 3 της [αναδιατύπωση της οδηγίας 2009/28/ΕΚ όπως προτείνεται στην COM(2016) 767], συνεισφορά σε αυτόν τον στόχο στο πλαίσιο του μεριδίου ενέργειας από ανανεώσιμες πηγές στην ακαθάριστη τελική κατανάλωση ενέργειας από το κράτος μέλος το 2030 με γραμμική πορεία της εν λόγω συνεισφοράς από το 2021 και εξής·</w:t>
      </w:r>
    </w:p>
    <w:p>
      <w:pPr>
        <w:pStyle w:val="Point2"/>
        <w:rPr>
          <w:noProof/>
        </w:rPr>
      </w:pPr>
      <w:r>
        <w:rPr>
          <w:noProof/>
        </w:rPr>
        <w:t>ii.</w:t>
      </w:r>
      <w:r>
        <w:rPr>
          <w:noProof/>
        </w:rPr>
        <w:tab/>
        <w:t>τις πορείες του τομεακού μεριδίου ενέργειας από ανανεώσιμες πηγές στην τελική κατανάλωση ενέργειας από το 2021 έως το 2030 στους τομείς θέρμανσης και ψύξης, ηλεκτρικής ενέργειας και μεταφορών·</w:t>
      </w:r>
    </w:p>
    <w:p>
      <w:pPr>
        <w:pStyle w:val="Point2"/>
        <w:rPr>
          <w:noProof/>
        </w:rPr>
      </w:pPr>
      <w:r>
        <w:rPr>
          <w:noProof/>
        </w:rPr>
        <w:t>iii.</w:t>
      </w:r>
      <w:r>
        <w:rPr>
          <w:noProof/>
        </w:rPr>
        <w:tab/>
        <w:t>τις πορείες των τεχνολογιών ανανεώσιμων πηγών ενέργειας που σκοπεύει να χρησιμοποιήσει το κράτος μέλος για την επίτευξη των συνολικών και τομεακών πορειών σε σχέση με την κατανάλωση ενέργειας από ανανεώσιμες πηγές από το 2021 έως το 2030, συμπεριλαμβανομένης της συνολικής αναμενόμενης ακαθάριστης τελικής κατανάλωσης ενέργειας ανά τεχνολογία και ανά τομέα σε εκατ. ΤΙΠ και της συνολικής προγραμματισμένης εγκατεστημένης δυναμικότητας ανά τεχνολογία και ανά τομέα σε MW·</w:t>
      </w:r>
    </w:p>
    <w:p>
      <w:pPr>
        <w:pStyle w:val="Point0"/>
        <w:rPr>
          <w:noProof/>
        </w:rPr>
      </w:pPr>
      <w:r>
        <w:rPr>
          <w:noProof/>
        </w:rPr>
        <w:t>β)</w:t>
      </w:r>
      <w:r>
        <w:rPr>
          <w:noProof/>
        </w:rPr>
        <w:tab/>
        <w:t>Όσον αφορά τη διάσταση της «ενεργειακής απόδοσης»:</w:t>
      </w:r>
    </w:p>
    <w:p>
      <w:pPr>
        <w:pStyle w:val="Point1"/>
        <w:rPr>
          <w:noProof/>
        </w:rPr>
      </w:pPr>
      <w:r>
        <w:rPr>
          <w:noProof/>
        </w:rPr>
        <w:t>1)</w:t>
      </w:r>
      <w:r>
        <w:rPr>
          <w:noProof/>
        </w:rPr>
        <w:tab/>
        <w:t xml:space="preserve">την ενδεικτική εθνική συνεισφορά ενεργειακής απόδοσης για την επίτευξη του δεσμευτικού στόχου ενεργειακής απόδοσης της Ένωσης ύψους 30 % για το 2030, όπως αναφέρεται στο άρθρο 1 παράγραφος 1 και το άρθρο 3 παράγραφος 4 της οδηγίας 2012/27/ΕΕ [όπως τροποποιήθηκε από την πρόταση COM(2016)761] με βάση είτε την πρωτογενή είτε την τελική κατανάλωση ενέργειας, την εξοικονόμηση πρωτογενούς ή τελικής ενέργειας ή την ενεργειακή ένταση· </w:t>
      </w:r>
    </w:p>
    <w:p>
      <w:pPr>
        <w:pStyle w:val="Text2"/>
        <w:rPr>
          <w:strike/>
          <w:noProof/>
        </w:rPr>
      </w:pPr>
      <w:r>
        <w:rPr>
          <w:noProof/>
        </w:rPr>
        <w:t>Τα κράτη μέλη εκφράζουν τη συνεισφορά τους δηλώνοντας το απόλυτο επίπεδο κατανάλωσης πρωτογενούς ενέργειας και το απόλυτο επίπεδο κατανάλωσης τελικής ενέργειας για το 2020 και το 2030, με γραμμική πορεία για την εν λόγω συνεισφορά από το 2021 και εξής. Εξηγούν τη μεθοδολογία στην οποία στηρίχθηκαν και τους συντελεστές μετατροπής που χρησιμοποιήθηκαν·</w:t>
      </w:r>
    </w:p>
    <w:p>
      <w:pPr>
        <w:pStyle w:val="Point1"/>
        <w:rPr>
          <w:noProof/>
        </w:rPr>
      </w:pPr>
      <w:r>
        <w:rPr>
          <w:noProof/>
        </w:rPr>
        <w:t>2)</w:t>
      </w:r>
      <w:r>
        <w:rPr>
          <w:noProof/>
        </w:rPr>
        <w:tab/>
        <w:t>το σωρευτικό ποσό εξοικονόμησης ενέργειας που επιτεύχθηκε κατά την περίοδο 2021-2030 σύμφωνα με το άρθρο 7 για τις υποχρεώσεις εξοικονόμησης ενέργειας της οδηγίας 2012/27/ΕΕ όπως τροποποιήθηκε από την πρόταση COM(2016)761]·</w:t>
      </w:r>
    </w:p>
    <w:p>
      <w:pPr>
        <w:pStyle w:val="Point1"/>
        <w:rPr>
          <w:noProof/>
        </w:rPr>
      </w:pPr>
      <w:r>
        <w:rPr>
          <w:noProof/>
        </w:rPr>
        <w:t>3)</w:t>
      </w:r>
      <w:r>
        <w:rPr>
          <w:noProof/>
        </w:rPr>
        <w:tab/>
        <w:t>τους στόχους μακροπρόθεσμης ανακαίνισης του εθνικού αποθέματος οικιστικών και εμπορικών κτιρίων (δημόσιων και ιδιωτικών)·</w:t>
      </w:r>
    </w:p>
    <w:p>
      <w:pPr>
        <w:pStyle w:val="Point1"/>
        <w:rPr>
          <w:noProof/>
        </w:rPr>
      </w:pPr>
      <w:r>
        <w:rPr>
          <w:noProof/>
        </w:rPr>
        <w:t>4)</w:t>
      </w:r>
      <w:r>
        <w:rPr>
          <w:noProof/>
        </w:rPr>
        <w:tab/>
        <w:t>το συνολικό εμβαδόν προς ανακαίνιση ή τις ισοδύναμες ετήσιες εξοικονομήσεις ενέργειας που θα επιτευχθούν από το 2020 έως το 2030 σύμφωνα με το άρθρο 5 της οδηγίας 2012/27/ΕΕ για την ανακαίνιση κτιρίων της κεντρικής δημόσιας διοίκησης·</w:t>
      </w:r>
    </w:p>
    <w:p>
      <w:pPr>
        <w:pStyle w:val="Point1"/>
        <w:rPr>
          <w:noProof/>
        </w:rPr>
      </w:pPr>
      <w:r>
        <w:rPr>
          <w:noProof/>
        </w:rPr>
        <w:t>5)</w:t>
      </w:r>
      <w:r>
        <w:rPr>
          <w:noProof/>
        </w:rPr>
        <w:tab/>
        <w:t>άλλους εθνικούς στόχους ενεργειακής απόδοσης, συμπεριλαμβανομένων μακροπρόθεσμων επιδιώξεων ή στρατηγικών και τομεακών επιδιώξεων σε τομείς όπως οι μεταφορές, η θέρμανση και η ψύξη.</w:t>
      </w:r>
    </w:p>
    <w:p>
      <w:pPr>
        <w:pStyle w:val="Point0"/>
        <w:rPr>
          <w:noProof/>
        </w:rPr>
      </w:pPr>
      <w:r>
        <w:rPr>
          <w:noProof/>
        </w:rPr>
        <w:t>γ)</w:t>
      </w:r>
      <w:r>
        <w:rPr>
          <w:noProof/>
        </w:rPr>
        <w:tab/>
        <w:t>Όσον αφορά τη διάσταση της «ενεργειακής ασφάλειας»:</w:t>
      </w:r>
    </w:p>
    <w:p>
      <w:pPr>
        <w:pStyle w:val="Point1"/>
        <w:rPr>
          <w:noProof/>
        </w:rPr>
      </w:pPr>
      <w:r>
        <w:rPr>
          <w:noProof/>
        </w:rPr>
        <w:t>1)</w:t>
      </w:r>
      <w:r>
        <w:rPr>
          <w:noProof/>
        </w:rPr>
        <w:tab/>
        <w:t>τους εθνικούς στόχους αναφορικά με την αύξηση της διαφοροποίησης των πηγών ενέργειας και την προμήθεια από τρίτες χώρες·</w:t>
      </w:r>
    </w:p>
    <w:p>
      <w:pPr>
        <w:pStyle w:val="Point1"/>
        <w:rPr>
          <w:noProof/>
        </w:rPr>
      </w:pPr>
      <w:r>
        <w:rPr>
          <w:noProof/>
        </w:rPr>
        <w:tab/>
        <w:t>τους εθνικούς στόχους όσον αφορά τη μείωση της ενεργειακής εξάρτησης από εισαγωγές από τρίτες χώρες·</w:t>
      </w:r>
    </w:p>
    <w:p>
      <w:pPr>
        <w:pStyle w:val="Point1"/>
        <w:rPr>
          <w:noProof/>
        </w:rPr>
      </w:pPr>
      <w:r>
        <w:rPr>
          <w:noProof/>
        </w:rPr>
        <w:t>2)</w:t>
      </w:r>
      <w:r>
        <w:rPr>
          <w:noProof/>
        </w:rPr>
        <w:tab/>
        <w:t>τους εθνικούς στόχους όσον αφορά την ετοιμότητα αντιμετώπισης περιορισμένου ή διακοπτόμενου εφοδιασμού μιας πηγής ενέργειας, σε συνοχή με τα προς κατάρτιση σχέδια βάσει του κανονισμού [όπως προτείνεται από το COM(2016) 52 σχετικά με μέτρα κατοχύρωσης της ασφάλειας εφοδιασμού με φυσικό αέριο και την κατάργηση του κανονισμού (ΕΕ) αριθ. 994/2010], καθώς και βάσει του κανονισμού [όπως προτείνεται από το COM(2016) 862 σχετικά με την ετοιμότητα για την αντιμετώπιση κινδύνων στον τομέα της ηλεκτρικής ενέργειας και για την κατάργηση της οδηγίας 2005/89/ΕΚ], περιλαμβανομένου χρονοδιαγράμματος επίτευξης των στόχων·</w:t>
      </w:r>
    </w:p>
    <w:p>
      <w:pPr>
        <w:pStyle w:val="Point1"/>
        <w:rPr>
          <w:noProof/>
        </w:rPr>
      </w:pPr>
      <w:r>
        <w:rPr>
          <w:noProof/>
        </w:rPr>
        <w:t>3)</w:t>
      </w:r>
      <w:r>
        <w:rPr>
          <w:noProof/>
        </w:rPr>
        <w:tab/>
        <w:t>τους εθνικούς στόχους όσον αφορά την ανάπτυξη εγχώριων πηγών ενέργειας, και κυρίως ανανεώσιμων πηγών ενέργειας.</w:t>
      </w:r>
    </w:p>
    <w:p>
      <w:pPr>
        <w:pStyle w:val="Point0"/>
        <w:rPr>
          <w:noProof/>
        </w:rPr>
      </w:pPr>
      <w:r>
        <w:rPr>
          <w:noProof/>
        </w:rPr>
        <w:t>δ)</w:t>
      </w:r>
      <w:r>
        <w:rPr>
          <w:noProof/>
        </w:rPr>
        <w:tab/>
        <w:t>Όσον αφορά τη διάσταση της «εσωτερικής αγοράς ενέργειας»:</w:t>
      </w:r>
    </w:p>
    <w:p>
      <w:pPr>
        <w:pStyle w:val="Point1"/>
        <w:rPr>
          <w:noProof/>
        </w:rPr>
      </w:pPr>
      <w:r>
        <w:rPr>
          <w:noProof/>
        </w:rPr>
        <w:t>1)</w:t>
      </w:r>
      <w:r>
        <w:rPr>
          <w:noProof/>
        </w:rPr>
        <w:tab/>
        <w:t>το επίπεδο διασυνδεσιμότητας ηλεκτρικής ενέργειας στο οποίο στοχεύει το κράτος μέλος έως το 2030, λαμβάνοντας υπόψη τον στόχο διασύνδεσης ηλεκτρικής ενέργειας σε ποσοστό τουλάχιστον 15 % για το 2030. Τα κράτη μέλη επεξηγούν τη μεθοδολογία που εφαρμόστηκε·</w:t>
      </w:r>
    </w:p>
    <w:p>
      <w:pPr>
        <w:pStyle w:val="Point1"/>
        <w:rPr>
          <w:noProof/>
        </w:rPr>
      </w:pPr>
      <w:r>
        <w:rPr>
          <w:noProof/>
        </w:rPr>
        <w:t>2)</w:t>
      </w:r>
      <w:r>
        <w:rPr>
          <w:noProof/>
        </w:rPr>
        <w:tab/>
        <w:t>τους βασικούς εθνικούς στόχους ως προς τις υποδομές μεταφοράς ηλεκτρικής ενέργειας και αερίου που απαιτούνται για την επίτευξη των στόχων και επιδιώξεων βάσει οποιασδήποτε από τις πέντε διαστάσεις της στρατηγικής της Ενεργειακής Ένωσης ·</w:t>
      </w:r>
    </w:p>
    <w:p>
      <w:pPr>
        <w:pStyle w:val="Point1"/>
        <w:rPr>
          <w:noProof/>
        </w:rPr>
      </w:pPr>
      <w:r>
        <w:rPr>
          <w:noProof/>
        </w:rPr>
        <w:t>3)</w:t>
      </w:r>
      <w:r>
        <w:rPr>
          <w:noProof/>
        </w:rPr>
        <w:tab/>
        <w:t>τους εθνικούς στόχους που σχετίζονται με άλλες πτυχές της εσωτερικής αγοράς ενέργειας, όπως η ενοποίηση και σύζευξη της αγοράς, συμπεριλαμβανομένου χρονοδιαγράμματος υλοποίησης των στόχων·</w:t>
      </w:r>
    </w:p>
    <w:p>
      <w:pPr>
        <w:pStyle w:val="Point1"/>
        <w:rPr>
          <w:noProof/>
        </w:rPr>
      </w:pPr>
      <w:r>
        <w:rPr>
          <w:noProof/>
        </w:rPr>
        <w:t>4)</w:t>
      </w:r>
      <w:r>
        <w:rPr>
          <w:noProof/>
        </w:rPr>
        <w:tab/>
        <w:t>τους εθνικούς στόχους αναφορικά με τη διασφάλιση της επάρκειας του συστήματος ηλεκτρικής ενέργειας, όπως και της ευελιξίας του ενεργειακού συστήματος ως προς την παραγωγή ανανεώσιμης ενέργειας, συμπεριλαμβανομένου χρονοδιαγράμματος υλοποίησης των στόχων.</w:t>
      </w:r>
    </w:p>
    <w:p>
      <w:pPr>
        <w:pStyle w:val="Point0"/>
        <w:rPr>
          <w:noProof/>
        </w:rPr>
      </w:pPr>
      <w:r>
        <w:rPr>
          <w:noProof/>
        </w:rPr>
        <w:t>ε)</w:t>
      </w:r>
      <w:r>
        <w:rPr>
          <w:noProof/>
        </w:rPr>
        <w:tab/>
        <w:t>Όσον αφορά τη διάσταση της «έρευνας, καινοτομίας και ανταγωνιστικότητας»:</w:t>
      </w:r>
    </w:p>
    <w:p>
      <w:pPr>
        <w:pStyle w:val="Point1"/>
        <w:rPr>
          <w:noProof/>
        </w:rPr>
      </w:pPr>
      <w:r>
        <w:rPr>
          <w:noProof/>
        </w:rPr>
        <w:t>1)</w:t>
      </w:r>
      <w:r>
        <w:rPr>
          <w:noProof/>
        </w:rPr>
        <w:tab/>
        <w:t xml:space="preserve">τους εθνικούς στόχους και τις επιδιώξεις χρηματοδότησης δημόσιων και ιδιωτικών έργων έρευνας και καινοτομίας που σχετίζονται με την Ενεργειακή Ένωση, συμπεριλαμβανομένου, κατά περίπτωση, χρονοδιαγράμματος για την υλοποίηση των στόχων. Αυτές οι επιδιώξεις και οι στόχοι θα πρέπει να είναι συνεκτικοί με τα οριζόμενα στη στρατηγική της Ενεργειακής Ένωσης και το σχέδιο ΣΕΤ· </w:t>
      </w:r>
    </w:p>
    <w:p>
      <w:pPr>
        <w:pStyle w:val="Point1"/>
        <w:rPr>
          <w:noProof/>
        </w:rPr>
      </w:pPr>
      <w:r>
        <w:rPr>
          <w:noProof/>
        </w:rPr>
        <w:t>2)</w:t>
      </w:r>
      <w:r>
        <w:rPr>
          <w:noProof/>
        </w:rPr>
        <w:tab/>
        <w:t>τους εθνικούς στόχους για το 2050 για την αξιοποίηση τεχνολογιών χαμηλών ανθρακούχων εκπομπών·</w:t>
      </w:r>
    </w:p>
    <w:p>
      <w:pPr>
        <w:pStyle w:val="Point1"/>
        <w:rPr>
          <w:noProof/>
        </w:rPr>
      </w:pPr>
      <w:r>
        <w:rPr>
          <w:noProof/>
        </w:rPr>
        <w:t>3)</w:t>
      </w:r>
      <w:r>
        <w:rPr>
          <w:noProof/>
        </w:rPr>
        <w:tab/>
        <w:t>τους εθνικούς στόχους αναφορικά με την ανταγωνιστικότητα.</w:t>
      </w:r>
    </w:p>
    <w:p>
      <w:pPr>
        <w:pStyle w:val="Titrearticle"/>
        <w:rPr>
          <w:i w:val="0"/>
          <w:noProof/>
        </w:rPr>
      </w:pPr>
      <w:r>
        <w:rPr>
          <w:noProof/>
        </w:rPr>
        <w:t>Άρθρο 5</w:t>
      </w:r>
      <w:r>
        <w:rPr>
          <w:noProof/>
        </w:rPr>
        <w:br/>
      </w:r>
      <w:r>
        <w:rPr>
          <w:b/>
          <w:i w:val="0"/>
          <w:noProof/>
        </w:rPr>
        <w:t>Διαδικασία ορισμού της συνεισφοράς των κρατών μελών στον τομέα των ανανεώσιμων πηγών ενέργειας</w:t>
      </w:r>
    </w:p>
    <w:p>
      <w:pPr>
        <w:rPr>
          <w:noProof/>
        </w:rPr>
      </w:pPr>
      <w:r>
        <w:rPr>
          <w:noProof/>
        </w:rPr>
        <w:t>1.</w:t>
      </w:r>
      <w:r>
        <w:rPr>
          <w:noProof/>
        </w:rPr>
        <w:tab/>
        <w:t>Κατά τον ορισμό της συνεισφοράς τους στο μερίδιο ενέργειας από ανανεώσιμες πηγές στην ακαθάριστη τελική κατανάλωση ενέργειας για το 2030 και το τελευταίο έτος της  περιόδου που καλύπτεται από τα ακόλουθα εθνικά σχέδια, σύμφωνα με το άρθρο 4 σημείο α) παράγραφος 2 στοιχείο i), τα κράτη μέλη λαμβάνουν υπόψη τα εξής:</w:t>
      </w:r>
    </w:p>
    <w:p>
      <w:pPr>
        <w:pStyle w:val="Point0"/>
        <w:rPr>
          <w:noProof/>
        </w:rPr>
      </w:pPr>
      <w:r>
        <w:rPr>
          <w:noProof/>
        </w:rPr>
        <w:t>α)</w:t>
      </w:r>
      <w:r>
        <w:rPr>
          <w:noProof/>
        </w:rPr>
        <w:tab/>
        <w:t>τα μέτρα που προβλέπονται στην [αναδιατύπωση της οδηγίας 2009/28/ΕΚ, όπως προτείνεται από το COM(2016) 767]·</w:t>
      </w:r>
    </w:p>
    <w:p>
      <w:pPr>
        <w:pStyle w:val="Point0"/>
        <w:rPr>
          <w:noProof/>
        </w:rPr>
      </w:pPr>
      <w:r>
        <w:rPr>
          <w:noProof/>
        </w:rPr>
        <w:t>β)</w:t>
      </w:r>
      <w:r>
        <w:rPr>
          <w:noProof/>
        </w:rPr>
        <w:tab/>
        <w:t xml:space="preserve">τα μέτρα που θεσπίστηκαν για την επίτευξη του στόχου ενεργειακής απόδοσης που θεσπίστηκε βάσει της οδηγίας 2012/27/ΕΕ· </w:t>
      </w:r>
    </w:p>
    <w:p>
      <w:pPr>
        <w:pStyle w:val="Point0"/>
        <w:rPr>
          <w:noProof/>
        </w:rPr>
      </w:pPr>
      <w:r>
        <w:rPr>
          <w:noProof/>
        </w:rPr>
        <w:t>γ)</w:t>
      </w:r>
      <w:r>
        <w:rPr>
          <w:noProof/>
        </w:rPr>
        <w:tab/>
        <w:t>άλλα μέτρα για την προώθηση των ανανεώσιμων πηγών ενέργειας στα κράτη μέλη και σε επίπεδο Ένωσης· και</w:t>
      </w:r>
    </w:p>
    <w:p>
      <w:pPr>
        <w:pStyle w:val="Point0"/>
        <w:rPr>
          <w:noProof/>
        </w:rPr>
      </w:pPr>
      <w:r>
        <w:rPr>
          <w:noProof/>
        </w:rPr>
        <w:t>δ)</w:t>
      </w:r>
      <w:r>
        <w:rPr>
          <w:noProof/>
        </w:rPr>
        <w:tab/>
        <w:t>τις συνθήκες που επηρεάζουν την ανάπτυξη των ανανεώσιμων πηγών ενέργειας, όπως:</w:t>
      </w:r>
    </w:p>
    <w:p>
      <w:pPr>
        <w:pStyle w:val="Point1"/>
        <w:rPr>
          <w:noProof/>
        </w:rPr>
      </w:pPr>
      <w:r>
        <w:rPr>
          <w:noProof/>
        </w:rPr>
        <w:t xml:space="preserve">i) </w:t>
      </w:r>
      <w:r>
        <w:rPr>
          <w:noProof/>
        </w:rPr>
        <w:tab/>
        <w:t>η δίκαιη κατανομή της ανάπτυξης στην Ευρωπαϊκή Ένωση·</w:t>
      </w:r>
    </w:p>
    <w:p>
      <w:pPr>
        <w:pStyle w:val="Point1"/>
        <w:rPr>
          <w:noProof/>
        </w:rPr>
      </w:pPr>
      <w:r>
        <w:rPr>
          <w:noProof/>
        </w:rPr>
        <w:t>ii)</w:t>
      </w:r>
      <w:r>
        <w:rPr>
          <w:noProof/>
        </w:rPr>
        <w:tab/>
        <w:t>το οικονομικό δυναμικό·</w:t>
      </w:r>
    </w:p>
    <w:p>
      <w:pPr>
        <w:pStyle w:val="Point1"/>
        <w:rPr>
          <w:noProof/>
        </w:rPr>
      </w:pPr>
      <w:r>
        <w:rPr>
          <w:noProof/>
        </w:rPr>
        <w:t>iii)</w:t>
      </w:r>
      <w:r>
        <w:rPr>
          <w:noProof/>
        </w:rPr>
        <w:tab/>
        <w:t>οι γεωγραφικοί και φυσικοί περιορισμοί, συμπεριλαμβανομένων των μη διασυνδεδεμένων περιοχών και περιφερειών· και</w:t>
      </w:r>
    </w:p>
    <w:p>
      <w:pPr>
        <w:pStyle w:val="Point1"/>
        <w:rPr>
          <w:noProof/>
        </w:rPr>
      </w:pPr>
      <w:r>
        <w:rPr>
          <w:noProof/>
        </w:rPr>
        <w:t>iv)</w:t>
      </w:r>
      <w:r>
        <w:rPr>
          <w:noProof/>
        </w:rPr>
        <w:tab/>
        <w:t>το επίπεδο ηλεκτρικής διασύνδεσης μεταξύ των κρατών μελών.</w:t>
      </w:r>
    </w:p>
    <w:p>
      <w:pPr>
        <w:rPr>
          <w:noProof/>
        </w:rPr>
      </w:pPr>
      <w:r>
        <w:rPr>
          <w:noProof/>
        </w:rPr>
        <w:t>2.</w:t>
      </w:r>
      <w:r>
        <w:rPr>
          <w:noProof/>
        </w:rPr>
        <w:tab/>
        <w:t>Τα κράτη μέλη διασφαλίζουν συλλογικά ότι το σύνολο των συνεισφορών τους όσον αφορά την κατανάλωση ενέργειας από ανανεώσιμες πηγές ανέρχεται σε τουλάχιστον 27 % στην ακαθάριστη τελική κατανάλωση ενέργειας σε επίπεδο Ένωσης το 2030.</w:t>
      </w:r>
    </w:p>
    <w:p>
      <w:pPr>
        <w:pStyle w:val="Titrearticle"/>
        <w:rPr>
          <w:i w:val="0"/>
          <w:noProof/>
        </w:rPr>
      </w:pPr>
      <w:r>
        <w:rPr>
          <w:noProof/>
        </w:rPr>
        <w:t>Άρθρο 6</w:t>
      </w:r>
      <w:r>
        <w:rPr>
          <w:noProof/>
        </w:rPr>
        <w:br/>
      </w:r>
      <w:r>
        <w:rPr>
          <w:b/>
          <w:i w:val="0"/>
          <w:noProof/>
        </w:rPr>
        <w:t>Διαδικασία καθορισμού της συνεισφοράς των κρατών μελών στον τομέα της ενεργειακής απόδοσης</w:t>
      </w:r>
    </w:p>
    <w:p>
      <w:pPr>
        <w:rPr>
          <w:noProof/>
        </w:rPr>
      </w:pPr>
      <w:r>
        <w:rPr>
          <w:noProof/>
        </w:rPr>
        <w:t>1.</w:t>
      </w:r>
      <w:r>
        <w:rPr>
          <w:noProof/>
        </w:rPr>
        <w:tab/>
        <w:t>Κατά τον καθορισμό της ενδεικτικής εθνικής συνεισφοράς τους ως προς την ενεργειακή απόδοση για το 2030 και το τελευταίο έτος της καλυπτόμενης περιόδου για τα ακόλουθα εθνικά σχέδια, σύμφωνα με το άρθρο 4 στοιχείο β) σημείο i), τα κράτη μέλη διασφαλίζουν ότι:</w:t>
      </w:r>
    </w:p>
    <w:p>
      <w:pPr>
        <w:pStyle w:val="Point0"/>
        <w:rPr>
          <w:noProof/>
        </w:rPr>
      </w:pPr>
      <w:r>
        <w:rPr>
          <w:noProof/>
        </w:rPr>
        <w:t>α)</w:t>
      </w:r>
      <w:r>
        <w:rPr>
          <w:noProof/>
        </w:rPr>
        <w:tab/>
        <w:t xml:space="preserve">η κατανάλωση ενέργειας της Ένωσης το 2020 δεν υπερβαίνει τα 1 483 εκατ. ΤΙΠ πρωτογενούς ενέργειας και τα 1 086 εκατ. ΤΙΠ τελικής ενέργειας και η κατανάλωση ενέργειας της Ένωσης το 2030 δεν υπερβαίνει τα [1 321] εκατ. ΤΙΠ πρωτογενούς ενέργειας και τα 987 εκατ. ΤΙΠ τελικής ενέργειας για την πρώτη δεκαετή περίοδο· </w:t>
      </w:r>
    </w:p>
    <w:p>
      <w:pPr>
        <w:pStyle w:val="Point0"/>
        <w:rPr>
          <w:noProof/>
        </w:rPr>
      </w:pPr>
      <w:r>
        <w:rPr>
          <w:noProof/>
        </w:rPr>
        <w:t>β)</w:t>
      </w:r>
      <w:r>
        <w:rPr>
          <w:noProof/>
        </w:rPr>
        <w:tab/>
        <w:t>επιτυγχάνεται ο δεσμευτικός στόχος της Ένωσης για το 2030 που ορίζεται στα άρθρα 1 και 3 της οδηγίας 2012/27/ΕΕ [όπως τροποποιείται από την πρόταση COM(2016)761].</w:t>
      </w:r>
    </w:p>
    <w:p>
      <w:pPr>
        <w:rPr>
          <w:noProof/>
        </w:rPr>
      </w:pPr>
      <w:r>
        <w:rPr>
          <w:noProof/>
        </w:rPr>
        <w:t>Επιπλέον, τα κράτη μέλη λαμβάνουν υπόψη:</w:t>
      </w:r>
    </w:p>
    <w:p>
      <w:pPr>
        <w:pStyle w:val="Point0"/>
        <w:rPr>
          <w:noProof/>
        </w:rPr>
      </w:pPr>
      <w:r>
        <w:rPr>
          <w:noProof/>
        </w:rPr>
        <w:t>α)</w:t>
      </w:r>
      <w:r>
        <w:rPr>
          <w:noProof/>
        </w:rPr>
        <w:tab/>
        <w:t>τα μέτρα που προβλέπονται στην οδηγία 2012/27/ΕΕ·</w:t>
      </w:r>
    </w:p>
    <w:p>
      <w:pPr>
        <w:pStyle w:val="Point0"/>
        <w:rPr>
          <w:noProof/>
        </w:rPr>
      </w:pPr>
      <w:r>
        <w:rPr>
          <w:noProof/>
        </w:rPr>
        <w:t>β)</w:t>
      </w:r>
      <w:r>
        <w:rPr>
          <w:noProof/>
        </w:rPr>
        <w:tab/>
        <w:t>άλλα μέτρα για την προώθηση της ενεργειακής απόδοσης στα κράτη μέλη και σε επίπεδο Ένωσης.</w:t>
      </w:r>
    </w:p>
    <w:p>
      <w:pPr>
        <w:rPr>
          <w:noProof/>
        </w:rPr>
      </w:pPr>
      <w:r>
        <w:rPr>
          <w:noProof/>
        </w:rPr>
        <w:t>2.</w:t>
      </w:r>
      <w:r>
        <w:rPr>
          <w:noProof/>
        </w:rPr>
        <w:tab/>
        <w:t>Κατά τον ορισμό της συνεισφοράς τους, όπως αναφέρεται στην παράγραφο 1, τα κράτη μέλη μπορούν να λάβουν υπόψη τις συνθήκες που επηρεάζουν την κατανάλωση πρωτογενούς και τελικής ενέργειας, όπως:</w:t>
      </w:r>
    </w:p>
    <w:p>
      <w:pPr>
        <w:pStyle w:val="Point0"/>
        <w:rPr>
          <w:noProof/>
        </w:rPr>
      </w:pPr>
      <w:r>
        <w:rPr>
          <w:noProof/>
        </w:rPr>
        <w:t>α)</w:t>
      </w:r>
      <w:r>
        <w:rPr>
          <w:noProof/>
        </w:rPr>
        <w:tab/>
        <w:t>τις εναπομένουσες οικονομικά αποδοτικές δυνατότητες εξοικονόμησης ενέργειας·</w:t>
      </w:r>
    </w:p>
    <w:p>
      <w:pPr>
        <w:pStyle w:val="Point0"/>
        <w:rPr>
          <w:noProof/>
        </w:rPr>
      </w:pPr>
      <w:r>
        <w:rPr>
          <w:noProof/>
        </w:rPr>
        <w:t>β)</w:t>
      </w:r>
      <w:r>
        <w:rPr>
          <w:noProof/>
        </w:rPr>
        <w:tab/>
        <w:t>την εξέλιξη και πρόγνωση του ακαθάριστου εγχώριου προϊόντος·</w:t>
      </w:r>
    </w:p>
    <w:p>
      <w:pPr>
        <w:pStyle w:val="Point0"/>
        <w:rPr>
          <w:noProof/>
        </w:rPr>
      </w:pPr>
      <w:r>
        <w:rPr>
          <w:noProof/>
        </w:rPr>
        <w:t>γ)</w:t>
      </w:r>
      <w:r>
        <w:rPr>
          <w:noProof/>
        </w:rPr>
        <w:tab/>
        <w:t>τις αλλαγές στις εισαγωγές και τις εξαγωγές ενέργειας·</w:t>
      </w:r>
    </w:p>
    <w:p>
      <w:pPr>
        <w:pStyle w:val="Point0"/>
        <w:rPr>
          <w:noProof/>
        </w:rPr>
      </w:pPr>
      <w:r>
        <w:rPr>
          <w:noProof/>
        </w:rPr>
        <w:t>δ)</w:t>
      </w:r>
      <w:r>
        <w:rPr>
          <w:noProof/>
        </w:rPr>
        <w:tab/>
        <w:t>την ανάπτυξη όλων των ανανεώσιμων πηγών ενέργειας, την πυρηνική ενέργεια, τη δέσμευση και αποθήκευση διοξειδίου του άνθρακα· και</w:t>
      </w:r>
    </w:p>
    <w:p>
      <w:pPr>
        <w:pStyle w:val="Point0"/>
        <w:rPr>
          <w:noProof/>
        </w:rPr>
      </w:pPr>
      <w:r>
        <w:rPr>
          <w:noProof/>
        </w:rPr>
        <w:t>ε)</w:t>
      </w:r>
      <w:r>
        <w:rPr>
          <w:noProof/>
        </w:rPr>
        <w:tab/>
        <w:t>την έγκαιρη δράση.</w:t>
      </w:r>
    </w:p>
    <w:p>
      <w:pPr>
        <w:pStyle w:val="Titrearticle"/>
        <w:rPr>
          <w:i w:val="0"/>
          <w:noProof/>
        </w:rPr>
      </w:pPr>
      <w:r>
        <w:rPr>
          <w:noProof/>
        </w:rPr>
        <w:t>Άρθρο 7</w:t>
      </w:r>
      <w:r>
        <w:rPr>
          <w:noProof/>
        </w:rPr>
        <w:br/>
      </w:r>
      <w:r>
        <w:rPr>
          <w:b/>
          <w:i w:val="0"/>
          <w:noProof/>
        </w:rPr>
        <w:t>Εθνικές πολιτικές και μέτρα για τις πέντε διαστάσεις της Ενεργειακής Ένωσης</w:t>
      </w:r>
    </w:p>
    <w:p>
      <w:pPr>
        <w:rPr>
          <w:noProof/>
          <w:szCs w:val="24"/>
        </w:rPr>
      </w:pPr>
      <w:r>
        <w:rPr>
          <w:noProof/>
        </w:rPr>
        <w:t xml:space="preserve">Τα κράτη μέλη περιγράφουν, σύμφωνα με το παράρτημα I, στο ενοποιημένο εθνικό σχέδιό τους για την ενέργεια και το κλίμα τις κύριες υπάρχουσες (εφαρμοζόμενες και θεσπισμένες) και προγραμματισμένες πολιτικές και μέτρα για την επίτευξη ειδικά των στόχων που ορίζονται στο εθνικό σχέδιο, συμπεριλαμβανομένων των μέτρων για τη διασφάλιση της περιφερειακής συνεργασίας και της κατάλληλης χρηματοδότησης σε εθνικό και περιφερειακό επίπεδο. </w:t>
      </w:r>
    </w:p>
    <w:p>
      <w:pPr>
        <w:pStyle w:val="Titrearticle"/>
        <w:rPr>
          <w:b/>
          <w:noProof/>
          <w:szCs w:val="24"/>
        </w:rPr>
      </w:pPr>
      <w:r>
        <w:rPr>
          <w:noProof/>
        </w:rPr>
        <w:t>Άρθρο 8</w:t>
      </w:r>
      <w:r>
        <w:rPr>
          <w:noProof/>
        </w:rPr>
        <w:br/>
      </w:r>
      <w:r>
        <w:rPr>
          <w:b/>
          <w:i w:val="0"/>
          <w:noProof/>
        </w:rPr>
        <w:t>Αναλυτική βάση των ενοποιημένων εθνικών σχεδίων για την ενέργεια και το κλίμα</w:t>
      </w:r>
    </w:p>
    <w:p>
      <w:pPr>
        <w:rPr>
          <w:noProof/>
          <w:szCs w:val="24"/>
        </w:rPr>
      </w:pPr>
      <w:r>
        <w:rPr>
          <w:noProof/>
        </w:rPr>
        <w:t>1.</w:t>
      </w:r>
      <w:r>
        <w:rPr>
          <w:noProof/>
        </w:rPr>
        <w:tab/>
        <w:t>Τα κράτη μέλη περιγράφουν, σύμφωνα με τη δομή και τον μορφότυπο που ορίζεται στο παράρτημα I, την τρέχουσα κατάσταση για καθεμία από τις πέντε διαστάσεις της Ενεργειακής Ένωσης, συμπεριλαμβανομένου του ενεργειακού συστήματος και των εκπομπών και απορροφήσεων αερίων του θερμοκηπίου κατά την υποβολή του εθνικού σχεδίου ή βάσει των τελευταίων διαθέσιμων πληροφοριών. Τα κράτη μέλη ορίζουν και περιγράφουν, επίσης, τις προβλέψεις για τις πέντε διαστάσεις της Ενεργειακής Ένωσης για την πρώτη δεκαετή περίοδο και τουλάχιστον έως το 2040 (συμπεριλαμβανομένου του 2030) που αναμένεται να προκύψουν από τις υπάρχουσες (εφαρμοζόμενες και θεσπισμένες) πολιτικές και μέτρα.</w:t>
      </w:r>
    </w:p>
    <w:p>
      <w:pPr>
        <w:rPr>
          <w:noProof/>
          <w:szCs w:val="24"/>
        </w:rPr>
      </w:pPr>
      <w:r>
        <w:rPr>
          <w:noProof/>
        </w:rPr>
        <w:t>2.</w:t>
      </w:r>
      <w:r>
        <w:rPr>
          <w:noProof/>
        </w:rPr>
        <w:tab/>
        <w:t>Τα κράτη μέλη περιγράφουν στο ενοποιημένο εθνικό σχέδιο για την ενέργεια και το κλίμα την εκτίμησή τους σε εθνικό και, κατά περίπτωση, σε περιφερειακό επίπεδο ως προς:</w:t>
      </w:r>
    </w:p>
    <w:p>
      <w:pPr>
        <w:pStyle w:val="Point0"/>
        <w:rPr>
          <w:noProof/>
        </w:rPr>
      </w:pPr>
      <w:r>
        <w:rPr>
          <w:noProof/>
        </w:rPr>
        <w:t>α)</w:t>
      </w:r>
      <w:r>
        <w:rPr>
          <w:noProof/>
        </w:rPr>
        <w:tab/>
        <w:t>τις επιπτώσεις στην ανάπτυξη του ενεργειακού συστήματος και τις εκπομπές και απορροφήσεις αερίων του θερμοκηπίου για την πρώτη δεκαετή περίοδο τουλάχιστον έως το 2040 (συμπεριλαμβανομένου του 2030) βάσει των προγραμματισμένων πολιτικών και μέτρων, συμπεριλαμβανομένης αντιπαραβολής με τις προβλέψεις βάσει των υπαρχουσών (εφαρμοζόμενων και θεσπισμένων) πολιτικών και μέτρων της παραγράφου 1·</w:t>
      </w:r>
    </w:p>
    <w:p>
      <w:pPr>
        <w:pStyle w:val="Point0"/>
        <w:rPr>
          <w:noProof/>
        </w:rPr>
      </w:pPr>
      <w:r>
        <w:rPr>
          <w:noProof/>
        </w:rPr>
        <w:t>β)</w:t>
      </w:r>
      <w:r>
        <w:rPr>
          <w:noProof/>
        </w:rPr>
        <w:tab/>
        <w:t>τις επιπτώσεις των προγραμματισμένων πολιτικών και μέτρων του άρθρου 7, που ορίζονται περαιτέρω στο παράρτημα I, σε μακροοικονομικό και περιβαλλοντικό επίπεδο, επίπεδο δεξιοτήτων και κοινωνικό επίπεδο για την πρώτη δεκαετή περίοδο και τουλάχιστον έως το 2030, συμπεριλαμβανομένης αντιπαραβολής με τις προβλέψεις των υπαρχουσών (εφαρμοζόμενων και θεσπισμένων) πολιτικών και μέτρων της παραγράφου 1·</w:t>
      </w:r>
    </w:p>
    <w:p>
      <w:pPr>
        <w:pStyle w:val="Point0"/>
        <w:rPr>
          <w:noProof/>
        </w:rPr>
      </w:pPr>
      <w:r>
        <w:rPr>
          <w:noProof/>
        </w:rPr>
        <w:t>γ)</w:t>
      </w:r>
      <w:r>
        <w:rPr>
          <w:noProof/>
        </w:rPr>
        <w:tab/>
        <w:t>αξιολόγηση της αλληλεπίδρασης μεταξύ των υπαρχουσών (εφαρμοζόμενων και θεσπισμένων) και των προγραμματισμένων πολιτικών και μέτρων στο πλαίσιο μιας διάστασης πολιτικής και μεταξύ των υπαρχουσών (εφαρμοζόμενων και θεσπισμένων) και των προγραμματισμένων πολιτικών και μέτρων διαφορετικών διαστάσεων για την πρώτη δεκαετή περίοδο και τουλάχιστον έως το 2030. Οι προβλέψεις σε σχέση με την παροχή, τις υποδομές και την ενοποίηση της αγοράς συνδέονται με αυστηρά σενάρια ενεργειακής απόδοσης.</w:t>
      </w:r>
    </w:p>
    <w:p>
      <w:pPr>
        <w:pStyle w:val="Titrearticle"/>
        <w:rPr>
          <w:noProof/>
        </w:rPr>
      </w:pPr>
      <w:r>
        <w:rPr>
          <w:noProof/>
        </w:rPr>
        <w:t>Άρθρο 9</w:t>
      </w:r>
      <w:r>
        <w:rPr>
          <w:noProof/>
        </w:rPr>
        <w:br/>
      </w:r>
      <w:r>
        <w:rPr>
          <w:b/>
          <w:i w:val="0"/>
          <w:noProof/>
        </w:rPr>
        <w:t>Προσχέδια ενοποιημένων εθνικών σχεδίων για την ενέργεια και το κλίμα</w:t>
      </w:r>
    </w:p>
    <w:p>
      <w:pPr>
        <w:rPr>
          <w:noProof/>
        </w:rPr>
      </w:pPr>
      <w:r>
        <w:rPr>
          <w:noProof/>
        </w:rPr>
        <w:t>1.</w:t>
      </w:r>
      <w:r>
        <w:rPr>
          <w:noProof/>
        </w:rPr>
        <w:tab/>
        <w:t>Έως την 1</w:t>
      </w:r>
      <w:r>
        <w:rPr>
          <w:noProof/>
          <w:vertAlign w:val="superscript"/>
        </w:rPr>
        <w:t>η</w:t>
      </w:r>
      <w:r>
        <w:rPr>
          <w:noProof/>
        </w:rPr>
        <w:t xml:space="preserve"> Ιανουαρίου 2018 και ανά δέκα έτη εφεξής τα κράτη μέλη καταρτίζουν και υποβάλλουν στην Επιτροπή προσχέδιο του ενοποιημένου εθνικού σχεδίου για την ενέργεια και το κλίμα που αναφέρεται στο άρθρο 3 παράγραφος 1.</w:t>
      </w:r>
    </w:p>
    <w:p>
      <w:pPr>
        <w:rPr>
          <w:noProof/>
        </w:rPr>
      </w:pPr>
      <w:r>
        <w:rPr>
          <w:noProof/>
        </w:rPr>
        <w:t>2.</w:t>
      </w:r>
      <w:r>
        <w:rPr>
          <w:noProof/>
        </w:rPr>
        <w:tab/>
        <w:t>Η Επιτροπή δύναται να εκδίδει συστάσεις για τα προσχέδια προς τα κράτη μέλη σύμφωνα με το άρθρο 28. Οι συστάσεις αυτές ορίζουν ειδικά:</w:t>
      </w:r>
    </w:p>
    <w:p>
      <w:pPr>
        <w:pStyle w:val="Point0"/>
        <w:rPr>
          <w:noProof/>
        </w:rPr>
      </w:pPr>
      <w:r>
        <w:rPr>
          <w:noProof/>
        </w:rPr>
        <w:t>α)</w:t>
      </w:r>
      <w:r>
        <w:rPr>
          <w:noProof/>
        </w:rPr>
        <w:tab/>
        <w:t>το επίπεδο φιλοδοξίας των στόχων, επιδιώξεων και συνεισφορών ενόψει της συλλογικής επίτευξης των στόχων της Ενεργειακής Ένωσης και ιδίως των στόχων της Ένωσης για το 2030 όσον αφορά τις ανανεώσιμες πηγές ενέργειας και την ενεργειακή απόδοση·</w:t>
      </w:r>
    </w:p>
    <w:p>
      <w:pPr>
        <w:pStyle w:val="Point0"/>
        <w:rPr>
          <w:noProof/>
        </w:rPr>
      </w:pPr>
      <w:r>
        <w:rPr>
          <w:noProof/>
        </w:rPr>
        <w:t>β)</w:t>
      </w:r>
      <w:r>
        <w:rPr>
          <w:noProof/>
        </w:rPr>
        <w:tab/>
        <w:t>τις πολιτικές και τα μέτρα σε σχέση με τους στόχους σε επίπεδο κράτους μέλους και ένωσης, όπως και άλλες πολιτικές και μέτρα με ενδεχόμενη διασυνοριακή συνάφεια·</w:t>
      </w:r>
    </w:p>
    <w:p>
      <w:pPr>
        <w:pStyle w:val="Point0"/>
        <w:rPr>
          <w:noProof/>
        </w:rPr>
      </w:pPr>
      <w:r>
        <w:rPr>
          <w:noProof/>
        </w:rPr>
        <w:t>γ)</w:t>
      </w:r>
      <w:r>
        <w:rPr>
          <w:noProof/>
        </w:rPr>
        <w:tab/>
        <w:t>τις αλληλεπιδράσεις και τη συνέπεια των υπαρχουσών (εφαρμοζόμενων και θεσπισμένων) και των προγραμματισμένων πολιτικών και μέτρων που περιλαμβάνονται στο ενοποιημένο εθνικό σχέδιο για την ενέργεια και το κλίμα στο πλαίσιο μίας διάστασης και μεταξύ διαφορετικών διαστάσεων της Ενεργειακής Ένωσης.</w:t>
      </w:r>
    </w:p>
    <w:p>
      <w:pPr>
        <w:rPr>
          <w:noProof/>
        </w:rPr>
      </w:pPr>
      <w:r>
        <w:rPr>
          <w:noProof/>
        </w:rPr>
        <w:t>3.</w:t>
      </w:r>
      <w:r>
        <w:rPr>
          <w:noProof/>
        </w:rPr>
        <w:tab/>
        <w:t>Τα κράτη μέλη δίνουν ιδιαίτερη προσοχή στις συστάσεις της Επιτροπής κατά την οριστικοποίηση των ενοποιημένων εθνικών σχεδίων τους για την ενέργεια και το κλίμα.</w:t>
      </w:r>
    </w:p>
    <w:p>
      <w:pPr>
        <w:pStyle w:val="Titrearticle"/>
        <w:rPr>
          <w:noProof/>
        </w:rPr>
      </w:pPr>
      <w:r>
        <w:rPr>
          <w:noProof/>
        </w:rPr>
        <w:t>Άρθρο 10</w:t>
      </w:r>
      <w:r>
        <w:rPr>
          <w:noProof/>
        </w:rPr>
        <w:br/>
      </w:r>
      <w:r>
        <w:rPr>
          <w:b/>
          <w:i w:val="0"/>
          <w:noProof/>
        </w:rPr>
        <w:t>Δημόσια διαβούλευση</w:t>
      </w:r>
      <w:r>
        <w:rPr>
          <w:b/>
          <w:noProof/>
        </w:rPr>
        <w:t xml:space="preserve"> </w:t>
      </w:r>
    </w:p>
    <w:p>
      <w:pPr>
        <w:rPr>
          <w:noProof/>
          <w:szCs w:val="24"/>
        </w:rPr>
      </w:pPr>
      <w:r>
        <w:rPr>
          <w:noProof/>
        </w:rPr>
        <w:t>Με την επιφύλαξη άλλων απαιτήσεων του ενωσιακού δικαίου, τα κράτη μέλη διασφαλίζουν στο κοινό την έγκαιρη και αποτελεσματική παροχή της δυνατότητας να συμμετέχει στην κατάρτιση των προσχεδίων του άρθρου 9 του παρόντος κανονισμού και επισυνάπτουν κατά την υποβολή του προσχεδίου του ενοποιημένου εθνικού σχεδίου για την ενέργεια και το κλίμα στην Επιτροπή σύνοψη των απόψεων του κοινού. Όσον αφορά τις διατάξεις της οδηγίας 2001/42/ΕΚ, οι διαβουλεύσεις που διενεργούνται σύμφωνα με την εν λόγω οδηγία θεωρείται ότι ικανοποιούν, επίσης, τις απαιτήσεις δημόσιας διαβούλευσης του παρόντος κανονισμού.</w:t>
      </w:r>
    </w:p>
    <w:p>
      <w:pPr>
        <w:pStyle w:val="Titrearticle"/>
        <w:rPr>
          <w:noProof/>
        </w:rPr>
      </w:pPr>
      <w:r>
        <w:rPr>
          <w:noProof/>
        </w:rPr>
        <w:t>Άρθρο 11</w:t>
      </w:r>
      <w:r>
        <w:rPr>
          <w:noProof/>
        </w:rPr>
        <w:br/>
      </w:r>
      <w:r>
        <w:rPr>
          <w:b/>
          <w:i w:val="0"/>
          <w:noProof/>
        </w:rPr>
        <w:t>Περιφερειακή συνεργασία</w:t>
      </w:r>
    </w:p>
    <w:p>
      <w:pPr>
        <w:rPr>
          <w:noProof/>
        </w:rPr>
      </w:pPr>
      <w:r>
        <w:rPr>
          <w:noProof/>
        </w:rPr>
        <w:t>1.</w:t>
      </w:r>
      <w:r>
        <w:rPr>
          <w:noProof/>
        </w:rPr>
        <w:tab/>
        <w:t>Τα κράτη μέλη συνεργάζονται μεταξύ τους σε περιφερειακό επίπεδο για την αποτελεσματική επίτευξη των επιδιώξεων, των στόχων και των συνεισφορών που ορίζονται στα ενοποιημένα εθνικά σχέδια για την ενέργεια και το κλίμα.</w:t>
      </w:r>
    </w:p>
    <w:p>
      <w:pPr>
        <w:rPr>
          <w:noProof/>
        </w:rPr>
      </w:pPr>
      <w:r>
        <w:rPr>
          <w:noProof/>
        </w:rPr>
        <w:t>2.</w:t>
      </w:r>
      <w:r>
        <w:rPr>
          <w:noProof/>
        </w:rPr>
        <w:tab/>
        <w:t>Αρκετά πριν από την υποβολή του προσχεδίου του ενοποιημένου εθνικού σχεδίου για την ενέργεια και το κλίμα στην Επιτροπή κατά το άρθρο 9 παράγραφος 1, τα κράτη μέληπροσδιορίζουν τις δυνατότητες περιφερειακής συνεργασίας και διαβουλεύονται με τα όμορα κράτη μέλη και άλλα κράτη μέλη που εκφράζουν ενδιαφέρον. Τα κράτη μέλη ορίζουν στο προσχέδιο του ενοποιημένου εθνικού σχεδίου για την ενέργεια και το κλίμα τα αποτελέσματα της εν λόγω περιφερειακής διαβούλευσης, συμπεριλαμβανομένου, κατά περίπτωση, του τρόπου αξιοποίησης των σχολίων.</w:t>
      </w:r>
    </w:p>
    <w:p>
      <w:pPr>
        <w:rPr>
          <w:noProof/>
        </w:rPr>
      </w:pPr>
      <w:r>
        <w:rPr>
          <w:noProof/>
        </w:rPr>
        <w:t>3.</w:t>
      </w:r>
      <w:r>
        <w:rPr>
          <w:noProof/>
        </w:rPr>
        <w:tab/>
        <w:t>Η Επιτροπή διευκολύνει τη συνεργασία και τη διαβούλευση μεταξύ των κρατών μελών σε σχέση με τα προσχέδια που υποβάλλονται σε αυτήν σύμφωνα με το άρθρο 9 ενόψει της οριστικοποίησής τους.</w:t>
      </w:r>
    </w:p>
    <w:p>
      <w:pPr>
        <w:rPr>
          <w:noProof/>
        </w:rPr>
      </w:pPr>
      <w:r>
        <w:rPr>
          <w:noProof/>
        </w:rPr>
        <w:t>4.</w:t>
      </w:r>
      <w:r>
        <w:rPr>
          <w:noProof/>
        </w:rPr>
        <w:tab/>
        <w:t>Τα κράτη μέλη λαμβάνουν υπόψη τα σχόλια των άλλων κρατών μελών, σύμφωνα με τις παραγράφους 2 και 3, στο τελικό ενοποιημένο εθνικό τους σχέδιο για την ενέργεια και το κλίμα και επεξηγούν τον τρόπο αξιοποίησης των εν λόγω σχολίων.</w:t>
      </w:r>
    </w:p>
    <w:p>
      <w:pPr>
        <w:rPr>
          <w:noProof/>
        </w:rPr>
      </w:pPr>
      <w:r>
        <w:rPr>
          <w:noProof/>
        </w:rPr>
        <w:t>5.</w:t>
      </w:r>
      <w:r>
        <w:rPr>
          <w:noProof/>
        </w:rPr>
        <w:tab/>
        <w:t>Για τους σκοπούς που ορίζονται στην παράγραφο 1, τα κράτη μέλη συνεχίζουν να συνεργάζονται σε περιφερειακό επίπεδο κατά την υλοποίηση των πολιτικών και των μέτρων των σχεδίων τους.</w:t>
      </w:r>
    </w:p>
    <w:p>
      <w:pPr>
        <w:pStyle w:val="Titrearticle"/>
        <w:rPr>
          <w:noProof/>
        </w:rPr>
      </w:pPr>
      <w:r>
        <w:rPr>
          <w:noProof/>
        </w:rPr>
        <w:t>Άρθρο 12</w:t>
      </w:r>
      <w:r>
        <w:rPr>
          <w:noProof/>
        </w:rPr>
        <w:br/>
      </w:r>
      <w:r>
        <w:rPr>
          <w:b/>
          <w:i w:val="0"/>
          <w:noProof/>
        </w:rPr>
        <w:t>Αξιολόγηση των ενοποιημένων εθνικών σχεδίων για την ενέργεια και το κλίμα</w:t>
      </w:r>
    </w:p>
    <w:p>
      <w:pPr>
        <w:rPr>
          <w:noProof/>
        </w:rPr>
      </w:pPr>
      <w:r>
        <w:rPr>
          <w:noProof/>
        </w:rPr>
        <w:t>Η Επιτροπή αξιολογεί τα ενοποιημένα εθνικά σχέδια για την ενέργεια και το κλίμα και τις κοινοποιηθείσες ενημερώσεις τους σύμφωνα με τα άρθρα 3 και 13. Αξιολογεί ειδικά εάν:</w:t>
      </w:r>
    </w:p>
    <w:p>
      <w:pPr>
        <w:pStyle w:val="Point0"/>
        <w:rPr>
          <w:noProof/>
        </w:rPr>
      </w:pPr>
      <w:r>
        <w:rPr>
          <w:noProof/>
        </w:rPr>
        <w:t>α)</w:t>
      </w:r>
      <w:r>
        <w:rPr>
          <w:noProof/>
        </w:rPr>
        <w:tab/>
        <w:t>οι επιδιώξεις, οι στόχοι και οι συνεισφορές επαρκούν για τη συλλογική επίτευξη των στόχων της Ενεργειακής Ένωσης και, για την πρώτη δεκαετή περίοδο, ειδικά των στόχων του πλαισίου για την ενέργεια και το κλίμα για το 2030 σύμφωνα με το άρθρο 25·</w:t>
      </w:r>
    </w:p>
    <w:p>
      <w:pPr>
        <w:pStyle w:val="Point0"/>
        <w:rPr>
          <w:noProof/>
        </w:rPr>
      </w:pPr>
      <w:r>
        <w:rPr>
          <w:noProof/>
        </w:rPr>
        <w:t>β)</w:t>
      </w:r>
      <w:r>
        <w:rPr>
          <w:noProof/>
        </w:rPr>
        <w:tab/>
        <w:t>τα σχέδια συμμορφώνονται με τις απαιτήσεις των άρθρων 3 έως 11 και τις συστάσεις της Επιτροπής που εκδίδονται σύμφωνα με το άρθρο 28.</w:t>
      </w:r>
    </w:p>
    <w:p>
      <w:pPr>
        <w:pStyle w:val="Titrearticle"/>
        <w:rPr>
          <w:noProof/>
        </w:rPr>
      </w:pPr>
      <w:r>
        <w:rPr>
          <w:noProof/>
        </w:rPr>
        <w:t>Άρθρο 13</w:t>
      </w:r>
      <w:r>
        <w:rPr>
          <w:noProof/>
        </w:rPr>
        <w:br/>
      </w:r>
      <w:r>
        <w:rPr>
          <w:b/>
          <w:i w:val="0"/>
          <w:noProof/>
        </w:rPr>
        <w:t>Ενημέρωση των ενοποιημένων εθνικών σχεδίων για την ενέργεια και το κλίμα</w:t>
      </w:r>
    </w:p>
    <w:p>
      <w:pPr>
        <w:rPr>
          <w:noProof/>
        </w:rPr>
      </w:pPr>
      <w:r>
        <w:rPr>
          <w:noProof/>
        </w:rPr>
        <w:t>1.</w:t>
      </w:r>
      <w:r>
        <w:rPr>
          <w:noProof/>
        </w:rPr>
        <w:tab/>
        <w:t>Έως την 1</w:t>
      </w:r>
      <w:r>
        <w:rPr>
          <w:noProof/>
          <w:vertAlign w:val="superscript"/>
        </w:rPr>
        <w:t>η</w:t>
      </w:r>
      <w:r>
        <w:rPr>
          <w:noProof/>
        </w:rPr>
        <w:t xml:space="preserve"> Ιανουαρίου 2023 και ανά 10 έτη εφεξής, τα κράτη μέλη υποβάλλουν στην Επιτροπή σχέδιο ενημέρωσης του τελευταίου κοινοποιηθέντος ενοποιημένου εθνικού σχεδίου για την ενέργεια και το κλίμα του άρθρου 3 ή επιβεβαιώνουν στην Επιτροπή ότι το σχέδιο παραμένει σε ισχύ.</w:t>
      </w:r>
    </w:p>
    <w:p>
      <w:pPr>
        <w:rPr>
          <w:noProof/>
        </w:rPr>
      </w:pPr>
      <w:r>
        <w:rPr>
          <w:noProof/>
        </w:rPr>
        <w:t>2.</w:t>
      </w:r>
      <w:r>
        <w:rPr>
          <w:noProof/>
        </w:rPr>
        <w:tab/>
        <w:t>Έως την 1</w:t>
      </w:r>
      <w:r>
        <w:rPr>
          <w:noProof/>
          <w:vertAlign w:val="superscript"/>
        </w:rPr>
        <w:t>η</w:t>
      </w:r>
      <w:r>
        <w:rPr>
          <w:noProof/>
        </w:rPr>
        <w:t xml:space="preserve"> Ιανουαρίου 2024 και ανά 10 έτη εφεξής, τα κράτη μέλη υποβάλλουν στην Επιτροπή ενημέρωση του τελευταίου κοινοποιηθέντος ενοποιημένου εθνικού σχεδίου για την ενέργεια και το κλίμα του άρθρου 3, εκτός εάν έχουν επιβεβαιώσει στην Επιτροπή ότι το σχέδιο παραμένει σε ισχύ σύμφωνα με την παράγραφο 1.</w:t>
      </w:r>
    </w:p>
    <w:p>
      <w:pPr>
        <w:rPr>
          <w:noProof/>
        </w:rPr>
      </w:pPr>
      <w:r>
        <w:rPr>
          <w:noProof/>
        </w:rPr>
        <w:t>3.</w:t>
      </w:r>
      <w:r>
        <w:rPr>
          <w:noProof/>
        </w:rPr>
        <w:tab/>
        <w:t>Τα κράτη μέλη τροποποιούν τις επιδιώξεις, τους στόχους και τις συνεισφορές που καθορίζονται στην επικαιροποίηση που αναφέρεται στην παράγραφο 2 μόνο για να αποτυπώσουν αυξημένη φιλοδοξίας σε σύγκριση με τις επιδιώξεις, τους στόχους και τις συνεισφορές που καθορίζονται στο τελευταίο κοινοποιημένο ενοποιημένο εθνικό σχέδιο για την ενέργεια και το κλίμα.</w:t>
      </w:r>
    </w:p>
    <w:p>
      <w:pPr>
        <w:rPr>
          <w:noProof/>
        </w:rPr>
      </w:pPr>
      <w:r>
        <w:rPr>
          <w:noProof/>
        </w:rPr>
        <w:t>4.</w:t>
      </w:r>
      <w:r>
        <w:rPr>
          <w:noProof/>
        </w:rPr>
        <w:tab/>
        <w:t>Τα κράτη μέλη, στο ενημερωμένο σχέδιο, επιδιώκουν τον μετριασμό των ενδεχόμενων αρνητικών περιβαλλοντικών επιπτώσεων που καθίστανται εμφανή στην ενοποιημένη έκθεση σύμφωνα με τα άρθρα 15 έως 22.</w:t>
      </w:r>
    </w:p>
    <w:p>
      <w:pPr>
        <w:rPr>
          <w:noProof/>
        </w:rPr>
      </w:pPr>
      <w:r>
        <w:rPr>
          <w:noProof/>
        </w:rPr>
        <w:t>5.</w:t>
      </w:r>
      <w:r>
        <w:rPr>
          <w:noProof/>
        </w:rPr>
        <w:tab/>
        <w:t xml:space="preserve">Τα κράτη μέλη, κατά την κατάρτιση της ενημέρωσης που ορίζεται στην παράγραφο 2 του παρόντος άρθρου, λαμβάνουν υπόψη τις τελευταίες ειδικές ανά χώρα συστάσεις που εκδίδονται στο πλαίσιο του Ευρωπαϊκού Εξαμήνου. </w:t>
      </w:r>
    </w:p>
    <w:p>
      <w:pPr>
        <w:rPr>
          <w:noProof/>
        </w:rPr>
      </w:pPr>
      <w:r>
        <w:rPr>
          <w:noProof/>
        </w:rPr>
        <w:t>6.</w:t>
      </w:r>
      <w:r>
        <w:rPr>
          <w:noProof/>
        </w:rPr>
        <w:tab/>
        <w:t xml:space="preserve">Οι διαδικασίες που ορίζονται στο άρθρο 9 παράγραφος 2 και το άρθρο 11 εφαρμόζονται κατά την κατάρτιση και την αξιολόγηση των ενημερωμένων ενοποιημένων εθνικών σχεδίων για την ενέργεια και το κλίμα. </w:t>
      </w:r>
    </w:p>
    <w:p>
      <w:pPr>
        <w:pStyle w:val="PartTitle"/>
        <w:rPr>
          <w:noProof/>
        </w:rPr>
      </w:pPr>
      <w:r>
        <w:rPr>
          <w:noProof/>
        </w:rPr>
        <w:t>ΚΕΦΑΛΑΙΟ 3</w:t>
      </w:r>
      <w:r>
        <w:rPr>
          <w:noProof/>
        </w:rPr>
        <w:br/>
        <w:t>ΜΑΚΡΟΠΡΟΘΕΣΜΕΣ ΣΤΡΑΤΗΓΙΚΕΣ ΧΑΜΗΛΩΝ ΕΚΠΟΜΠΩΝ</w:t>
      </w:r>
    </w:p>
    <w:p>
      <w:pPr>
        <w:pStyle w:val="Titrearticle"/>
        <w:rPr>
          <w:noProof/>
        </w:rPr>
      </w:pPr>
      <w:r>
        <w:rPr>
          <w:noProof/>
        </w:rPr>
        <w:t>Άρθρο 14</w:t>
      </w:r>
      <w:r>
        <w:rPr>
          <w:noProof/>
        </w:rPr>
        <w:br/>
      </w:r>
      <w:r>
        <w:rPr>
          <w:b/>
          <w:i w:val="0"/>
          <w:noProof/>
        </w:rPr>
        <w:t xml:space="preserve">Μακροπρόθεσμες στρατηγικές χαμηλών εκπομπών </w:t>
      </w:r>
    </w:p>
    <w:p>
      <w:pPr>
        <w:rPr>
          <w:noProof/>
          <w:szCs w:val="24"/>
        </w:rPr>
      </w:pPr>
      <w:r>
        <w:rPr>
          <w:noProof/>
        </w:rPr>
        <w:t>1.</w:t>
      </w:r>
      <w:r>
        <w:rPr>
          <w:noProof/>
        </w:rPr>
        <w:tab/>
        <w:t>Έως την 1</w:t>
      </w:r>
      <w:r>
        <w:rPr>
          <w:noProof/>
          <w:vertAlign w:val="superscript"/>
        </w:rPr>
        <w:t>η</w:t>
      </w:r>
      <w:r>
        <w:rPr>
          <w:noProof/>
        </w:rPr>
        <w:t xml:space="preserve"> Ιανουαρίου 2020 και ανά 10 έτη εφεξής, τα κράτη μέλη καταρτίζουν και υποβάλλουν στην Επιτροπή εκθέσεις σχετικά με τις μακροπρόθεσμες στρατηγικές χαμηλών εκπομπών τους με προοπτική 50 ετών, ώστε να συμβάλουν:</w:t>
      </w:r>
    </w:p>
    <w:p>
      <w:pPr>
        <w:pStyle w:val="Point0"/>
        <w:rPr>
          <w:noProof/>
        </w:rPr>
      </w:pPr>
      <w:r>
        <w:rPr>
          <w:noProof/>
        </w:rPr>
        <w:t>α)</w:t>
      </w:r>
      <w:r>
        <w:rPr>
          <w:noProof/>
        </w:rPr>
        <w:tab/>
        <w:t>στην υλοποίηση των δεσμεύσεων της Ένωσης και των κρατών μελών βάσει της UNFCCC και της συμφωνίας του Παρισιού για μείωση των ανθρωπογενών εκπομπών αερίων του θερμοκηπίου και ενίσχυση των απορροφήσεων από καταβόθρες·</w:t>
      </w:r>
    </w:p>
    <w:p>
      <w:pPr>
        <w:pStyle w:val="Point0"/>
        <w:rPr>
          <w:noProof/>
        </w:rPr>
      </w:pPr>
      <w:r>
        <w:rPr>
          <w:noProof/>
        </w:rPr>
        <w:t>β)</w:t>
      </w:r>
      <w:r>
        <w:rPr>
          <w:noProof/>
        </w:rPr>
        <w:tab/>
        <w:t xml:space="preserve">στην υλοποίηση του στόχου συγκράτησης της αύξησης της μέσης θερμοκρασίας του πλανήτη στους 2 °C πάνω από τα προβιομηχανικά επίπεδα και στην προσπάθεια περιορισμού της αύξησης της θερμοκρασίας σε 1,5 °C πάνω από τα προβιομηχανικά επίπεδα· </w:t>
      </w:r>
    </w:p>
    <w:p>
      <w:pPr>
        <w:pStyle w:val="Point0"/>
        <w:rPr>
          <w:noProof/>
        </w:rPr>
      </w:pPr>
      <w:r>
        <w:rPr>
          <w:noProof/>
        </w:rPr>
        <w:t>γ)</w:t>
      </w:r>
      <w:r>
        <w:rPr>
          <w:noProof/>
        </w:rPr>
        <w:tab/>
        <w:t xml:space="preserve">στην επίτευξη μακροπρόθεσμων μειώσεων στις εκπομπές αερίων του θερμοκηπίου και την ενίσχυση των απορροφήσεων από καταβόθρες σε όλους τους τομείς σε συμφωνία με τον στόχο της Ένωσης, στο πλαίσιο των απαραίτητων μειώσεων κατά την IPCC, από τις αναπτυγμένες χώρες ως ομάδα για τη μείωση των εκπομπών κατά 80 έως 95 % έως το 2050 σε σχέση με τα επίπεδα του 1990 με οικονομικά αποδοτικό τρόπο. </w:t>
      </w:r>
    </w:p>
    <w:p>
      <w:pPr>
        <w:rPr>
          <w:noProof/>
          <w:szCs w:val="24"/>
        </w:rPr>
      </w:pPr>
      <w:r>
        <w:rPr>
          <w:noProof/>
        </w:rPr>
        <w:t>2.</w:t>
      </w:r>
      <w:r>
        <w:rPr>
          <w:noProof/>
        </w:rPr>
        <w:tab/>
        <w:t>Οι μακροπρόθεσμες στρατηγικές χαμηλών εκπομπών καλύπτουν:</w:t>
      </w:r>
    </w:p>
    <w:p>
      <w:pPr>
        <w:pStyle w:val="Point0"/>
        <w:rPr>
          <w:noProof/>
        </w:rPr>
      </w:pPr>
      <w:r>
        <w:rPr>
          <w:noProof/>
        </w:rPr>
        <w:t>α)</w:t>
      </w:r>
      <w:r>
        <w:rPr>
          <w:noProof/>
        </w:rPr>
        <w:tab/>
        <w:t>τις συνολικές μειώσεις εκπομπών αερίων του θερμοκηπίου και τις ενισχύσεις των απορροφήσεων από καταβόθρες·</w:t>
      </w:r>
    </w:p>
    <w:p>
      <w:pPr>
        <w:pStyle w:val="Point0"/>
        <w:rPr>
          <w:noProof/>
          <w:szCs w:val="24"/>
        </w:rPr>
      </w:pPr>
      <w:r>
        <w:rPr>
          <w:noProof/>
        </w:rPr>
        <w:t>β)</w:t>
      </w:r>
      <w:r>
        <w:rPr>
          <w:noProof/>
        </w:rPr>
        <w:tab/>
        <w:t xml:space="preserve">τις μειώσεις εκπομπών και τις ενισχύσεις απορροφήσεων στους επιμέρους τομείς, συμπεριλαμβανομένης της ηλεκτρικής ενέργειας, τη βιομηχανίας, των μεταφορών, του κτιριακού τομέα (οικιστικού και τριτογενούς), του αγροτικού τομέα και της χρήσης γης, αλλαγής χρήσης γης και δασοκομίας (LULUCF)· </w:t>
      </w:r>
    </w:p>
    <w:p>
      <w:pPr>
        <w:pStyle w:val="Point0"/>
        <w:rPr>
          <w:noProof/>
          <w:szCs w:val="24"/>
        </w:rPr>
      </w:pPr>
      <w:r>
        <w:rPr>
          <w:noProof/>
        </w:rPr>
        <w:t>γ)</w:t>
      </w:r>
      <w:r>
        <w:rPr>
          <w:noProof/>
        </w:rPr>
        <w:tab/>
        <w:t>την αναμενόμενη πρόοδο σε σχέση με τη μετάβαση σε μια οικονομία χαμηλών εκπομπών αερίων του θερμοκηπίου, συμπεριλαμβανομένης της έντασης αερίων του θερμοκηπίου, της έντασης CO2 του ακαθάριστου εγχώριου προϊόντος και των στρατηγικών για σχετική έρευνα, ανάπτυξη και καινοτομία·</w:t>
      </w:r>
    </w:p>
    <w:p>
      <w:pPr>
        <w:pStyle w:val="Point0"/>
        <w:rPr>
          <w:noProof/>
          <w:szCs w:val="24"/>
        </w:rPr>
      </w:pPr>
      <w:r>
        <w:rPr>
          <w:noProof/>
        </w:rPr>
        <w:t>δ)</w:t>
      </w:r>
      <w:r>
        <w:rPr>
          <w:noProof/>
        </w:rPr>
        <w:tab/>
        <w:t xml:space="preserve">συνδέσεις με άλλα εθνικά μακροπρόθεσμα σχέδια. </w:t>
      </w:r>
    </w:p>
    <w:p>
      <w:pPr>
        <w:rPr>
          <w:noProof/>
          <w:szCs w:val="24"/>
        </w:rPr>
      </w:pPr>
      <w:r>
        <w:rPr>
          <w:noProof/>
        </w:rPr>
        <w:t>3.</w:t>
      </w:r>
      <w:r>
        <w:rPr>
          <w:noProof/>
        </w:rPr>
        <w:tab/>
        <w:t>Οι μακροπρόθεσμες στρατηγικές χαμηλών εκπομπών θα πρέπει να είναι σύμφωνες με τα ενοποιημένα εθνικά σχέδια για την ενέργεια και το κλίμα του άρθρου 3.</w:t>
      </w:r>
    </w:p>
    <w:p>
      <w:pPr>
        <w:rPr>
          <w:noProof/>
          <w:szCs w:val="24"/>
        </w:rPr>
      </w:pPr>
      <w:r>
        <w:rPr>
          <w:noProof/>
        </w:rPr>
        <w:t>4.</w:t>
      </w:r>
      <w:r>
        <w:rPr>
          <w:noProof/>
        </w:rPr>
        <w:tab/>
        <w:t>Τα κράτη μέλη δημοσιοποιούν αμέσως τις σχετικές μακροπρόθεσμες στρατηγικές χαμηλών εκπομπών και τις ενημερώσεις τους.</w:t>
      </w:r>
    </w:p>
    <w:p>
      <w:pPr>
        <w:pStyle w:val="PartTitle"/>
        <w:rPr>
          <w:noProof/>
        </w:rPr>
      </w:pPr>
      <w:r>
        <w:rPr>
          <w:noProof/>
        </w:rPr>
        <w:t>ΚΕΦΑΛΑΙΟ 4</w:t>
      </w:r>
      <w:r>
        <w:rPr>
          <w:noProof/>
        </w:rPr>
        <w:br/>
        <w:t>ΥΠΟΒΟΛΗ ΕΚΘΕΣΕΩΝ</w:t>
      </w:r>
    </w:p>
    <w:p>
      <w:pPr>
        <w:pStyle w:val="SectionTitle"/>
        <w:spacing w:after="0"/>
        <w:rPr>
          <w:noProof/>
        </w:rPr>
      </w:pPr>
      <w:r>
        <w:rPr>
          <w:noProof/>
        </w:rPr>
        <w:t>Τμήμα 1</w:t>
      </w:r>
      <w:r>
        <w:rPr>
          <w:noProof/>
        </w:rPr>
        <w:br/>
        <w:t>Διετείς εκθέσεις προόδου και παρακολούθησή τους</w:t>
      </w:r>
    </w:p>
    <w:p>
      <w:pPr>
        <w:pStyle w:val="Titrearticle"/>
        <w:rPr>
          <w:b/>
          <w:i w:val="0"/>
          <w:noProof/>
        </w:rPr>
      </w:pPr>
      <w:r>
        <w:rPr>
          <w:noProof/>
        </w:rPr>
        <w:t>Άρθρο 15</w:t>
      </w:r>
      <w:r>
        <w:rPr>
          <w:noProof/>
        </w:rPr>
        <w:br/>
      </w:r>
      <w:r>
        <w:rPr>
          <w:b/>
          <w:i w:val="0"/>
          <w:noProof/>
        </w:rPr>
        <w:t>Ενοποιημένες εθνικές εκθέσεις προόδου για την ενέργεια και το κλίμα</w:t>
      </w:r>
    </w:p>
    <w:p>
      <w:pPr>
        <w:rPr>
          <w:noProof/>
        </w:rPr>
      </w:pPr>
      <w:r>
        <w:rPr>
          <w:noProof/>
        </w:rPr>
        <w:t>1.</w:t>
      </w:r>
      <w:r>
        <w:rPr>
          <w:noProof/>
        </w:rPr>
        <w:tab/>
        <w:t>Με την επιφύλαξη του άρθρου 23, έως τις 15 Μαρτίου 2021 και ανά δύο έτη εφεξής, τα κράτη μέλη υποβάλλουν στην Επιτροπή εκθέσεις σχετικά με την κατάσταση της εφαρμογής του ενοποιημένου εθνικού προγράμματος για την ενέργεια και το κλίμα με τη μορφή ενοποιημένων εθνικών εκθέσεων προόδου για την ενέργεια και το κλίμα, οι οποίες θα καλύπτουν τις πέντε διαστάσεις της Ενεργειακής Ένωσης.</w:t>
      </w:r>
    </w:p>
    <w:p>
      <w:pPr>
        <w:rPr>
          <w:noProof/>
        </w:rPr>
      </w:pPr>
      <w:r>
        <w:rPr>
          <w:noProof/>
        </w:rPr>
        <w:t>2.</w:t>
      </w:r>
      <w:r>
        <w:rPr>
          <w:noProof/>
        </w:rPr>
        <w:tab/>
        <w:t>Οι αναφορές της παραγράφου 1 καλύπτουν τα ακόλουθα στοιχεία:</w:t>
      </w:r>
    </w:p>
    <w:p>
      <w:pPr>
        <w:pStyle w:val="Point0"/>
        <w:rPr>
          <w:noProof/>
        </w:rPr>
      </w:pPr>
      <w:r>
        <w:rPr>
          <w:noProof/>
        </w:rPr>
        <w:t>α)</w:t>
      </w:r>
      <w:r>
        <w:rPr>
          <w:noProof/>
        </w:rPr>
        <w:tab/>
        <w:t xml:space="preserve">πληροφορίες σχετικά με την πρόοδο ως προς την επίτευξη των επιδιώξεων, των στόχων και των συνεισφορών που ορίζονται στο ενοποιημένο εθνικό σχέδιο για την ενέργεια και το κλίμα και ως προς την υλοποίηση απαραίτητων πολιτικών και μέτρων για την επίτευξή τους· </w:t>
      </w:r>
    </w:p>
    <w:p>
      <w:pPr>
        <w:pStyle w:val="Point0"/>
        <w:rPr>
          <w:noProof/>
        </w:rPr>
      </w:pPr>
      <w:r>
        <w:rPr>
          <w:noProof/>
        </w:rPr>
        <w:t>β)</w:t>
      </w:r>
      <w:r>
        <w:rPr>
          <w:noProof/>
        </w:rPr>
        <w:tab/>
        <w:t>τις πληροφορίες των άρθρων 18 έως 22 και, κατά περίπτωση, ενημερώσεις των πολιτικών και μέτρων σύμφωνα με τα εν λόγω άρθρα·</w:t>
      </w:r>
    </w:p>
    <w:p>
      <w:pPr>
        <w:pStyle w:val="Point0"/>
        <w:rPr>
          <w:noProof/>
        </w:rPr>
      </w:pPr>
      <w:r>
        <w:rPr>
          <w:noProof/>
        </w:rPr>
        <w:t>γ)</w:t>
      </w:r>
      <w:r>
        <w:rPr>
          <w:noProof/>
        </w:rPr>
        <w:tab/>
        <w:t>πολιτικές και μέτρα, καθώς και προβλέψεις για τις ανθρωπογενείς εκπομπές αερίων του θερμοκηπίου από πηγές και τις απορροφήσεις από καταβόθρες σύμφωνα με το άρθρο 16·</w:t>
      </w:r>
    </w:p>
    <w:p>
      <w:pPr>
        <w:pStyle w:val="Point0"/>
        <w:rPr>
          <w:noProof/>
        </w:rPr>
      </w:pPr>
      <w:r>
        <w:rPr>
          <w:noProof/>
        </w:rPr>
        <w:t>δ)</w:t>
      </w:r>
      <w:r>
        <w:rPr>
          <w:noProof/>
        </w:rPr>
        <w:tab/>
        <w:t>πληροφορίες σχετικά με τον εθνικό σχεδιασμό και τις στρατηγικές προσαρμογής στην κλιματική αλλαγή σύμφωνα με το άρθρο 17 παράγραφος 1·</w:t>
      </w:r>
    </w:p>
    <w:p>
      <w:pPr>
        <w:pStyle w:val="Point0"/>
        <w:rPr>
          <w:noProof/>
        </w:rPr>
      </w:pPr>
      <w:r>
        <w:rPr>
          <w:noProof/>
        </w:rPr>
        <w:t>ε)</w:t>
      </w:r>
      <w:r>
        <w:rPr>
          <w:noProof/>
        </w:rPr>
        <w:tab/>
        <w:t>αντίγραφα των διετών εκθέσεων και, κατά τα προβλεπόμενα έτη, εθνικές ανακοινώσεις που υποβλήθηκαν στη γραμματεία της UNFCCC·</w:t>
      </w:r>
    </w:p>
    <w:p>
      <w:pPr>
        <w:pStyle w:val="Point0"/>
        <w:rPr>
          <w:noProof/>
        </w:rPr>
      </w:pPr>
      <w:r>
        <w:rPr>
          <w:noProof/>
        </w:rPr>
        <w:t>στ)</w:t>
      </w:r>
      <w:r>
        <w:rPr>
          <w:noProof/>
        </w:rPr>
        <w:tab/>
        <w:t>εκτιμήσεις, κατά περίπτωση, των βελτιώσεων στην ποιότητα του αέρα και των μειώσεων στις εκπομπές ατμοσφαιρικών ρύπων, όπως και άλλων θετικών επιπτώσεων από μέτρα ειδικής ενεργειακής απόδοσης·</w:t>
      </w:r>
    </w:p>
    <w:p>
      <w:pPr>
        <w:pStyle w:val="Point0"/>
        <w:rPr>
          <w:noProof/>
        </w:rPr>
      </w:pPr>
      <w:r>
        <w:rPr>
          <w:noProof/>
        </w:rPr>
        <w:t>ζ)</w:t>
      </w:r>
      <w:r>
        <w:rPr>
          <w:noProof/>
        </w:rPr>
        <w:tab/>
        <w:t xml:space="preserve">τις ετήσιες εκθέσεις του άρθρου 17 παράγραφος 2 και του άρθρου 23. </w:t>
      </w:r>
    </w:p>
    <w:p>
      <w:pPr>
        <w:rPr>
          <w:noProof/>
        </w:rPr>
      </w:pPr>
      <w:r>
        <w:rPr>
          <w:noProof/>
        </w:rPr>
        <w:t>Η Ένωση και τα κράτη μέλη υποβάλλουν διετείς εκθέσεις σύμφωνα με την απόφαση 2/CP.17 της διάσκεψης των μερών της UNFCCC και εθνικές ανακοινώσεις σύμφωνα με το άρθρο 12 της UNFCCC στη γραμματεία της UNFCCC.</w:t>
      </w:r>
    </w:p>
    <w:p>
      <w:pPr>
        <w:rPr>
          <w:noProof/>
        </w:rPr>
      </w:pPr>
      <w:r>
        <w:rPr>
          <w:noProof/>
        </w:rPr>
        <w:t>3.</w:t>
      </w:r>
      <w:r>
        <w:rPr>
          <w:noProof/>
        </w:rPr>
        <w:tab/>
        <w:t>Η Επιτροπή εκδίδει εκτελεστικές πράξεις προκειμένου να καθορίσει τη δομή, τον μορφότυπο, τις τεχνικές λεπτομέρειες και τη διαδικασία για τις αναφερόμενες πληροφορίες στις παραγράφους 1 και 2. Οι εν λόγω εκτελεστικές πράξεις εκδίδονται σύμφωνα με τη διαδικασία εξέτασης που αναφέρεται στο άρθρο 37 παράγραφος 3.</w:t>
      </w:r>
    </w:p>
    <w:p>
      <w:pPr>
        <w:rPr>
          <w:noProof/>
        </w:rPr>
      </w:pPr>
      <w:r>
        <w:rPr>
          <w:noProof/>
        </w:rPr>
        <w:t>4.</w:t>
      </w:r>
      <w:r>
        <w:rPr>
          <w:noProof/>
        </w:rPr>
        <w:tab/>
        <w:t>Η συχνότητα και η κλίμακα των πληροφοριών και των επικαιροποιήσεων που αναφέρονται στην παραγράφο 2 στοιχείο β) αντισταθμίζονται με την ανάγκη διασφάλισης επαρκούς επενδυτικής ασφάλειας.</w:t>
      </w:r>
    </w:p>
    <w:p>
      <w:pPr>
        <w:rPr>
          <w:noProof/>
        </w:rPr>
      </w:pPr>
      <w:r>
        <w:rPr>
          <w:noProof/>
        </w:rPr>
        <w:t>5.</w:t>
      </w:r>
      <w:r>
        <w:rPr>
          <w:noProof/>
        </w:rPr>
        <w:tab/>
        <w:t>Σε περίπτωση έκδοσης από την Επιτροπή συστάσεων σύμφωνα με το άρθρο 27 παράγραφος 2 ή παράγραφος 3, το ενδιαφερόμενο κράτος μέλος περιλαμβάνει στην έκθεση της παραγράφου 1 πληροφορίες σχετικά με τις πολιτικές και τα μέτρα που θεσπίστηκαν και τέθηκαν σε ισχύ για την ικανοποίηση των εν λόγω συστάσεων. Στις πληροφορίες αυτές περιλαμβάνεται αναλυτικό χρονοδιάγραμμα εφαρμογής.</w:t>
      </w:r>
    </w:p>
    <w:p>
      <w:pPr>
        <w:pStyle w:val="Titrearticle"/>
        <w:rPr>
          <w:noProof/>
        </w:rPr>
      </w:pPr>
      <w:r>
        <w:rPr>
          <w:noProof/>
        </w:rPr>
        <w:t>Άρθρο 16</w:t>
      </w:r>
      <w:r>
        <w:rPr>
          <w:noProof/>
        </w:rPr>
        <w:br/>
      </w:r>
      <w:r>
        <w:rPr>
          <w:b/>
          <w:i w:val="0"/>
          <w:noProof/>
        </w:rPr>
        <w:t xml:space="preserve">Ενοποιημένη υποβολή εκθέσεων σχετικά με τις πολιτικές και τα μέτρα για τα αέρια του θερμοκηπίου και τις προβλέψεις </w:t>
      </w:r>
    </w:p>
    <w:p>
      <w:pPr>
        <w:rPr>
          <w:noProof/>
          <w:szCs w:val="24"/>
        </w:rPr>
      </w:pPr>
      <w:r>
        <w:rPr>
          <w:noProof/>
        </w:rPr>
        <w:t>1.</w:t>
      </w:r>
      <w:r>
        <w:rPr>
          <w:noProof/>
        </w:rPr>
        <w:tab/>
        <w:t>Έως τις 15 Μαρτίου 2021 και ανά δύο έτη εφεξής, τα κράτη μέλη υποβάλλουν στην Επιτροπή πληροφορίες σχετικά με:</w:t>
      </w:r>
    </w:p>
    <w:p>
      <w:pPr>
        <w:pStyle w:val="Point0"/>
        <w:rPr>
          <w:noProof/>
        </w:rPr>
      </w:pPr>
      <w:r>
        <w:rPr>
          <w:noProof/>
        </w:rPr>
        <w:t>α)</w:t>
      </w:r>
      <w:r>
        <w:rPr>
          <w:noProof/>
        </w:rPr>
        <w:tab/>
        <w:t>τις οικείες εθνικές πολιτικές και τα μέτρα, όπως ορίζεται στο παράρτημα IV και</w:t>
      </w:r>
    </w:p>
    <w:p>
      <w:pPr>
        <w:pStyle w:val="Point0"/>
        <w:rPr>
          <w:noProof/>
          <w:szCs w:val="24"/>
        </w:rPr>
      </w:pPr>
      <w:r>
        <w:rPr>
          <w:noProof/>
        </w:rPr>
        <w:t>β)</w:t>
      </w:r>
      <w:r>
        <w:rPr>
          <w:noProof/>
        </w:rPr>
        <w:tab/>
        <w:t>τις οικείες εθνικές προβλέψεις για τις ανθρωπογενείς εκπομπές αερίων του θερμοκηπίου από πηγές και τις απορροφήσεις από καταβόθρες, οργανωμένες ανά αέριο ή ομάδα αερίων (υδροφθοράνθρακες και υπερφθοράνθρακες), όπως παρατίθενται στο μέρος 2 του παραρτήματος III. Στις εθνικές προβλέψεις λαμβάνονται υπόψη οι πολιτικές και τα μέτρα που θεσπίστηκαν σε επίπεδο Ένωσης και περιλαμβάνονται οι πληροφορίες που καθορίζονται στο παράρτημα V.</w:t>
      </w:r>
    </w:p>
    <w:p>
      <w:pPr>
        <w:rPr>
          <w:noProof/>
          <w:szCs w:val="24"/>
        </w:rPr>
      </w:pPr>
      <w:r>
        <w:rPr>
          <w:noProof/>
        </w:rPr>
        <w:t>2.</w:t>
      </w:r>
      <w:r>
        <w:rPr>
          <w:noProof/>
        </w:rPr>
        <w:tab/>
        <w:t xml:space="preserve">Τα κράτη μέλη υποβάλλουν τις πλέον επικαιροποιημένες προβλέψεις που έχουν στη διάθεσή τους. Σε περίπτωση που κράτος μέλος δεν υποβάλει, έως τις 15 Μαρτίου κάθε δεύτερου έτους, πλήρεις προβλέψεις και η Επιτροπή είναι βέβαιη ότι τα κενά στις εκτιμήσεις, τα οποία έχουν εντοπιστεί με τις διαδικασίες διασφάλισης της ποιότητας και ελέγχου της ποιότητας που εφαρμόζει, δεν μπορούν να αναπληρωθούν από το συγκεκριμένο κράτος μέλος, η Επιτροπή δύναται να πραγματοποιήσει τις εκτιμήσεις που είναι αναγκαίες για την κατάρτιση των ενωσιακών προβλέψεων σε διαβούλευση με το σχετικό κράτος μέλος. </w:t>
      </w:r>
    </w:p>
    <w:p>
      <w:pPr>
        <w:rPr>
          <w:noProof/>
          <w:szCs w:val="24"/>
        </w:rPr>
      </w:pPr>
      <w:r>
        <w:rPr>
          <w:noProof/>
        </w:rPr>
        <w:t>3.</w:t>
      </w:r>
      <w:r>
        <w:rPr>
          <w:noProof/>
        </w:rPr>
        <w:tab/>
        <w:t>Σε περίπτωση ουσιαστικών αλλαγών στις πληροφορίες που καθίστανται διαθέσιμες δυνάμει της παραγράφου 1 στη διάρκεια του πρώτου έτους της περιόδου υποβολής εκθέσεων, το σχετικό κράτος μέλος διαβιβάζει τις αλλαγές αυτές στην Επιτροπή έως τις 15 Μαρτίου του έτους που έπεται της προηγούμενης έκθεσης.</w:t>
      </w:r>
    </w:p>
    <w:p>
      <w:pPr>
        <w:rPr>
          <w:noProof/>
          <w:szCs w:val="24"/>
        </w:rPr>
      </w:pPr>
      <w:r>
        <w:rPr>
          <w:noProof/>
        </w:rPr>
        <w:t>4.</w:t>
      </w:r>
      <w:r>
        <w:rPr>
          <w:noProof/>
        </w:rPr>
        <w:tab/>
        <w:t>Τα κράτη μέλη δημοσιοποιούν, σε ηλεκτρονικό μορφότυπο, τις εθνικές προβλέψεις τους σύμφωνα με την παράγραφο 1 και τις σχετικές εκτιμήσεις κόστους και επιπτώσεων των εθνικών πολιτικών και μέτρων στην υλοποίηση των πολιτικών της Ένωσης που σχετίζονται με τον περιορισμό των εκπομπών αερίων του θερμοκηπίου σε συνδυασμό με τυχόν σχετικές τεχνικές αναφορές στις οποίες βασίζονται. Οι εν λόγω προβλέψεις και εκτιμήσεις θα πρέπει να περιλαμβάνουν περιγραφές των μοντέλων και των μεθοδολογικών προσεγγίσεων που χρησιμοποιήθηκαν, καθώς και τους ορισμούς και τις υποκείμενες παραδοχές.</w:t>
      </w:r>
    </w:p>
    <w:p>
      <w:pPr>
        <w:pStyle w:val="Titrearticle"/>
        <w:rPr>
          <w:noProof/>
        </w:rPr>
      </w:pPr>
      <w:r>
        <w:rPr>
          <w:noProof/>
        </w:rPr>
        <w:t>Άρθρο 17</w:t>
      </w:r>
      <w:r>
        <w:rPr>
          <w:noProof/>
        </w:rPr>
        <w:br/>
      </w:r>
      <w:r>
        <w:rPr>
          <w:b/>
          <w:i w:val="0"/>
          <w:noProof/>
        </w:rPr>
        <w:t>Ενοποιημένη υποβολή εκθέσεων σχετικά με τις εθνικές δράσεις προσαρμογής, την παροχή οικονομικής και τεχνολογικής στήριξης στις αναπτυσσόμενες χώρες και τα έσοδα από πλειστηριασμό</w:t>
      </w:r>
    </w:p>
    <w:p>
      <w:pPr>
        <w:rPr>
          <w:noProof/>
          <w:szCs w:val="24"/>
        </w:rPr>
      </w:pPr>
      <w:r>
        <w:rPr>
          <w:noProof/>
        </w:rPr>
        <w:t>1.</w:t>
      </w:r>
      <w:r>
        <w:rPr>
          <w:noProof/>
        </w:rPr>
        <w:tab/>
        <w:t xml:space="preserve">Έως τις 15 Μαρτίου 2021 και ανά δύο έτη εφεξής, τα κράτη μέλη υποβάλλουν στην Επιτροπή πληροφορίες σχετικά με τον εθνικό σχεδιασμό και τις στρατηγικές προσαρμογής στην κλιματική αλλαγή, όπου περιγράφονται οι δράσεις που έχουν τεθεί σε εφαρμογή ή προγραμματιστεί για τη διευκόλυνση της προσαρμογής στην κλιματική αλλαγή, συμπεριλαμβανομένων των πληροφοριών που ορίζονται στο μέρος 1 του παραρτήματος VI. </w:t>
      </w:r>
    </w:p>
    <w:p>
      <w:pPr>
        <w:rPr>
          <w:noProof/>
          <w:szCs w:val="24"/>
        </w:rPr>
      </w:pPr>
      <w:r>
        <w:rPr>
          <w:noProof/>
        </w:rPr>
        <w:t>2.</w:t>
      </w:r>
      <w:r>
        <w:rPr>
          <w:noProof/>
        </w:rPr>
        <w:tab/>
        <w:t>Έως τις 15 Μαρτίου 2021 και ανά έτος εφεξής (έτος X), τα κράτη μέλη υποβάλλουν στην Επιτροπή πληροφορίες σχετικά με:</w:t>
      </w:r>
    </w:p>
    <w:p>
      <w:pPr>
        <w:pStyle w:val="Point0"/>
        <w:rPr>
          <w:noProof/>
        </w:rPr>
      </w:pPr>
      <w:r>
        <w:rPr>
          <w:noProof/>
        </w:rPr>
        <w:t>α)</w:t>
      </w:r>
      <w:r>
        <w:rPr>
          <w:noProof/>
        </w:rPr>
        <w:tab/>
        <w:t xml:space="preserve">την παροχή υποστήριξης στις αναπτυσσόμενες χώρες, συμπεριλαμβανομένων των πληροφοριών που ορίζονται στο μέρος 2 του παραρτήματος VI· </w:t>
      </w:r>
    </w:p>
    <w:p>
      <w:pPr>
        <w:pStyle w:val="Point0"/>
        <w:rPr>
          <w:noProof/>
        </w:rPr>
      </w:pPr>
      <w:r>
        <w:rPr>
          <w:noProof/>
        </w:rPr>
        <w:t>β)</w:t>
      </w:r>
      <w:r>
        <w:rPr>
          <w:noProof/>
        </w:rPr>
        <w:tab/>
        <w:t xml:space="preserve">τη χρήση εσόδων που περιήλθαν στο κράτος μέλος από τον πλειστηριασμό δικαιωμάτων σύμφωνα με το άρθρο 10 παράγραφος 1 και το άρθρο 3δ παράγραφος 1 ή 2 της οδηγίας 2003/87/ΕΚ, συμπεριλαμβανομένων των πληροφοριών που ορίζονται στο μέρος 3 του παραρτήματος VI. </w:t>
      </w:r>
    </w:p>
    <w:p>
      <w:pPr>
        <w:rPr>
          <w:noProof/>
          <w:szCs w:val="24"/>
        </w:rPr>
      </w:pPr>
      <w:r>
        <w:rPr>
          <w:noProof/>
        </w:rPr>
        <w:t>3.</w:t>
      </w:r>
      <w:r>
        <w:rPr>
          <w:noProof/>
        </w:rPr>
        <w:tab/>
        <w:t>Τα κράτη μέλη δημοσιοποιούν τις εκθέσεις που υποβάλλουν στην Επιτροπή δυνάμει του παρόντος άρθρου.</w:t>
      </w:r>
    </w:p>
    <w:p>
      <w:pPr>
        <w:rPr>
          <w:noProof/>
          <w:szCs w:val="24"/>
        </w:rPr>
      </w:pPr>
      <w:r>
        <w:rPr>
          <w:noProof/>
        </w:rPr>
        <w:t>4.</w:t>
      </w:r>
      <w:r>
        <w:rPr>
          <w:noProof/>
        </w:rPr>
        <w:tab/>
        <w:t xml:space="preserve">Η Επιτροπή εκδίδει εκτελεστικές πράξεις προκειμένου να καθορίσει τη δομή, τον μορφότυπο και τις διαδικασίες υποβολής των πληροφοριών που διαβιβάζονται από τα κράτη μέλη δυνάμει του παρόντος άρθρου. Οι εν λόγω εκτελεστικές πράξεις εκδίδονται σύμφωνα με τη διαδικασία που αναφέρεται στο άρθρο 37 παράγραφος 3. </w:t>
      </w:r>
    </w:p>
    <w:p>
      <w:pPr>
        <w:pStyle w:val="Titrearticle"/>
        <w:rPr>
          <w:noProof/>
        </w:rPr>
      </w:pPr>
      <w:r>
        <w:rPr>
          <w:noProof/>
        </w:rPr>
        <w:t>Άρθρο 18</w:t>
      </w:r>
      <w:r>
        <w:rPr>
          <w:noProof/>
        </w:rPr>
        <w:br/>
      </w:r>
      <w:r>
        <w:rPr>
          <w:b/>
          <w:i w:val="0"/>
          <w:noProof/>
        </w:rPr>
        <w:t>Ενοποιημένη υποβολή εκθέσεων σχετικά με τις ανανεώσιμες πηγές ενέργειας</w:t>
      </w:r>
    </w:p>
    <w:p>
      <w:pPr>
        <w:rPr>
          <w:noProof/>
          <w:szCs w:val="24"/>
        </w:rPr>
      </w:pPr>
      <w:r>
        <w:rPr>
          <w:noProof/>
        </w:rPr>
        <w:t>Τα κράτη μέλη περιλαμβάνουν στις ενοποιημένες εθνικές εκθέσεις προόδου για την ενέργεια και το κλίμα πληροφορίες σχετικά με:</w:t>
      </w:r>
    </w:p>
    <w:p>
      <w:pPr>
        <w:pStyle w:val="Point0"/>
        <w:rPr>
          <w:noProof/>
        </w:rPr>
      </w:pPr>
      <w:r>
        <w:rPr>
          <w:noProof/>
        </w:rPr>
        <w:t>α)</w:t>
      </w:r>
      <w:r>
        <w:rPr>
          <w:noProof/>
        </w:rPr>
        <w:tab/>
        <w:t>την υλοποίηση των ακόλουθων πορειών και στόχων:</w:t>
      </w:r>
    </w:p>
    <w:p>
      <w:pPr>
        <w:pStyle w:val="Point1"/>
        <w:rPr>
          <w:noProof/>
        </w:rPr>
      </w:pPr>
      <w:r>
        <w:rPr>
          <w:noProof/>
        </w:rPr>
        <w:t>1)</w:t>
      </w:r>
      <w:r>
        <w:rPr>
          <w:noProof/>
        </w:rPr>
        <w:tab/>
        <w:t>την εθνική πορεία του συνολικού μεριδίου ενέργειας από ανανεώσιμες πηγές στην ακαθάριστη τελική κατανάλωση ενέργειας από το 2021 έως το 2030;</w:t>
      </w:r>
    </w:p>
    <w:p>
      <w:pPr>
        <w:pStyle w:val="Point1"/>
        <w:rPr>
          <w:noProof/>
        </w:rPr>
      </w:pPr>
      <w:r>
        <w:rPr>
          <w:noProof/>
        </w:rPr>
        <w:t>2)</w:t>
      </w:r>
      <w:r>
        <w:rPr>
          <w:noProof/>
        </w:rPr>
        <w:tab/>
        <w:t>τις εθνικές πορείες για το τομεακό μερίδιο ενέργειας από ανανεώσιμες πηγές στην κατανάλωση τελικής ενέργειας από το 2021 έως το 2030 στους τομείς ηλεκτρικής ενέργειας, θέρμανσης και ψύξης και μεταφορών·</w:t>
      </w:r>
    </w:p>
    <w:p>
      <w:pPr>
        <w:pStyle w:val="Point1"/>
        <w:rPr>
          <w:noProof/>
        </w:rPr>
      </w:pPr>
      <w:r>
        <w:rPr>
          <w:noProof/>
        </w:rPr>
        <w:t>3)</w:t>
      </w:r>
      <w:r>
        <w:rPr>
          <w:noProof/>
        </w:rPr>
        <w:tab/>
        <w:t>τις πορείες των τεχνολογιών ανανεώσιμης ενέργειας για την επίτευξη των συνολικών και τομεακών πορειών σε σχέση με την κατανάλωση ενέργειας από ανανεώσιμες πηγές από το 2021 έως το 2030, συμπεριλαμβανομένης της συνολικής αναμενόμενης ακαθάριστης τελικής κατανάλωσης ενέργειας ανά τεχνολογία και ανά τομέα σε εκατ. ΤΙΠ και της συνολικής προγραμματισμένης εγκατεστημένης δυναμικότητας ανά τεχνολογία και ανά τομέα σε MW·</w:t>
      </w:r>
    </w:p>
    <w:p>
      <w:pPr>
        <w:pStyle w:val="Point1"/>
        <w:rPr>
          <w:noProof/>
        </w:rPr>
      </w:pPr>
      <w:r>
        <w:rPr>
          <w:noProof/>
        </w:rPr>
        <w:t>4)</w:t>
      </w:r>
      <w:r>
        <w:rPr>
          <w:noProof/>
        </w:rPr>
        <w:tab/>
        <w:t>τις πορείες ζήτησης βιοενέργειας, κατανεμημένης κατά θερμότητα, ηλεκτρική ενέργεια και μεταφορά, και προμήθειας βιομάζας ως πρώτη ύλη, από εγχώρια παραγωγή ή μέσω εισαγωγής. Για τη δασική βιομάζα, εκτίμηση της πηγής της και των επιπτώσεων στην καταβόθρα LULUCF·</w:t>
      </w:r>
    </w:p>
    <w:p>
      <w:pPr>
        <w:pStyle w:val="Point1"/>
        <w:rPr>
          <w:noProof/>
        </w:rPr>
      </w:pPr>
      <w:r>
        <w:rPr>
          <w:noProof/>
        </w:rPr>
        <w:t>5)</w:t>
      </w:r>
      <w:r>
        <w:rPr>
          <w:noProof/>
        </w:rPr>
        <w:tab/>
        <w:t>κατά περίπτωση, άλλες εθνικές πορείες και στόχους, συμπεριλαμβανομένων των μακροπρόθεσμων και τομεακών στόχων (όπως το μερίδιο βιοκαυσίμων, το μερίδιο προηγμένων βιοκαυσίμων, το μερίδιο βιοκαυσίμων που παράγονται από βασικές αγροτικές καλλιέργειες, το μερίδιο ηλεκτρικής ενέργειας που παράγεται από βιομάζα χωρίς την παραγωγή θερμότητας, το μερίδιο ενέργειας από ανανεώσιμες πηγές στην τηλεθέρμανση, η χρήση ενέργειας από ανανεώσιμες πηγές σε κτίρια, η ενέργεια από ανανεώσιμες πηγές που παράγεται από τους δήμους, οι ενεργειακές κοινότητες και οι ιδιοκαταναλωτές)·</w:t>
      </w:r>
    </w:p>
    <w:p>
      <w:pPr>
        <w:pStyle w:val="Point0"/>
        <w:rPr>
          <w:noProof/>
        </w:rPr>
      </w:pPr>
      <w:r>
        <w:rPr>
          <w:noProof/>
        </w:rPr>
        <w:t>β)</w:t>
      </w:r>
      <w:r>
        <w:rPr>
          <w:noProof/>
        </w:rPr>
        <w:tab/>
        <w:t>την εφαρμογή των ακόλουθων πολιτικών και μέτρων:</w:t>
      </w:r>
    </w:p>
    <w:p>
      <w:pPr>
        <w:pStyle w:val="Point1"/>
        <w:rPr>
          <w:noProof/>
        </w:rPr>
      </w:pPr>
      <w:r>
        <w:rPr>
          <w:noProof/>
        </w:rPr>
        <w:t>1)</w:t>
      </w:r>
      <w:r>
        <w:rPr>
          <w:noProof/>
        </w:rPr>
        <w:tab/>
        <w:t>εφαρμοζόμενες, θεσπισμένες και προγραμματισμένες πολιτικές και μέτρα για την επίτευξη της εθνικής συνεισφοράς στον δεσμευτικό στόχο σε επίπεδο Ένωσης για το 2030 για τις ανανεώσιμες πηγές ενέργειας, όπως αναφέρεται στο στοιχείο α) του άρθρου 4 παράγραφος 2 σημείο i), συμπεριλαμβανομένων τομεακών και τεχνολογικών μέτρων, με ειδική αναθεώρηση της εφαρμογής των μέτρων που ορίζονται στα άρθρα 23, 24 και 25 της [αναδιατύπωση της οδηγίας 2009/28/ΕΚ όπως προτείνεται στο COM(2016) 767]·</w:t>
      </w:r>
    </w:p>
    <w:p>
      <w:pPr>
        <w:pStyle w:val="Point1"/>
        <w:rPr>
          <w:noProof/>
        </w:rPr>
      </w:pPr>
      <w:r>
        <w:rPr>
          <w:noProof/>
        </w:rPr>
        <w:t>2)</w:t>
      </w:r>
      <w:r>
        <w:rPr>
          <w:noProof/>
        </w:rPr>
        <w:tab/>
        <w:t>ειδικά μέτρα για την περιφερειακή συνεργασία·</w:t>
      </w:r>
    </w:p>
    <w:p>
      <w:pPr>
        <w:pStyle w:val="Point1"/>
        <w:rPr>
          <w:noProof/>
        </w:rPr>
      </w:pPr>
      <w:r>
        <w:rPr>
          <w:noProof/>
        </w:rPr>
        <w:t>3)</w:t>
      </w:r>
      <w:r>
        <w:rPr>
          <w:noProof/>
        </w:rPr>
        <w:tab/>
        <w:t xml:space="preserve">με την επιφύλαξη των άρθρων 107 και 108 της ΣΛΕΕ, ειδικά μέτρα για τη χρηματοδοτική στήριξη, συμπεριλαμβανομένης της στήριξης της Ένωσης και της χρήσης κονδυλίων της Ένωσης, για την προώθηση της χρήσης ενέργειας από ανανεώσιμες πηγές στους τομείς της ηλεκτρικής ενέργειας, της θέρμανσης και ψύξης και των μεταφορών· </w:t>
      </w:r>
    </w:p>
    <w:p>
      <w:pPr>
        <w:pStyle w:val="Point1"/>
        <w:rPr>
          <w:noProof/>
        </w:rPr>
      </w:pPr>
      <w:r>
        <w:rPr>
          <w:noProof/>
        </w:rPr>
        <w:t>4)</w:t>
      </w:r>
      <w:r>
        <w:rPr>
          <w:noProof/>
        </w:rPr>
        <w:tab/>
        <w:t xml:space="preserve">ειδικά μέτρα για την εκπλήρωση των απαιτήσεων των άρθρων 15, 16, 17, 18, 21 και 22 της [αναδιατύπωση της οδηγίας 2009/28/ΕΚ όπως προτείνεται στο COM(2016) 767]· </w:t>
      </w:r>
    </w:p>
    <w:p>
      <w:pPr>
        <w:pStyle w:val="Point1"/>
        <w:rPr>
          <w:noProof/>
        </w:rPr>
      </w:pPr>
      <w:r>
        <w:rPr>
          <w:noProof/>
        </w:rPr>
        <w:t>5)</w:t>
      </w:r>
      <w:r>
        <w:rPr>
          <w:noProof/>
        </w:rPr>
        <w:tab/>
        <w:t>μέτρα που προωθούν τη χρήση ενέργειας από βιομάζα, ιδίως δε από νέα βιομάζα, τα οποία λαμβάνουν υπόψη τη διαθεσιμότητα βιομάζας (τόσο το εγχώριο δυναμικό όσο και εισαγωγές από τρίτες χώρες) και άλλες χρήσεις της βιομάζας (τομείς γεωργίας και δασοκομίας), καθώς και μέτρα για τη βιωσιμότητα της βιομάζας που παράγεται και χρησιμοποιείται·</w:t>
      </w:r>
    </w:p>
    <w:p>
      <w:pPr>
        <w:pStyle w:val="Point1"/>
        <w:rPr>
          <w:noProof/>
        </w:rPr>
      </w:pPr>
      <w:r>
        <w:rPr>
          <w:noProof/>
        </w:rPr>
        <w:t>6)</w:t>
      </w:r>
      <w:r>
        <w:rPr>
          <w:noProof/>
        </w:rPr>
        <w:tab/>
        <w:t xml:space="preserve">πρόσθετες πληροφορίες, όπως ορίζονται στο μέρος 1 του παραρτήματος VII. </w:t>
      </w:r>
    </w:p>
    <w:p>
      <w:pPr>
        <w:pStyle w:val="Titrearticle"/>
        <w:rPr>
          <w:noProof/>
        </w:rPr>
      </w:pPr>
      <w:r>
        <w:rPr>
          <w:noProof/>
        </w:rPr>
        <w:t>Άρθρο 19</w:t>
      </w:r>
      <w:r>
        <w:rPr>
          <w:noProof/>
        </w:rPr>
        <w:br/>
      </w:r>
      <w:r>
        <w:rPr>
          <w:b/>
          <w:i w:val="0"/>
          <w:noProof/>
        </w:rPr>
        <w:t>Ενοποιημένη υποβολή εκθέσεων σχετικά με την ενεργειακή απόδοση</w:t>
      </w:r>
    </w:p>
    <w:p>
      <w:pPr>
        <w:rPr>
          <w:noProof/>
          <w:szCs w:val="24"/>
        </w:rPr>
      </w:pPr>
      <w:r>
        <w:rPr>
          <w:noProof/>
        </w:rPr>
        <w:t>Τα κράτη μέλη περιλαμβάνουν στις ενοποιημένες εθνικές εκθέσεις προόδου για την ενέργεια και το κλίμα πληροφορίες σχετικά με:</w:t>
      </w:r>
    </w:p>
    <w:p>
      <w:pPr>
        <w:pStyle w:val="Point0"/>
        <w:rPr>
          <w:noProof/>
        </w:rPr>
      </w:pPr>
      <w:r>
        <w:rPr>
          <w:noProof/>
        </w:rPr>
        <w:t>α)</w:t>
      </w:r>
      <w:r>
        <w:rPr>
          <w:noProof/>
        </w:rPr>
        <w:tab/>
        <w:t xml:space="preserve">την υλοποίηση των ακόλουθων εθνικών πορειών, επιδιώξεων και στόχων: </w:t>
      </w:r>
    </w:p>
    <w:p>
      <w:pPr>
        <w:pStyle w:val="Point1"/>
        <w:rPr>
          <w:noProof/>
        </w:rPr>
      </w:pPr>
      <w:r>
        <w:rPr>
          <w:noProof/>
        </w:rPr>
        <w:t>1)</w:t>
      </w:r>
      <w:r>
        <w:rPr>
          <w:noProof/>
        </w:rPr>
        <w:tab/>
        <w:t>την πορεία για την κατανάλωση πρωτογενούς και τελικής ενέργειας από το 2020 έως το 2030 ως εθνική συνεισφορά εξοικονόμησης ενέργειας για την επίτευξη του στόχου σε επίπεδο Ένωσης για το 2030, συμπεριλαμβανομένης της υποκείμενης μεθοδολογίας·</w:t>
      </w:r>
    </w:p>
    <w:p>
      <w:pPr>
        <w:pStyle w:val="Point1"/>
        <w:rPr>
          <w:noProof/>
        </w:rPr>
      </w:pPr>
      <w:r>
        <w:rPr>
          <w:noProof/>
        </w:rPr>
        <w:t>2)</w:t>
      </w:r>
      <w:r>
        <w:rPr>
          <w:noProof/>
        </w:rPr>
        <w:tab/>
        <w:t>τους στόχους για τη μακροπρόθεσμη ανακαίνιση του εθνικού κτιριακού αποθέματος τόσο των δημόσιων όσο και των ιδιωτικών οικιστικών και εμπορικών κτιρίων·</w:t>
      </w:r>
    </w:p>
    <w:p>
      <w:pPr>
        <w:pStyle w:val="Point1"/>
        <w:rPr>
          <w:noProof/>
        </w:rPr>
      </w:pPr>
      <w:r>
        <w:rPr>
          <w:noProof/>
        </w:rPr>
        <w:t>3)</w:t>
      </w:r>
      <w:r>
        <w:rPr>
          <w:noProof/>
        </w:rPr>
        <w:tab/>
        <w:t>κατά περίπτωση, ενημέρωση άλλων εθνικών στόχων, οι οποίοι καθορίζονται στο εθνικό σχέδιο·</w:t>
      </w:r>
    </w:p>
    <w:p>
      <w:pPr>
        <w:pStyle w:val="Point0"/>
        <w:rPr>
          <w:noProof/>
        </w:rPr>
      </w:pPr>
      <w:r>
        <w:rPr>
          <w:noProof/>
        </w:rPr>
        <w:t>β)</w:t>
      </w:r>
      <w:r>
        <w:rPr>
          <w:noProof/>
        </w:rPr>
        <w:tab/>
        <w:t>την υλοποίηση των ακόλουθων πολιτικών και μέτρων:</w:t>
      </w:r>
    </w:p>
    <w:p>
      <w:pPr>
        <w:pStyle w:val="Point1"/>
        <w:rPr>
          <w:noProof/>
        </w:rPr>
      </w:pPr>
      <w:r>
        <w:rPr>
          <w:noProof/>
        </w:rPr>
        <w:t>1)</w:t>
      </w:r>
      <w:r>
        <w:rPr>
          <w:noProof/>
        </w:rPr>
        <w:tab/>
        <w:t>εφαρμοζόμενες, θεσπισμένες και προγραμματισμένες πολιτικές και μέτρα για την επίτευξη της ενδεικτικής εθνικής συνεισφοράς ενεργειακής απόδοσης για το 2030, καθώς και άλλους στόχους που παρουσιάζονται στο άρθρο 6, συμπεριλαμβανομένων μέτρων και μέσων που έχουν προγραμματιστεί (μεταξύ άλλων και οικονομικού χαρακτήρα) για την προώθηση της ενεργειακής απόδοσης των κτιρίων, μέτρων για τη χρήση του δυναμικού ενεργειακής απόδοσης των υποδομών αερίου και ηλεκτρικής ενέργειας, καθώς και άλλων μέτρων για την προώθηση της ενεργειακής απόδοσης·</w:t>
      </w:r>
    </w:p>
    <w:p>
      <w:pPr>
        <w:pStyle w:val="Point1"/>
        <w:rPr>
          <w:noProof/>
        </w:rPr>
      </w:pPr>
      <w:r>
        <w:rPr>
          <w:noProof/>
        </w:rPr>
        <w:t>2)</w:t>
      </w:r>
      <w:r>
        <w:rPr>
          <w:noProof/>
        </w:rPr>
        <w:tab/>
        <w:t>κατά περίπτωση, μηχανισμούς της αγοράς που θεσπίζουν κίνητρα για τη βελτίωση της ενεργειακής απόδοσης, συμπεριλαμβανομένων, αλλά όχι αποκλειστικά αυτών, ενεργειακών φόρων, εισφορών και επιδομάτων·</w:t>
      </w:r>
    </w:p>
    <w:p>
      <w:pPr>
        <w:pStyle w:val="Point1"/>
        <w:rPr>
          <w:noProof/>
        </w:rPr>
      </w:pPr>
      <w:r>
        <w:rPr>
          <w:noProof/>
        </w:rPr>
        <w:t>3)</w:t>
      </w:r>
      <w:r>
        <w:rPr>
          <w:noProof/>
        </w:rPr>
        <w:tab/>
        <w:t>εθνικό καθεστώς επιβολής της υποχρέωσης ενεργειακής απόδοσης και εναλλακτικά μέτρα δυνάμει του άρθρου 7 της οδηγίας 2012/27/ΕΕ [όπως τροποποιήθηκε από την πρόταση COM(2016) 767] σύμφωνα με το παράρτημα II του παρόντος κανονισμού·</w:t>
      </w:r>
    </w:p>
    <w:p>
      <w:pPr>
        <w:pStyle w:val="Point1"/>
        <w:rPr>
          <w:noProof/>
        </w:rPr>
      </w:pPr>
      <w:r>
        <w:rPr>
          <w:noProof/>
        </w:rPr>
        <w:t>4)</w:t>
      </w:r>
      <w:r>
        <w:rPr>
          <w:noProof/>
        </w:rPr>
        <w:tab/>
        <w:t>μακροπρόθεσμη στρατηγική για την ανακαίνιση του εθνικού κτιριακού αποθέματος τόσο των δημόσιων όσο και των ιδιωτικών οικιστικών και εμπορικών κτιρίων, συμπεριλαμβανομένων πολιτικών και μέτρων για την τόνωση της οικονομικώς αποδοτικής ριζικής ανακαίνισης και της σταδιακής ριζικής ανακαίνισης·</w:t>
      </w:r>
    </w:p>
    <w:p>
      <w:pPr>
        <w:pStyle w:val="Point1"/>
        <w:rPr>
          <w:noProof/>
        </w:rPr>
      </w:pPr>
      <w:r>
        <w:rPr>
          <w:noProof/>
        </w:rPr>
        <w:t>5)</w:t>
      </w:r>
      <w:r>
        <w:rPr>
          <w:noProof/>
        </w:rPr>
        <w:tab/>
        <w:t>πολιτικές και μέτρα για την προώθηση των ενεργειακών υπηρεσιών στον δημόσιο τομέα και μέτρα για την άρση των ρυθμιστικών και μη ρυθμιστικών φραγμών που παρεμποδίζουν τη σύναψη συμβάσεων ενεργειακής απόδοσης και άλλα πρότυπα υπηρεσιών ενεργειακής απόδοσης·</w:t>
      </w:r>
    </w:p>
    <w:p>
      <w:pPr>
        <w:pStyle w:val="Point1"/>
        <w:rPr>
          <w:noProof/>
        </w:rPr>
      </w:pPr>
      <w:r>
        <w:rPr>
          <w:noProof/>
        </w:rPr>
        <w:t>6)</w:t>
      </w:r>
      <w:r>
        <w:rPr>
          <w:noProof/>
        </w:rPr>
        <w:tab/>
        <w:t>περιφερειακή συνεργασία στον τομέα της ενεργειακής απόδοσης, κατά περίπτωση·</w:t>
      </w:r>
    </w:p>
    <w:p>
      <w:pPr>
        <w:pStyle w:val="Point1"/>
        <w:rPr>
          <w:noProof/>
        </w:rPr>
      </w:pPr>
      <w:r>
        <w:rPr>
          <w:noProof/>
        </w:rPr>
        <w:t>7)</w:t>
      </w:r>
      <w:r>
        <w:rPr>
          <w:noProof/>
        </w:rPr>
        <w:tab/>
        <w:t>με την επιφύλαξη των άρθρων 107 και 108 της ΣΛΕΕ, μέτρα χρηματοδότησης, συμπεριλαμβανομένης της στήριξης της Ένωσης και της χρήσης κονδυλίων της Ένωσης, στον τομέα της ενεργειακής απόδοσης σε εθνικό επίπεδο, κατά περίπτωση·</w:t>
      </w:r>
    </w:p>
    <w:p>
      <w:pPr>
        <w:pStyle w:val="Point0"/>
        <w:rPr>
          <w:noProof/>
        </w:rPr>
      </w:pPr>
      <w:r>
        <w:rPr>
          <w:noProof/>
        </w:rPr>
        <w:t>γ)</w:t>
      </w:r>
      <w:r>
        <w:rPr>
          <w:noProof/>
        </w:rPr>
        <w:tab/>
        <w:t>πρόσθετες πληροφορίες, όπως ορίζονται στο μέρος 2 του παραρτήματος VII.</w:t>
      </w:r>
    </w:p>
    <w:p>
      <w:pPr>
        <w:pStyle w:val="Titrearticle"/>
        <w:rPr>
          <w:noProof/>
        </w:rPr>
      </w:pPr>
      <w:r>
        <w:rPr>
          <w:noProof/>
        </w:rPr>
        <w:t>Άρθρο 20</w:t>
      </w:r>
      <w:r>
        <w:rPr>
          <w:noProof/>
        </w:rPr>
        <w:br/>
      </w:r>
      <w:r>
        <w:rPr>
          <w:b/>
          <w:i w:val="0"/>
          <w:noProof/>
        </w:rPr>
        <w:t>Ενοποιημένη υποβολή εκθέσεων σχετικά με την ενεργειακή ασφάλεια</w:t>
      </w:r>
    </w:p>
    <w:p>
      <w:pPr>
        <w:rPr>
          <w:noProof/>
          <w:szCs w:val="24"/>
        </w:rPr>
      </w:pPr>
      <w:r>
        <w:rPr>
          <w:noProof/>
        </w:rPr>
        <w:t>Τα κράτη μέλη περιλαμβάνουν στις ενοποιημένες εθνικές εκθέσεις προόδου για την ενέργεια και το κλίμα πληροφορίες σχετικά με:</w:t>
      </w:r>
    </w:p>
    <w:p>
      <w:pPr>
        <w:pStyle w:val="Point0"/>
        <w:rPr>
          <w:noProof/>
        </w:rPr>
      </w:pPr>
      <w:r>
        <w:rPr>
          <w:noProof/>
        </w:rPr>
        <w:t>α)</w:t>
      </w:r>
      <w:r>
        <w:rPr>
          <w:noProof/>
        </w:rPr>
        <w:tab/>
        <w:t>τους εθνικούς στόχους για τη διαφοροποίηση των πηγών ενέργειας και των χωρών-προμηθευτών, την αποθήκευση, την απόκριση ζήτησης·</w:t>
      </w:r>
    </w:p>
    <w:p>
      <w:pPr>
        <w:pStyle w:val="Point0"/>
        <w:rPr>
          <w:noProof/>
        </w:rPr>
      </w:pPr>
      <w:r>
        <w:rPr>
          <w:noProof/>
        </w:rPr>
        <w:t>β)</w:t>
      </w:r>
      <w:r>
        <w:rPr>
          <w:noProof/>
        </w:rPr>
        <w:tab/>
        <w:t>τους εθνικούς στόχους όσον αφορά τη μείωση της ενεργειακής εξάρτησης από εισαγωγές από τρίτες χώρες·</w:t>
      </w:r>
    </w:p>
    <w:p>
      <w:pPr>
        <w:pStyle w:val="Point0"/>
        <w:rPr>
          <w:noProof/>
        </w:rPr>
      </w:pPr>
      <w:r>
        <w:rPr>
          <w:noProof/>
        </w:rPr>
        <w:t>γ)</w:t>
      </w:r>
      <w:r>
        <w:rPr>
          <w:noProof/>
        </w:rPr>
        <w:tab/>
        <w:t>τους εθνικούς στόχους για την ανάπτυξη της ικανότητας αντιμετώπισης περιορισμένου ή διακοπτόμενου εφοδιασμού μιας πηγής ενέργειας, μεταξύ άλλων του αερίου και της ηλεκτρικής ενέργειας·</w:t>
      </w:r>
    </w:p>
    <w:p>
      <w:pPr>
        <w:pStyle w:val="Point0"/>
        <w:rPr>
          <w:noProof/>
        </w:rPr>
      </w:pPr>
      <w:r>
        <w:rPr>
          <w:noProof/>
        </w:rPr>
        <w:t>δ)</w:t>
      </w:r>
      <w:r>
        <w:rPr>
          <w:noProof/>
        </w:rPr>
        <w:tab/>
        <w:t>τους εθνικούς στόχους για την ανάπτυξη εγχώριων πηγών ενέργειας, και κυρίως ανανεώσιμων πηγών ενέργειας·</w:t>
      </w:r>
    </w:p>
    <w:p>
      <w:pPr>
        <w:pStyle w:val="Point0"/>
        <w:rPr>
          <w:noProof/>
        </w:rPr>
      </w:pPr>
      <w:r>
        <w:rPr>
          <w:noProof/>
        </w:rPr>
        <w:t>ε)</w:t>
      </w:r>
      <w:r>
        <w:rPr>
          <w:noProof/>
        </w:rPr>
        <w:tab/>
        <w:t>εφαρμοζόμενων, θεσπισμένων και προγραμματισμένων πολιτικών και μέτρων για την επίτευξη των στόχων που αναφέρονται στα στοιχεία α) έως γ)·</w:t>
      </w:r>
    </w:p>
    <w:p>
      <w:pPr>
        <w:pStyle w:val="Point0"/>
        <w:rPr>
          <w:noProof/>
        </w:rPr>
      </w:pPr>
      <w:r>
        <w:rPr>
          <w:noProof/>
        </w:rPr>
        <w:t>στ)</w:t>
      </w:r>
      <w:r>
        <w:rPr>
          <w:noProof/>
        </w:rPr>
        <w:tab/>
        <w:t>περιφερειακής συνεργασίας για την εφαρμογή των στόχων και των πολιτικών που αναφέρονται στα στοιχεία α) έως δ)·</w:t>
      </w:r>
    </w:p>
    <w:p>
      <w:pPr>
        <w:pStyle w:val="Point0"/>
        <w:rPr>
          <w:noProof/>
        </w:rPr>
      </w:pPr>
      <w:r>
        <w:rPr>
          <w:noProof/>
        </w:rPr>
        <w:t>ζ)</w:t>
      </w:r>
      <w:r>
        <w:rPr>
          <w:noProof/>
        </w:rPr>
        <w:tab/>
        <w:t>με την επιφύλαξη των άρθρων 107 και 108 ΣΛΕΕ, μέτρων χρηματοδότησης, συμπεριλαμβανομένων της στήριξης της Ένωσης και της χρήσης κονδυλίων της Ένωσης, στον εν λόγω τομέα σε εθνικό επίπεδο, κατά περίπτωση.</w:t>
      </w:r>
    </w:p>
    <w:p>
      <w:pPr>
        <w:pStyle w:val="Titrearticle"/>
        <w:rPr>
          <w:noProof/>
        </w:rPr>
      </w:pPr>
      <w:r>
        <w:rPr>
          <w:noProof/>
        </w:rPr>
        <w:t>Άρθρο 21</w:t>
      </w:r>
      <w:r>
        <w:rPr>
          <w:noProof/>
        </w:rPr>
        <w:br/>
      </w:r>
      <w:r>
        <w:rPr>
          <w:b/>
          <w:i w:val="0"/>
          <w:noProof/>
        </w:rPr>
        <w:t>Ενοποιημένη υποβολή εκθέσεων σχετικά με την εσωτερική αγορά ενέργειας</w:t>
      </w:r>
    </w:p>
    <w:p>
      <w:pPr>
        <w:rPr>
          <w:noProof/>
          <w:szCs w:val="24"/>
        </w:rPr>
      </w:pPr>
      <w:r>
        <w:rPr>
          <w:noProof/>
        </w:rPr>
        <w:t>1.</w:t>
      </w:r>
      <w:r>
        <w:rPr>
          <w:noProof/>
        </w:rPr>
        <w:tab/>
        <w:t>Τα κράτη μέλη περιλαμβάνουν στις ενοποιημένες εθνικές εκθέσεις προόδου για την ενέργεια και το κλίμα πληροφορίες σχετικά με την εφαρμογή των ακόλουθων στόχων και μέτρων:</w:t>
      </w:r>
    </w:p>
    <w:p>
      <w:pPr>
        <w:pStyle w:val="Point0"/>
        <w:rPr>
          <w:noProof/>
        </w:rPr>
      </w:pPr>
      <w:r>
        <w:rPr>
          <w:noProof/>
        </w:rPr>
        <w:t>α)</w:t>
      </w:r>
      <w:r>
        <w:rPr>
          <w:noProof/>
        </w:rPr>
        <w:tab/>
        <w:t>του επιπέδου της διασυνδεσιμότητας ηλεκτρικής ενέργειας, στο οποίο στοχεύει το κράτος μέλος έως το 2030 σε σχέση με τον στόχο διασύνδεσης ηλεκτρικής ενέργειας 15 %·</w:t>
      </w:r>
    </w:p>
    <w:p>
      <w:pPr>
        <w:pStyle w:val="Point1"/>
        <w:rPr>
          <w:noProof/>
        </w:rPr>
      </w:pPr>
      <w:r>
        <w:rPr>
          <w:noProof/>
        </w:rPr>
        <w:t>1)</w:t>
      </w:r>
      <w:r>
        <w:rPr>
          <w:noProof/>
        </w:rPr>
        <w:tab/>
        <w:t>βασικών εθνικών στόχων για τις υποδομές μεταφοράς ηλεκτρισμού και αερίου, οι οποίες είναι απαραίτητες για την επίτευξη των επιδιώξεων και στόχων σύμφωνα με οποιαδήποτε από τις πέντε βασικές διαστάσεις της Ενεργειακής Ένωσης·</w:t>
      </w:r>
    </w:p>
    <w:p>
      <w:pPr>
        <w:pStyle w:val="Point1"/>
        <w:rPr>
          <w:noProof/>
        </w:rPr>
      </w:pPr>
      <w:r>
        <w:rPr>
          <w:noProof/>
        </w:rPr>
        <w:t>2)</w:t>
      </w:r>
      <w:r>
        <w:rPr>
          <w:noProof/>
        </w:rPr>
        <w:tab/>
        <w:t>κατά περίπτωση, προβλεπόμενων κύριων έργων υποδομής, εκτός από τα έργα κοινού ενδιαφέροντος·</w:t>
      </w:r>
    </w:p>
    <w:p>
      <w:pPr>
        <w:pStyle w:val="Point1"/>
        <w:rPr>
          <w:noProof/>
        </w:rPr>
      </w:pPr>
      <w:r>
        <w:rPr>
          <w:noProof/>
        </w:rPr>
        <w:t>3)</w:t>
      </w:r>
      <w:r>
        <w:rPr>
          <w:noProof/>
        </w:rPr>
        <w:tab/>
        <w:t>εθνικών στόχων σχετικά με άλλες πλευρές της εσωτερικής αγοράς ενέργειας, όπως η ενοποίηση και η σύζευξη της αγοράς, κατά περίπτωση·</w:t>
      </w:r>
    </w:p>
    <w:p>
      <w:pPr>
        <w:pStyle w:val="Point1"/>
        <w:rPr>
          <w:noProof/>
          <w:color w:val="000000" w:themeColor="text1"/>
        </w:rPr>
      </w:pPr>
      <w:r>
        <w:rPr>
          <w:noProof/>
          <w:color w:val="000000" w:themeColor="text1"/>
        </w:rPr>
        <w:t>4)</w:t>
      </w:r>
      <w:r>
        <w:rPr>
          <w:noProof/>
          <w:color w:val="000000" w:themeColor="text1"/>
        </w:rPr>
        <w:tab/>
        <w:t>εθνικών στόχων σε σχέση με την ενεργειακή φτώχεια, συμπεριλαμβανομένου του αριθμού των νοικοκυριών που αντιμετωπίζουν ενεργειακή φτώχεια·</w:t>
      </w:r>
    </w:p>
    <w:p>
      <w:pPr>
        <w:pStyle w:val="Point1"/>
        <w:rPr>
          <w:noProof/>
        </w:rPr>
      </w:pPr>
      <w:r>
        <w:rPr>
          <w:noProof/>
        </w:rPr>
        <w:t>5)</w:t>
      </w:r>
      <w:r>
        <w:rPr>
          <w:noProof/>
        </w:rPr>
        <w:tab/>
        <w:t>εθνικών στόχων σχετικά με τη διασφάλιση της επάρκειας του συστήματος ηλεκτρισμού, κατά περίπτωση·</w:t>
      </w:r>
    </w:p>
    <w:p>
      <w:pPr>
        <w:pStyle w:val="Point1"/>
        <w:rPr>
          <w:noProof/>
        </w:rPr>
      </w:pPr>
      <w:r>
        <w:rPr>
          <w:noProof/>
        </w:rPr>
        <w:t>6)</w:t>
      </w:r>
      <w:r>
        <w:rPr>
          <w:noProof/>
        </w:rPr>
        <w:tab/>
        <w:t>εφαρμοζόμενων, θεσπισμένων και προγραμματισμένων πολιτικών και μέτρων για την επίτευξη των στόχων που αναφέρονται στα στοιχεία 1) έως 5)·</w:t>
      </w:r>
    </w:p>
    <w:p>
      <w:pPr>
        <w:pStyle w:val="Point1"/>
        <w:rPr>
          <w:noProof/>
        </w:rPr>
      </w:pPr>
      <w:r>
        <w:rPr>
          <w:noProof/>
        </w:rPr>
        <w:t>7)</w:t>
      </w:r>
      <w:r>
        <w:rPr>
          <w:noProof/>
        </w:rPr>
        <w:tab/>
        <w:t>περιφερειακής συνεργασίας για την εφαρμογή των στόχων και των πολιτικών που αναφέρονται στα στοιχεία 1) έως 6)·</w:t>
      </w:r>
    </w:p>
    <w:p>
      <w:pPr>
        <w:pStyle w:val="Point1"/>
        <w:rPr>
          <w:noProof/>
        </w:rPr>
      </w:pPr>
      <w:r>
        <w:rPr>
          <w:noProof/>
        </w:rPr>
        <w:t>8)</w:t>
      </w:r>
      <w:r>
        <w:rPr>
          <w:noProof/>
        </w:rPr>
        <w:tab/>
        <w:t>με την επιφύλαξη των άρθρων 107 και 108 ΣΛΕΕ, μέτρων χρηματοδότησης, συμπεριλαμβανομένης της στήριξης της Ένωσης και της χρήσης κονδυλίων της Ένωσης, στον τομέα της εσωτερικής αγοράς ενέργειας σε εθνικό επίπεδο, κατά περίπτωση·</w:t>
      </w:r>
    </w:p>
    <w:p>
      <w:pPr>
        <w:pStyle w:val="Point1"/>
        <w:rPr>
          <w:noProof/>
        </w:rPr>
      </w:pPr>
      <w:r>
        <w:rPr>
          <w:noProof/>
        </w:rPr>
        <w:t>9)</w:t>
      </w:r>
      <w:r>
        <w:rPr>
          <w:noProof/>
        </w:rPr>
        <w:tab/>
        <w:t>μέτρων για την ενίσχυση της ευελιξίας του ενεργειακού συστήματος όσον αφορά την παραγωγή ενέργειας από ανανεώσιμες πηγές, συμπεριλαμβανομένων της ανάπτυξης της σύζευξης της ενδοημερήσιας αγοράς και των διασυνοριακών αγορών εξισορρόπησης.</w:t>
      </w:r>
    </w:p>
    <w:p>
      <w:pPr>
        <w:rPr>
          <w:noProof/>
        </w:rPr>
      </w:pPr>
      <w:r>
        <w:rPr>
          <w:noProof/>
        </w:rPr>
        <w:t>2.</w:t>
      </w:r>
      <w:r>
        <w:rPr>
          <w:noProof/>
        </w:rPr>
        <w:tab/>
        <w:t>Οι πληροφορίες που παρέχουν τα κράτη μέλη σύμφωνα με την παράγραφο 1 συμφωνούν και, κατά περίπτωση, βασίζονται στην έκθεση των εθνικών ρυθμιστικών αρχών, στην οποία παραπέμπει το άρθρο 58 παράγραφος 1 στοιχείο ε) της [αναδιατύπωση της οδηγίας 2009/72/ΕΚ όπως προτείνεται από το COM(2016) 864] και το άρθρο 41 παράγραφος 1 στοιχείο ε) της οδηγίας 2009/73/ΕΚ.</w:t>
      </w:r>
    </w:p>
    <w:p>
      <w:pPr>
        <w:pStyle w:val="Titrearticle"/>
        <w:rPr>
          <w:noProof/>
        </w:rPr>
      </w:pPr>
      <w:r>
        <w:rPr>
          <w:noProof/>
        </w:rPr>
        <w:t>Άρθρο 22</w:t>
      </w:r>
      <w:r>
        <w:rPr>
          <w:noProof/>
        </w:rPr>
        <w:br/>
      </w:r>
      <w:r>
        <w:rPr>
          <w:b/>
          <w:i w:val="0"/>
          <w:noProof/>
        </w:rPr>
        <w:t>Ενοποιημένη υποβολή εκθέσεων σχετικά με την έρευνα, την καινοτομία και την ανταγωνιστικότητα</w:t>
      </w:r>
    </w:p>
    <w:p>
      <w:pPr>
        <w:rPr>
          <w:noProof/>
          <w:szCs w:val="24"/>
        </w:rPr>
      </w:pPr>
      <w:r>
        <w:rPr>
          <w:noProof/>
        </w:rPr>
        <w:t>Τα κράτη μέλη περιλαμβάνουν στις ενοποιημένες εθνικές εκθέσεις προόδου για την ενέργεια και το κλίμα που αναφέρονται στο άρθρο 15 πληροφορίες σχετικά με την εφαρμογή των ακόλουθων στόχων και μέτρων:</w:t>
      </w:r>
    </w:p>
    <w:p>
      <w:pPr>
        <w:pStyle w:val="Point0"/>
        <w:rPr>
          <w:noProof/>
        </w:rPr>
      </w:pPr>
      <w:r>
        <w:rPr>
          <w:noProof/>
        </w:rPr>
        <w:t>α)</w:t>
      </w:r>
      <w:r>
        <w:rPr>
          <w:noProof/>
        </w:rPr>
        <w:tab/>
        <w:t>εθνικών στόχων και πολιτικών που μεταφέρουν σε εθνικό πλαίσιο τους στόχους και τις πολιτικές του σχεδίου ΣΕΤ·</w:t>
      </w:r>
    </w:p>
    <w:p>
      <w:pPr>
        <w:pStyle w:val="Point0"/>
        <w:rPr>
          <w:noProof/>
        </w:rPr>
      </w:pPr>
      <w:r>
        <w:rPr>
          <w:noProof/>
        </w:rPr>
        <w:t>β)</w:t>
      </w:r>
      <w:r>
        <w:rPr>
          <w:noProof/>
        </w:rPr>
        <w:tab/>
        <w:t>εθνικών στόχων για τις συνολικές (δημόσιες και ιδιωτικές) δαπάνες στην έρευνα και την καινοτομία σχετικά με καθαρές και ενεργειακές τεχνολογίες, καθώς και για το τεχνολογικό κόστος και την ανάπτυξη επιδόσεων·</w:t>
      </w:r>
    </w:p>
    <w:p>
      <w:pPr>
        <w:pStyle w:val="Point0"/>
        <w:rPr>
          <w:noProof/>
        </w:rPr>
      </w:pPr>
      <w:r>
        <w:rPr>
          <w:noProof/>
        </w:rPr>
        <w:t>γ)</w:t>
      </w:r>
      <w:r>
        <w:rPr>
          <w:noProof/>
        </w:rPr>
        <w:tab/>
        <w:t>κατά περίπτωση, εθνικών στόχων, συμπεριλαμβανομένων μακροπρόθεσμων στόχων για το 2050 σχετικά με την εφαρμογή τεχνολογιών για την απαλλαγή των ενεργοβόρων και υψηλής έντασης άνθρακα βιομηχανικών τομέων από τις ανθρακούχες εκπομπές και, κατά περίπτωση, για υποδομές μεταφοράς, χρήσης και αποθήκευσης που σχετίζονται με τις εκπομπές ·</w:t>
      </w:r>
    </w:p>
    <w:p>
      <w:pPr>
        <w:pStyle w:val="Point0"/>
        <w:rPr>
          <w:noProof/>
        </w:rPr>
      </w:pPr>
      <w:r>
        <w:rPr>
          <w:noProof/>
        </w:rPr>
        <w:t>δ)</w:t>
      </w:r>
      <w:r>
        <w:rPr>
          <w:noProof/>
        </w:rPr>
        <w:tab/>
        <w:t>εθνικών στόχων για τη σταδιακή κατάργηση των επιδοτήσεων στον τομέα της ενέργειας·</w:t>
      </w:r>
    </w:p>
    <w:p>
      <w:pPr>
        <w:pStyle w:val="Point0"/>
        <w:rPr>
          <w:noProof/>
        </w:rPr>
      </w:pPr>
      <w:r>
        <w:rPr>
          <w:noProof/>
        </w:rPr>
        <w:t>ε)</w:t>
      </w:r>
      <w:r>
        <w:rPr>
          <w:noProof/>
        </w:rPr>
        <w:tab/>
        <w:t>εφαρμοζόμενων, θεσπισμένων και προγραμματισμένων πολιτικών και μέτρων για την επίτευξη των στόχων που αναφέρονται στα στοιχεία β) και γ)·</w:t>
      </w:r>
    </w:p>
    <w:p>
      <w:pPr>
        <w:pStyle w:val="Point0"/>
        <w:rPr>
          <w:noProof/>
        </w:rPr>
      </w:pPr>
      <w:r>
        <w:rPr>
          <w:noProof/>
        </w:rPr>
        <w:t>στ)</w:t>
      </w:r>
      <w:r>
        <w:rPr>
          <w:noProof/>
        </w:rPr>
        <w:tab/>
        <w:t>συνεργασίας με άλλα κράτη μέλη για την εφαρμογή των στόχων και πολιτικών που αναφέρονται στα στοιχεία β) έως δ), συμπεριλαμβανομένου του συντονισμού των πολιτικών και μέτρων μέσω του σχεδίου ΣΕΤ, όπως είναι η προσαρμογή των προγραμμάτων έρευνας και των κοινών προγραμμάτων·</w:t>
      </w:r>
    </w:p>
    <w:p>
      <w:pPr>
        <w:pStyle w:val="Point0"/>
        <w:rPr>
          <w:noProof/>
        </w:rPr>
      </w:pPr>
      <w:r>
        <w:rPr>
          <w:noProof/>
        </w:rPr>
        <w:t>ζ)</w:t>
      </w:r>
      <w:r>
        <w:rPr>
          <w:noProof/>
        </w:rPr>
        <w:tab/>
        <w:t>μέτρων χρηματοδότησης, συμπεριλαμβανομένων της στήριξης της Ένωσης και της χρήσης κονδυλίων της Ένωσης, στον εν λόγω τομέα σε εθνικό επίπεδο, κατά περίπτωση.</w:t>
      </w:r>
    </w:p>
    <w:p>
      <w:pPr>
        <w:pStyle w:val="SectionTitle"/>
        <w:spacing w:before="100" w:beforeAutospacing="1" w:after="100" w:afterAutospacing="1"/>
        <w:rPr>
          <w:i/>
          <w:noProof/>
        </w:rPr>
      </w:pPr>
      <w:r>
        <w:rPr>
          <w:noProof/>
        </w:rPr>
        <w:t>Τμήμα 2</w:t>
      </w:r>
      <w:r>
        <w:rPr>
          <w:noProof/>
        </w:rPr>
        <w:br/>
        <w:t>Ετήσια υποβολή εκθέσεων</w:t>
      </w:r>
    </w:p>
    <w:p>
      <w:pPr>
        <w:pStyle w:val="Titrearticle"/>
        <w:spacing w:before="100" w:beforeAutospacing="1" w:after="100" w:afterAutospacing="1"/>
        <w:rPr>
          <w:b/>
          <w:i w:val="0"/>
          <w:noProof/>
        </w:rPr>
      </w:pPr>
      <w:r>
        <w:rPr>
          <w:noProof/>
        </w:rPr>
        <w:t>Άρθρο 23</w:t>
      </w:r>
      <w:r>
        <w:rPr>
          <w:noProof/>
        </w:rPr>
        <w:br/>
      </w:r>
      <w:r>
        <w:rPr>
          <w:b/>
          <w:i w:val="0"/>
          <w:noProof/>
        </w:rPr>
        <w:t>Ετήσια υποβολή εκθέσεων</w:t>
      </w:r>
    </w:p>
    <w:p>
      <w:pPr>
        <w:rPr>
          <w:noProof/>
        </w:rPr>
      </w:pPr>
      <w:r>
        <w:rPr>
          <w:noProof/>
        </w:rPr>
        <w:t>1.</w:t>
      </w:r>
      <w:r>
        <w:rPr>
          <w:noProof/>
        </w:rPr>
        <w:tab/>
        <w:t>Τα κράτη μέλη υποβάλουν εκθέσεις στην Επιτροπή, έως τις 15 Μαρτίου 2021 και ανά έτος εφεξής (έτος Χ), σχετικά με:</w:t>
      </w:r>
    </w:p>
    <w:p>
      <w:pPr>
        <w:pStyle w:val="Point0"/>
        <w:rPr>
          <w:noProof/>
        </w:rPr>
      </w:pPr>
      <w:r>
        <w:rPr>
          <w:noProof/>
        </w:rPr>
        <w:t>α)</w:t>
      </w:r>
      <w:r>
        <w:rPr>
          <w:noProof/>
        </w:rPr>
        <w:tab/>
        <w:t>τις προσεγγιστικές απογραφές των αερίων θερμοκηπίου για το έτος X-1·</w:t>
      </w:r>
    </w:p>
    <w:p>
      <w:pPr>
        <w:pStyle w:val="Point0"/>
        <w:rPr>
          <w:noProof/>
        </w:rPr>
      </w:pPr>
      <w:r>
        <w:rPr>
          <w:noProof/>
        </w:rPr>
        <w:t>β)</w:t>
      </w:r>
      <w:r>
        <w:rPr>
          <w:noProof/>
        </w:rPr>
        <w:tab/>
        <w:t>τις πληροφορίες που αναφέρονται στο άρθρο 6 παράγραφος 2 της οδηγίας 2009/119/ΕΚ·</w:t>
      </w:r>
    </w:p>
    <w:p>
      <w:pPr>
        <w:pStyle w:val="Point0"/>
        <w:rPr>
          <w:noProof/>
        </w:rPr>
      </w:pPr>
      <w:r>
        <w:rPr>
          <w:noProof/>
        </w:rPr>
        <w:t>γ)</w:t>
      </w:r>
      <w:r>
        <w:rPr>
          <w:noProof/>
        </w:rPr>
        <w:tab/>
        <w:t>τις πληροφορίες που αναφέρονται στο παράρτημα IX, σημείο 3 της οδηγίας 2013/30/ΕΕ, σύμφωνα με το άρθρο 25 της εν λόγω οδηγίας.</w:t>
      </w:r>
    </w:p>
    <w:p>
      <w:pPr>
        <w:rPr>
          <w:noProof/>
        </w:rPr>
      </w:pPr>
      <w:r>
        <w:rPr>
          <w:noProof/>
        </w:rPr>
        <w:t>Για τους σκοπούς του στοιχείου α), η Επιτροπή εκπονεί ετησίως, με βάση τις κατά προσέγγιση απογραφές των αερίων θερμοκηπίου των κρατών μελών ή, εάν ένα κράτος μέλος δεν έχει κοινοποιήσει τις κατά προσέγγιση απογραφές του μέχρι την εν λόγω ημερομηνία, με βάση δικές της εκτιμήσεις, ενωσιακή κατά προσέγγιση απογραφή των αερίων θερμοκηπίου. Η Επιτροπή δημοσιοποιεί τις πληροφορίες αυτές έως τις 30 Σεπτεμβρίου κάθε έτους.</w:t>
      </w:r>
    </w:p>
    <w:p>
      <w:pPr>
        <w:rPr>
          <w:noProof/>
        </w:rPr>
      </w:pPr>
      <w:r>
        <w:rPr>
          <w:noProof/>
        </w:rPr>
        <w:t>2.</w:t>
      </w:r>
      <w:r>
        <w:rPr>
          <w:noProof/>
        </w:rPr>
        <w:tab/>
        <w:t xml:space="preserve">Από το 2023, τα κράτη μέλη προσδιορίζουν και υποβάλλουν στην Επιτροπή τελικά δεδομένα απογραφής αερίων θερμοκηπίου έως τις 15 Μαρτίου κάθε έτους (Χ) και προκαταρκτικά δεδομένα έως τις 15 Ιανουαρίου κάθε έτους, συμπεριλαμβανομένων πληροφοριών αερίων θερμοκηπίου και απογραφής που παρατίθενται στο παράρτημα III. Η έκθεση για τα τελικά δεδομένα απογραφής αερίων θερμοκηπίου περιλαμβάνει επίσης πλήρη και επικαιροποιημένη έκθεση εθνικής απογραφής. </w:t>
      </w:r>
    </w:p>
    <w:p>
      <w:pPr>
        <w:rPr>
          <w:noProof/>
        </w:rPr>
      </w:pPr>
      <w:r>
        <w:rPr>
          <w:noProof/>
        </w:rPr>
        <w:t>3.</w:t>
      </w:r>
      <w:r>
        <w:rPr>
          <w:noProof/>
        </w:rPr>
        <w:tab/>
        <w:t>Τα κράτη μέλη υποβάλλουν στη γραμματεία της UNFCCC έως τις 15 Απριλίου κάθε έτους εθνικές απογραφές, οι οποίες περιλαμβάνουν πληροφορίες που διαβιβάζονται στην Επιτροπή σχετικά με τα τελικά δεδομένα απογραφής αερίων θερμοκηπίου, σύμφωνα με την παράγραφο 2 του παρόντος άρθρου. Η Επιτροπή σε συνεργασία με τα κράτη μέλη εκπονεί ετησίως, έως τις 15 Απριλίου κάθε έτους, ενωσιακή απογραφή των αερίων θερμοκηπίου, και προετοιμάζει έκθεση για την ενωσιακή απογραφή των αερίων θερμοκηπίου, τις οποίες υποβάλλει στη γραμματεία της UNFCCC .</w:t>
      </w:r>
    </w:p>
    <w:p>
      <w:pPr>
        <w:rPr>
          <w:noProof/>
        </w:rPr>
      </w:pPr>
      <w:r>
        <w:rPr>
          <w:noProof/>
        </w:rPr>
        <w:t>4.</w:t>
      </w:r>
      <w:r>
        <w:rPr>
          <w:noProof/>
        </w:rPr>
        <w:tab/>
        <w:t>Τα κράτη μέλη υποβάλλουν στην Επιτροπή τα προκαταρκτικά και τελικά δεδομένα εθνικών απογραφών έως τις 15 Ιανουαρίου και 15 Μαρτίου αντίστοιχα, για τα έτη 2027 και 2032, όπως καταρτίζονται για τους οικείους λογαριασμούς LULUCF για τον σκοπό των εκθέσεων συμμόρφωσης σύμφωνα με το άρθρο 12 του κανονισμού [ ] [LULUCF].</w:t>
      </w:r>
    </w:p>
    <w:p>
      <w:pPr>
        <w:rPr>
          <w:noProof/>
        </w:rPr>
      </w:pPr>
      <w:r>
        <w:rPr>
          <w:noProof/>
        </w:rPr>
        <w:t>5.</w:t>
      </w:r>
      <w:r>
        <w:rPr>
          <w:noProof/>
        </w:rPr>
        <w:tab/>
        <w:t xml:space="preserve">Η Επιτροπή εξουσιοδοτείται να εκδίδει κατ’ εξουσιοδότηση πράξεις σύμφωνα με το άρθρο 36 για τα ακόλουθα: </w:t>
      </w:r>
    </w:p>
    <w:p>
      <w:pPr>
        <w:pStyle w:val="Point0"/>
        <w:rPr>
          <w:noProof/>
        </w:rPr>
      </w:pPr>
      <w:r>
        <w:rPr>
          <w:noProof/>
        </w:rPr>
        <w:t>α)</w:t>
      </w:r>
      <w:r>
        <w:rPr>
          <w:noProof/>
        </w:rPr>
        <w:tab/>
        <w:t xml:space="preserve">την τροποποίηση του μέρους 2 του παραρτήματος III, με την προσθήκη ή τη διαγραφή ουσιών από τον κατάλογο των αερίων θερμοκηπίου· </w:t>
      </w:r>
    </w:p>
    <w:p>
      <w:pPr>
        <w:pStyle w:val="Point0"/>
        <w:rPr>
          <w:noProof/>
        </w:rPr>
      </w:pPr>
      <w:r>
        <w:rPr>
          <w:noProof/>
        </w:rPr>
        <w:t>β)</w:t>
      </w:r>
      <w:r>
        <w:rPr>
          <w:noProof/>
        </w:rPr>
        <w:tab/>
        <w:t>τη συμπλήρωση του παρόντος κανονισμού με τον ορισμό τιμών για το δυναμικό υπερθέρμανσης του πλανήτη και τον προσδιορισμό των κατευθυντήριων γραμμών για τις απογραφές που εφαρμόζονται, σύμφωνα με τις σχετικές αποφάσεις που λαμβάνουν τα όργανα της UNFCCC ή της συμφωνίας του Παρισιού.</w:t>
      </w:r>
    </w:p>
    <w:p>
      <w:pPr>
        <w:rPr>
          <w:noProof/>
          <w:szCs w:val="24"/>
        </w:rPr>
      </w:pPr>
      <w:r>
        <w:rPr>
          <w:noProof/>
        </w:rPr>
        <w:t>6.</w:t>
      </w:r>
      <w:r>
        <w:rPr>
          <w:noProof/>
        </w:rPr>
        <w:tab/>
        <w:t>Η Επιτροπή εκδίδει εκτελεστικές πράξεις προκειμένου να καθορίσει τη δομή, τις τεχνικές λεπτομέρειες, τον μορφότυπο και τις διαδικασίες υποβολής των προσεγγιστικών απογραφών των αερίων θερμοκηπίου που διαβιβάζονται από τα κράτη μέλη δυνάμει της παραγράφου 1, των απογραφών των αερίων θερμοκηπίου δυνάμει της παραγράφου 2, καθώς και των εκτιμώμενων εκπομπών αερίων του θερμοκηπίου και των απορροφήσεων σύμφωνα με τα άρθρα 5 και 12 του κανονισμού [ ] [LULUCF]. Όταν προτείνει τις εν λόγω εκτελεστικές πράξεις, η Επιτροπή λαμβάνει υπόψη τα χρονοδιαγράμματα της UNFCCC ή της συμφωνίας του Παρισιού για την παρακολούθηση και την υποβολή εκθέσεων σχετικά με τις πληροφορίες αυτές, καθώς και με τις σχετικές αποφάσεις που λαμβάνουν τα όργανα της UNFCCC ή της συμφωνίας του Παρισιού, προκειμένου να διασφαλιστεί η συμμόρφωση της Ένωσης με τις υποχρεώσεις υποβολής εκθέσεων ως συμβαλλόμενου μέρους της UNFCCC και της συμφωνίας του Παρισιού. Στις εκτελεστικές πράξεις αυτές ορίζονται επίσης οι προθεσμίες για τη συνεργασία και τον συντονισμό ανάμεσα στην Επιτροπή και τα κράτη μέλη κατά την προετοιμασία της έκθεσης με θέμα την ενωσιακή απογραφή των αερίων θερμοκηπίου. Οι εν λόγω εκτελεστικές πράξεις εκδίδονται σύμφωνα με τη διαδικασία εξέτασης που αναφέρεται στο άρθρο 37 παράγραφος 3.</w:t>
      </w:r>
    </w:p>
    <w:p>
      <w:pPr>
        <w:pStyle w:val="SectionTitle"/>
        <w:rPr>
          <w:noProof/>
        </w:rPr>
      </w:pPr>
      <w:r>
        <w:rPr>
          <w:noProof/>
        </w:rPr>
        <w:t>ΤΜΗΜΑ 3</w:t>
      </w:r>
      <w:r>
        <w:rPr>
          <w:noProof/>
        </w:rPr>
        <w:br/>
        <w:t>Πλατφόρμα υποβολής εκθέσεων</w:t>
      </w:r>
    </w:p>
    <w:p>
      <w:pPr>
        <w:pStyle w:val="Titrearticle"/>
        <w:rPr>
          <w:noProof/>
        </w:rPr>
      </w:pPr>
      <w:r>
        <w:rPr>
          <w:noProof/>
        </w:rPr>
        <w:t>Άρθρο 24</w:t>
      </w:r>
      <w:r>
        <w:rPr>
          <w:noProof/>
        </w:rPr>
        <w:br/>
      </w:r>
      <w:r>
        <w:rPr>
          <w:b/>
          <w:i w:val="0"/>
          <w:noProof/>
        </w:rPr>
        <w:t>Πλατφόρμα ηλεκτρονικής υποβολής εκθέσεων</w:t>
      </w:r>
    </w:p>
    <w:p>
      <w:pPr>
        <w:rPr>
          <w:noProof/>
          <w:szCs w:val="24"/>
        </w:rPr>
      </w:pPr>
      <w:r>
        <w:rPr>
          <w:noProof/>
        </w:rPr>
        <w:t>1.</w:t>
      </w:r>
      <w:r>
        <w:rPr>
          <w:noProof/>
        </w:rPr>
        <w:tab/>
        <w:t>Η Επιτροπή δημιουργεί πλατφόρμα ηλεκτρονικής υποβολής εκθέσεων για τη διευκόλυνση της επικοινωνίας μεταξύ της Επιτροπής και των κρατών μελών, καθώς και την προώθηση της συνεργασίας μεταξύ των κρατών μελών.</w:t>
      </w:r>
    </w:p>
    <w:p>
      <w:pPr>
        <w:rPr>
          <w:noProof/>
          <w:szCs w:val="24"/>
        </w:rPr>
      </w:pPr>
      <w:r>
        <w:rPr>
          <w:noProof/>
        </w:rPr>
        <w:t>2.</w:t>
      </w:r>
      <w:r>
        <w:rPr>
          <w:noProof/>
        </w:rPr>
        <w:tab/>
        <w:t xml:space="preserve">Τα κράτη μέλη χρησιμοποιούν την ηλεκτρονική πλατφόρμα για την υποβολή των εκθέσεων που αναφέρονται στο παρόν κεφάλαιο στην Επιτροπή, μόλις η πλατφόρμα τεθεί σε λειτουργία. </w:t>
      </w:r>
    </w:p>
    <w:p>
      <w:pPr>
        <w:jc w:val="center"/>
        <w:rPr>
          <w:i/>
          <w:noProof/>
          <w:szCs w:val="24"/>
        </w:rPr>
      </w:pPr>
      <w:r>
        <w:rPr>
          <w:i/>
          <w:noProof/>
        </w:rPr>
        <w:t xml:space="preserve"> </w:t>
      </w:r>
    </w:p>
    <w:p>
      <w:pPr>
        <w:pStyle w:val="PartTitle"/>
        <w:rPr>
          <w:noProof/>
        </w:rPr>
      </w:pPr>
      <w:r>
        <w:rPr>
          <w:noProof/>
        </w:rPr>
        <w:t>ΚΕΦΑΛΑΙΟ 5</w:t>
      </w:r>
      <w:r>
        <w:rPr>
          <w:noProof/>
        </w:rPr>
        <w:br/>
        <w:t>ΣΥΓΚΕΝΤΡΩΤΙΚΗ ΑΞΙΟΛΟΓΗΣΗ ΤΩΝ ΕΘΝΙΚΩΝ ΣΧΕΔΙΩΝ ΚΑΙ ΤΗΣ ΕΠΙΤΕΥΞΗΣ ΤΩΝ ΣΤΟΧΩΝ ΤΗΣ ΕΝΩΣΗΣ –– ΠΑΡΑΚΟΛΟΥΘΗΣΗ ΑΠΟ ΤΗΝ ΕΠΙΤΡΟΠΗ</w:t>
      </w:r>
    </w:p>
    <w:p>
      <w:pPr>
        <w:pStyle w:val="Titrearticle"/>
        <w:rPr>
          <w:noProof/>
          <w:szCs w:val="24"/>
        </w:rPr>
      </w:pPr>
      <w:r>
        <w:rPr>
          <w:noProof/>
        </w:rPr>
        <w:t>Άρθρο 25</w:t>
      </w:r>
      <w:r>
        <w:rPr>
          <w:noProof/>
        </w:rPr>
        <w:br/>
      </w:r>
      <w:r>
        <w:rPr>
          <w:b/>
          <w:i w:val="0"/>
          <w:noProof/>
        </w:rPr>
        <w:t>Αξιολόγηση της προόδου</w:t>
      </w:r>
    </w:p>
    <w:p>
      <w:pPr>
        <w:rPr>
          <w:noProof/>
          <w:szCs w:val="24"/>
        </w:rPr>
      </w:pPr>
      <w:r>
        <w:rPr>
          <w:noProof/>
        </w:rPr>
        <w:t>1.</w:t>
      </w:r>
      <w:r>
        <w:rPr>
          <w:noProof/>
        </w:rPr>
        <w:tab/>
        <w:t>Έως τις 31 Οκτωβρίου 2021 και ανά δύο έτη εφεξής, η Επιτροπή αξιολογεί, ιδιαίτερα βάσει των ενοποιημένων εθνικών εκθέσεων προόδου για την ενέργεια και το κλίμα, άλλων πληροφοριών που υποβάλλονται δυνάμει του παρόντος κανονισμού και των δεικτών και ευρωπαϊκών στατιστικών, αν είναι διαθέσιμες, τα εξής:</w:t>
      </w:r>
    </w:p>
    <w:p>
      <w:pPr>
        <w:pStyle w:val="Point0"/>
        <w:rPr>
          <w:noProof/>
        </w:rPr>
      </w:pPr>
      <w:r>
        <w:rPr>
          <w:noProof/>
        </w:rPr>
        <w:t>α)</w:t>
      </w:r>
      <w:r>
        <w:rPr>
          <w:noProof/>
        </w:rPr>
        <w:tab/>
        <w:t>την πρόοδο που έχει σημειωθεί σε ενωσιακό επίπεδο ως προς την επίτευξη των στόχων της Ενεργειακής Ένωσης, συμπεριλαμβανομένων των στόχων της Ένωσης για το 2030 για την ενέργεια και το κλίμα για την πρώτη δεκαετή περίοδο, ιδίως προκειμένου να αποφευχθούν τυχόν κενά στους στόχους της Ένωσης για το 2030 για τις ανανεώσιμες πηγές ενέργειας και την ενεργειακή απόδοση·</w:t>
      </w:r>
    </w:p>
    <w:p>
      <w:pPr>
        <w:pStyle w:val="Point0"/>
        <w:rPr>
          <w:noProof/>
          <w:szCs w:val="24"/>
        </w:rPr>
      </w:pPr>
      <w:r>
        <w:rPr>
          <w:noProof/>
        </w:rPr>
        <w:t>β)</w:t>
      </w:r>
      <w:r>
        <w:rPr>
          <w:noProof/>
        </w:rPr>
        <w:tab/>
        <w:t>την πρόοδο που έχει σημειωθεί από κάθε κράτος μέλος ως προς την επίτευξη των επιδιώξεων, των στόχων και των συνεισφορών του, καθώς και ως προς την εφαρμογή των πολιτικών και των μέτρων που ορίζονται στο εκάστοτε ενοποιημένο εθνικό σχέδιο για την ενέργεια και το κλίμα·</w:t>
      </w:r>
    </w:p>
    <w:p>
      <w:pPr>
        <w:pStyle w:val="Point0"/>
        <w:rPr>
          <w:noProof/>
        </w:rPr>
      </w:pPr>
      <w:r>
        <w:rPr>
          <w:noProof/>
        </w:rPr>
        <w:t>γ)</w:t>
      </w:r>
      <w:r>
        <w:rPr>
          <w:noProof/>
        </w:rPr>
        <w:tab/>
        <w:t>τις συνολικές επιπτώσεις των αεροπορικών μεταφορών στο κλίμα του πλανήτη, συμπεριλαμβανομένων εκείνων που δεν σχετίζονται με τις εκπομπές CO</w:t>
      </w:r>
      <w:r>
        <w:rPr>
          <w:noProof/>
          <w:vertAlign w:val="subscript"/>
        </w:rPr>
        <w:t>2</w:t>
      </w:r>
      <w:r>
        <w:rPr>
          <w:noProof/>
        </w:rPr>
        <w:t xml:space="preserve"> ή τα αποτελέσματά τους, με βάση τα δεδομένα σχετικά με τις εκπομπές που διαβιβάζουν τα κράτη μέλη δυνάμει του άρθρου 23, και βελτιώνει την ποσοτικοποίηση αυτή λαμβάνοντας υπόψη τις επιστημονικές εξελίξεις και τα δεδομένα εναέριας κυκλοφορίας, κατά περίπτωση.</w:t>
      </w:r>
    </w:p>
    <w:p>
      <w:pPr>
        <w:rPr>
          <w:noProof/>
        </w:rPr>
      </w:pPr>
      <w:r>
        <w:rPr>
          <w:noProof/>
        </w:rPr>
        <w:t>2.</w:t>
      </w:r>
      <w:r>
        <w:rPr>
          <w:noProof/>
        </w:rPr>
        <w:tab/>
        <w:t>Στον τομέα των ανανεώσιμων πηγών ενέργειας, η Επιτροπή, ως μέρος της αξιολόγησης στην οποία αναφέρεται η παράγραφος 1, αξιολογεί την πρόοδο που σημειώθηκε στο μερίδιο ενέργειας από ανανεώσιμες πηγές στην ακαθάριστη τελική κατανάλωση της Ένωσης με βάση γραμμική πορεία που ξεκινάει από το 20 % το 2020 και αγγίζει τουλάχιστον το 27 % το 2030, όπως αναφέρεται στο στοιχείο α) του άρθρου 4 παράγραφος 2 σημείο i).</w:t>
      </w:r>
    </w:p>
    <w:p>
      <w:pPr>
        <w:rPr>
          <w:noProof/>
        </w:rPr>
      </w:pPr>
      <w:r>
        <w:rPr>
          <w:noProof/>
        </w:rPr>
        <w:t>3.</w:t>
      </w:r>
      <w:r>
        <w:rPr>
          <w:noProof/>
        </w:rPr>
        <w:tab/>
        <w:t>Στον τομέα της ενεργειακής απόδοσης, η Επιτροπή, ως μέρος της αξιολόγησης στην οποία αναφέρεται η παράγραφος 1, αξιολογεί την πρόοδο που σημειώθηκε ως προς τη συλλογική επίτευξη μέγιστης κατανάλωσης ενέργειας σε ενωσιακό επίπεδο της τάξεως των 1 321 εκατ. ΤΙΠ της κατανάλωσης πρωτογενούς ενέργειας και 987 εκατ. ΤΙΠ της κατανάλωσης τελικής ενέργειας το 2030, όπως αναφέρεται στο στοιχείο β) του άρθρου 4 παράγραφος 1.</w:t>
      </w:r>
    </w:p>
    <w:p>
      <w:pPr>
        <w:rPr>
          <w:noProof/>
        </w:rPr>
      </w:pPr>
      <w:r>
        <w:rPr>
          <w:noProof/>
        </w:rPr>
        <w:t>Κατά τη διενέργεια της αξιολόγησης, η Επιτροπή λαμβάνει τα εξής μέτρα:</w:t>
      </w:r>
    </w:p>
    <w:p>
      <w:pPr>
        <w:pStyle w:val="Point0"/>
        <w:rPr>
          <w:noProof/>
          <w:szCs w:val="24"/>
        </w:rPr>
      </w:pPr>
      <w:r>
        <w:rPr>
          <w:noProof/>
        </w:rPr>
        <w:t>α)</w:t>
      </w:r>
      <w:r>
        <w:rPr>
          <w:noProof/>
        </w:rPr>
        <w:tab/>
        <w:t>εξετάζει αν επιτυγχάνεται το ενωσιακό ορόσημο μη υπέρβασης της κατανάλωσης πρωτογενούς ενέργειας 1483 εκατ. ΤΙΠ και 1086 εκατ. ΤΙΠ τελικής ενέργειας το 2020·</w:t>
      </w:r>
    </w:p>
    <w:p>
      <w:pPr>
        <w:pStyle w:val="Point0"/>
        <w:rPr>
          <w:noProof/>
          <w:szCs w:val="24"/>
        </w:rPr>
      </w:pPr>
      <w:r>
        <w:rPr>
          <w:noProof/>
        </w:rPr>
        <w:t>β)</w:t>
      </w:r>
      <w:r>
        <w:rPr>
          <w:noProof/>
        </w:rPr>
        <w:tab/>
        <w:t>αξιολογεί αν η πρόοδος των κρατών μελών υποδηλώνει ότι η Ένωση στο σύνολό της βρίσκεται σε σωστή πορεία όσον αφορά το επίπεδο της κατανάλωσης ενέργειας το 2030, όπως αναφέρεται στο πρώτο εδάφιο, λαμβάνοντας υπόψη την αξιολόγηση των πληροφοριών που διαβιβάζουν τα κράτη μέλη στις ενοποιημένες εθνικές εκθέσεις προόδου για την ενέργεια και το κλίμα·</w:t>
      </w:r>
    </w:p>
    <w:p>
      <w:pPr>
        <w:pStyle w:val="Point0"/>
        <w:rPr>
          <w:noProof/>
          <w:szCs w:val="24"/>
        </w:rPr>
      </w:pPr>
      <w:r>
        <w:rPr>
          <w:noProof/>
        </w:rPr>
        <w:t>γ)</w:t>
      </w:r>
      <w:r>
        <w:rPr>
          <w:noProof/>
        </w:rPr>
        <w:tab/>
        <w:t>χρησιμοποιεί τα αποτελέσματα μοντελοποιήσεων για τις μελλοντικές τάσεις της κατανάλωσης ενέργειας σε επίπεδο Ένωσης και σε εθνικό επίπεδο και χρησιμοποιεί άλλη συμπληρωματική ανάλυση.</w:t>
      </w:r>
    </w:p>
    <w:p>
      <w:pPr>
        <w:rPr>
          <w:noProof/>
          <w:szCs w:val="24"/>
        </w:rPr>
      </w:pPr>
      <w:r>
        <w:rPr>
          <w:noProof/>
        </w:rPr>
        <w:t>4.</w:t>
      </w:r>
      <w:r>
        <w:rPr>
          <w:noProof/>
        </w:rPr>
        <w:tab/>
        <w:t xml:space="preserve">Έως τις 31 Οκτωβρίου 2021 και ανά έτος εφεξής, η Επιτροπή αξιολογεί, ιδίως βάσει των πληροφοριών που υποβάλλονται δυνάμει του παρόντος κανονισμού, αν η Ένωση και τα κράτη μέλη της έχουν σημειώσει επαρκή πρόοδο ως προς την επίτευξη των ακόλουθων σημείων: </w:t>
      </w:r>
    </w:p>
    <w:p>
      <w:pPr>
        <w:pStyle w:val="Point0"/>
        <w:rPr>
          <w:noProof/>
        </w:rPr>
      </w:pPr>
      <w:r>
        <w:rPr>
          <w:noProof/>
        </w:rPr>
        <w:t>α)</w:t>
      </w:r>
      <w:r>
        <w:rPr>
          <w:noProof/>
        </w:rPr>
        <w:tab/>
        <w:t xml:space="preserve">των δεσμεύσεων βάσει του άρθρου 4 της UNFCCC και του άρθρου 3 της συμφωνίας του Παρισιού, οι οποίες ορίζονται στις αποφάσεις που εξέδωσε η διάσκεψη των μερών της UNFCCC ή η διάσκεψη των μερών της UNFCCC που επέχει θέση συνόδου των μερών της συμφωνίας του Παρισιού· </w:t>
      </w:r>
    </w:p>
    <w:p>
      <w:pPr>
        <w:pStyle w:val="Point0"/>
        <w:rPr>
          <w:noProof/>
        </w:rPr>
      </w:pPr>
      <w:r>
        <w:rPr>
          <w:noProof/>
        </w:rPr>
        <w:t>β)</w:t>
      </w:r>
      <w:r>
        <w:rPr>
          <w:noProof/>
        </w:rPr>
        <w:tab/>
        <w:t>των υποχρεώσεων που θεσπίζονται στο άρθρο 4 του κανονισμού [ ] [ESR] και το άρθρο 4 του κανονισμού [  ] [LULUCF]·</w:t>
      </w:r>
    </w:p>
    <w:p>
      <w:pPr>
        <w:pStyle w:val="Point0"/>
        <w:rPr>
          <w:noProof/>
        </w:rPr>
      </w:pPr>
      <w:r>
        <w:rPr>
          <w:noProof/>
        </w:rPr>
        <w:t>γ)</w:t>
      </w:r>
      <w:r>
        <w:rPr>
          <w:noProof/>
        </w:rPr>
        <w:tab/>
        <w:t>των στόχων που ορίζονται στο ενοποιημένο εθνικό σχέδιο για την ενέργεια και το κλίμα, προκειμένου να επιτευχθούν οι στόχοι της Ενεργειακής Ένωσης και για την πρώτη δεκαετή περίοδο, προκειμένου να εκπληρωθούν οι στόχοι για το 2030 για την ενέργεια και το κλίμα.</w:t>
      </w:r>
    </w:p>
    <w:p>
      <w:pPr>
        <w:rPr>
          <w:noProof/>
          <w:szCs w:val="24"/>
        </w:rPr>
      </w:pPr>
      <w:r>
        <w:rPr>
          <w:noProof/>
        </w:rPr>
        <w:t>5.</w:t>
      </w:r>
      <w:r>
        <w:rPr>
          <w:noProof/>
        </w:rPr>
        <w:tab/>
        <w:t>Έως τις 31 Οκτωβρίου 2019 και ανά τέσσερα έτη εφεξής, η Επιτροπή αξιολογεί την εφαρμογή της οδηγίας 2009/31/ΕΚ.</w:t>
      </w:r>
    </w:p>
    <w:p>
      <w:pPr>
        <w:rPr>
          <w:noProof/>
        </w:rPr>
      </w:pPr>
      <w:r>
        <w:rPr>
          <w:noProof/>
        </w:rPr>
        <w:t>6.</w:t>
      </w:r>
      <w:r>
        <w:rPr>
          <w:noProof/>
        </w:rPr>
        <w:tab/>
        <w:t>Στην αξιολόγησή της, η Επιτροπή θα πρέπει να λάβει υπόψη τις τελευταίες ειδικές ανά χώρα συστάσεις που εκδίδονται στο πλαίσιο του Ευρωπαϊκού Εξαμήνου.</w:t>
      </w:r>
    </w:p>
    <w:p>
      <w:pPr>
        <w:rPr>
          <w:noProof/>
        </w:rPr>
      </w:pPr>
      <w:r>
        <w:rPr>
          <w:noProof/>
        </w:rPr>
        <w:t>7.</w:t>
      </w:r>
      <w:r>
        <w:rPr>
          <w:noProof/>
        </w:rPr>
        <w:tab/>
        <w:t>Η Επιτροπή υποβάλλει έκθεση σχετικά με την αξιολόγησή της σύμφωνα με το παρόν άρθρο, ως μέρος της έκθεσης σχετικά με την κατάσταση της Ενεργειακής Ένωσης στην οποία αναφέρεται το άρθρο 29.</w:t>
      </w:r>
    </w:p>
    <w:p>
      <w:pPr>
        <w:pStyle w:val="Titrearticle"/>
        <w:rPr>
          <w:noProof/>
        </w:rPr>
      </w:pPr>
      <w:r>
        <w:rPr>
          <w:noProof/>
        </w:rPr>
        <w:t>Άρθρο 26</w:t>
      </w:r>
    </w:p>
    <w:p>
      <w:pPr>
        <w:jc w:val="center"/>
        <w:rPr>
          <w:noProof/>
        </w:rPr>
      </w:pPr>
      <w:r>
        <w:rPr>
          <w:b/>
          <w:noProof/>
        </w:rPr>
        <w:t>Παρακολούθηση σε περίπτωση ασυνεπειών με τις βασικές επιδιώξεις και τους στόχους της Ενεργειακής Ένωσης δυνάμει του κανονισμού περί επιμερισμού των προσπαθειών</w:t>
      </w:r>
    </w:p>
    <w:p>
      <w:pPr>
        <w:rPr>
          <w:noProof/>
          <w:szCs w:val="24"/>
        </w:rPr>
      </w:pPr>
      <w:r>
        <w:rPr>
          <w:noProof/>
        </w:rPr>
        <w:t>1.</w:t>
      </w:r>
      <w:r>
        <w:rPr>
          <w:noProof/>
        </w:rPr>
        <w:tab/>
        <w:t>Με βάση την αξιολόγηση σύμφωνα με το άρθρο 25, η Επιτροπή εκδίδει συστάσεις προς κράτος μέλος δυνάμει του άρθρου 28, αν οι εξελίξεις της πολιτικής στο συγκεκριμένο κράτος μέλος εμφανίζουν ασυνέπειες με τους βασικούς στόχους της Ενεργειακής Ένωσης.</w:t>
      </w:r>
    </w:p>
    <w:p>
      <w:pPr>
        <w:rPr>
          <w:noProof/>
          <w:szCs w:val="24"/>
        </w:rPr>
      </w:pPr>
      <w:r>
        <w:rPr>
          <w:noProof/>
        </w:rPr>
        <w:t>2.</w:t>
      </w:r>
      <w:r>
        <w:rPr>
          <w:noProof/>
        </w:rPr>
        <w:tab/>
        <w:t xml:space="preserve">Η Επιτροπή μπορεί να εκδίδει γνώμες σχετικά με τα σχέδια δράσης που υποβάλλονται από τα κράτη μέλη σύμφωνα με το άρθρο 8 παράγραφος 1 του κανονισμού [ ] [ESR]. </w:t>
      </w:r>
    </w:p>
    <w:p>
      <w:pPr>
        <w:pStyle w:val="Titrearticle"/>
        <w:rPr>
          <w:noProof/>
        </w:rPr>
      </w:pPr>
      <w:r>
        <w:rPr>
          <w:noProof/>
        </w:rPr>
        <w:t>Άρθρο 27</w:t>
      </w:r>
      <w:r>
        <w:rPr>
          <w:noProof/>
        </w:rPr>
        <w:br/>
      </w:r>
      <w:r>
        <w:rPr>
          <w:b/>
          <w:i w:val="0"/>
          <w:noProof/>
        </w:rPr>
        <w:t>Απόκριση σε περίπτωση ανεπαρκούς φιλοδοξίας των ενοποιημένων εθνικών σχεδίων για την ενέργεια και το κλίμα και ανεπαρκούς προόδου ως προς τους ενεργειακούς και κλιματικούς στόχους και σκοπούς της Ένωσης</w:t>
      </w:r>
      <w:r>
        <w:rPr>
          <w:b/>
          <w:noProof/>
        </w:rPr>
        <w:t xml:space="preserve"> </w:t>
      </w:r>
    </w:p>
    <w:p>
      <w:pPr>
        <w:rPr>
          <w:noProof/>
          <w:color w:val="000000" w:themeColor="text1"/>
          <w:szCs w:val="24"/>
        </w:rPr>
      </w:pPr>
      <w:r>
        <w:rPr>
          <w:noProof/>
        </w:rPr>
        <w:t>1.</w:t>
      </w:r>
      <w:r>
        <w:rPr>
          <w:noProof/>
        </w:rPr>
        <w:tab/>
        <w:t xml:space="preserve">Αν </w:t>
      </w:r>
      <w:r>
        <w:rPr>
          <w:noProof/>
          <w:color w:val="000000" w:themeColor="text1"/>
        </w:rPr>
        <w:t xml:space="preserve">με βάση της αξιολόγηση των ενοποιημένων εθνικών σχεδίων για την ενέργεια και το κλίμα και των ενημερώσεων αυτών δυνάμει του άρθρου 12 η Επιτροπή καταλήγει στο συμπέρασμα ότι οι επιδιώξεις, οι στόχοι και οι συνεισφορές των εθνικών σχεδίων ή των ενημερώσεων αυτών είναι ανεπαρκείς για τη συλλογική επίτευξη των στόχων της Ενεργειακής Ένωσης και, ιδίως, για την πρώτη δεκαετή περίοδο, για τις επιδιώξεις της Ένωσης για το 2030 για τις ανανεώσιμες πηγές ενέργειας και την ενεργειακή απόδοση, θα λάβει μέτρα σε ενωσιακό επίπεδο προκειμένου να διασφαλιστεί η συλλογική </w:t>
      </w:r>
      <w:r>
        <w:rPr>
          <w:noProof/>
        </w:rPr>
        <w:t>επίτευξη των εν λόγω επιδιώξεων και στόχων</w:t>
      </w:r>
      <w:r>
        <w:rPr>
          <w:noProof/>
          <w:color w:val="000000" w:themeColor="text1"/>
        </w:rPr>
        <w:t>. Όσον αφορά τις ανανεώσιμες πηγές ενέργειας, τα εν λόγω μέτρα πρέπει να λαμβάνουν υπόψη το επίπεδο φιλοδοξίας των συνεισφορών των κρατών μελών για τον στόχο της Ένωσης για το 2030 που ορίζονται στα εθνικά σχέδια και τις επικαιροποιήσεις τους.</w:t>
      </w:r>
    </w:p>
    <w:p>
      <w:pPr>
        <w:rPr>
          <w:noProof/>
          <w:color w:val="000000" w:themeColor="text1"/>
          <w:szCs w:val="24"/>
        </w:rPr>
      </w:pPr>
      <w:r>
        <w:rPr>
          <w:noProof/>
          <w:color w:val="000000" w:themeColor="text1"/>
        </w:rPr>
        <w:t>2.</w:t>
      </w:r>
      <w:r>
        <w:rPr>
          <w:noProof/>
        </w:rPr>
        <w:tab/>
      </w:r>
      <w:r>
        <w:rPr>
          <w:noProof/>
          <w:color w:val="000000" w:themeColor="text1"/>
        </w:rPr>
        <w:t>Αν, με βάση την αξιολόγηση δυνάμει του άρθρου 25 παράγραφος 1 στοιχείο β), η Επιτροπή καταλήγει στο συμπέρασμα ότι σημειώνεται ανεπαρκής πρόοδος από κράτος μέλος ως προς την επίτευξη των στόχων, των επιδιώξεων και των συνεισφορών ή ως προς την εφαρμογή των πολιτικών και μέτρων που ορίζονται στο ενοποιημένο εθνικό σχέδιο για την ενέργεια και το κλίμα, θα εκδίδει συστάσεις προς το εν λόγω κράτος μέλος δυνάμει του άρθρου 28.</w:t>
      </w:r>
      <w:r>
        <w:rPr>
          <w:noProof/>
        </w:rPr>
        <w:t xml:space="preserve"> </w:t>
      </w:r>
      <w:r>
        <w:rPr>
          <w:noProof/>
          <w:color w:val="000000" w:themeColor="text1"/>
        </w:rPr>
        <w:t>Κατά τη διατύπωση των συστάσεων αυτών, η Επιτροπή λαμβάνει υπόψη τις φιλόδοξες πρώιμες προσπάθειες των κρατών μελών να συνεισφέρουν στον ενωσιακό στόχο για το 2030 όσον αφορά την ενέργεια από ανανεώσιμες πηγές.</w:t>
      </w:r>
    </w:p>
    <w:p>
      <w:pPr>
        <w:rPr>
          <w:noProof/>
          <w:szCs w:val="24"/>
        </w:rPr>
      </w:pPr>
      <w:r>
        <w:rPr>
          <w:noProof/>
          <w:color w:val="000000" w:themeColor="text1"/>
        </w:rPr>
        <w:t>3.</w:t>
      </w:r>
      <w:r>
        <w:rPr>
          <w:noProof/>
        </w:rPr>
        <w:tab/>
      </w:r>
      <w:r>
        <w:rPr>
          <w:noProof/>
          <w:color w:val="000000" w:themeColor="text1"/>
        </w:rPr>
        <w:t xml:space="preserve">Αν, με βάση τη συγκεντρωτική αξιολόγηση των ενοποιημένων εθνικών εκθέσεων προόδου των κρατών μελών για την ενέργεια και το κλίμα δυνάμει του άρθρου 25 παράγραφος 1 στοιχείο α) και με τη στήριξη άλλων πηγών πληροφοριών, κατά περίπτωση, η Επιτροπή καταλήγει στο συμπέρασμα ότι η Ένωση ενδέχεται να μην επιτύχει τις επιδιώξεις της Ενεργειακής Ένωσης και, ιδίως, για την πρώτη δεκαετή περίοδο, τους στόχους του πλαισίου της Ένωσης για το κλίμα και την ενέργεια για το 2030, δύναται να εκδώσει συστάσεις προς όλα τα κράτη μέλη δυνάμει του άρθρου 28, προκειμένου να μετριάσει τον εν λόγω κίνδυνο. </w:t>
      </w:r>
      <w:r>
        <w:rPr>
          <w:noProof/>
        </w:rPr>
        <w:t>Η Επιτροπή, εκτός από τις συστάσεις, λαμβάνει, κατά περίπτωση, μέτρα σε ενωσιακό επίπεδο, προκειμένου να</w:t>
      </w:r>
      <w:r>
        <w:rPr>
          <w:noProof/>
          <w:color w:val="000000" w:themeColor="text1"/>
        </w:rPr>
        <w:t xml:space="preserve"> διασφαλίσει ιδίως την </w:t>
      </w:r>
      <w:r>
        <w:rPr>
          <w:noProof/>
        </w:rPr>
        <w:t xml:space="preserve">επίτευξη των στόχων της Ένωσης για το 2030 για τις ανανεώσιμες πηγές ενέργειας και την ενεργειακή απόδοση. Όσον αφορά την ενέργεια από ανανεώσιμες πηγές, τέτοια μέτρα λαμβάνουν υπόψη τις </w:t>
      </w:r>
      <w:r>
        <w:rPr>
          <w:noProof/>
          <w:color w:val="000000" w:themeColor="text1"/>
        </w:rPr>
        <w:t>φιλόδοξες</w:t>
      </w:r>
      <w:r>
        <w:rPr>
          <w:noProof/>
        </w:rPr>
        <w:t xml:space="preserve"> πρώιμες προσπάθειες των κρατών μελών </w:t>
      </w:r>
      <w:r>
        <w:rPr>
          <w:noProof/>
          <w:color w:val="000000" w:themeColor="text1"/>
        </w:rPr>
        <w:t>να συνεισφέρουν στον ενωσιακό στόχο για το 2030</w:t>
      </w:r>
      <w:r>
        <w:rPr>
          <w:noProof/>
        </w:rPr>
        <w:t>.</w:t>
      </w:r>
    </w:p>
    <w:p>
      <w:pPr>
        <w:pStyle w:val="Text1"/>
        <w:ind w:left="0"/>
        <w:rPr>
          <w:noProof/>
        </w:rPr>
      </w:pPr>
      <w:r>
        <w:rPr>
          <w:noProof/>
        </w:rPr>
        <w:t>4.</w:t>
      </w:r>
      <w:r>
        <w:rPr>
          <w:noProof/>
        </w:rPr>
        <w:tab/>
        <w:t>Αν, στον τομέα των ανανεώσιμων πηγών ενέργειας, με την επιφύλαξη των μέτρων σε ενωσιακό επίπεδο που ορίζονται στην παράγραφο 3, η Επιτροπή καταλήγει στο συμπέρασμα, με βάση την αξιολόγησή της δυνάμει του άρθρου 25 παράγραφος 1 και 2 για το έτος 2023, ότι η γραμμική πορεία της Ένωσης που αναφέρεται στο άρθρο 25 παράγραφος 2 δεν έχει επιτευχθεί συλλογικά, τα κράτη μέλη θα διασφαλίσουν έως το έτος 2024 ότι ενδεχόμενες αποκλίσεις, καλύπτονται από πρόσθετα μέτρα, όπως τα εξής:</w:t>
      </w:r>
    </w:p>
    <w:p>
      <w:pPr>
        <w:pStyle w:val="Point0"/>
        <w:rPr>
          <w:noProof/>
        </w:rPr>
      </w:pPr>
      <w:r>
        <w:rPr>
          <w:noProof/>
        </w:rPr>
        <w:t>α)</w:t>
      </w:r>
      <w:r>
        <w:rPr>
          <w:noProof/>
        </w:rPr>
        <w:tab/>
        <w:t>προσαρμογή του μεριδίου των ανανεώσιμων πηγών ενέργειας στον τομέα της θέρμανσης και της ψύξης, το οποίο καθορίζεται στο άρθρο 23 παράγραφος 1 [αναδιατύπωση της οδηγίας 2009/28/ΕΚ, όπως προτείνεται από το COM(2016) 767]·</w:t>
      </w:r>
    </w:p>
    <w:p>
      <w:pPr>
        <w:pStyle w:val="Point0"/>
        <w:rPr>
          <w:noProof/>
        </w:rPr>
      </w:pPr>
      <w:r>
        <w:rPr>
          <w:noProof/>
        </w:rPr>
        <w:t>β)</w:t>
      </w:r>
      <w:r>
        <w:rPr>
          <w:noProof/>
        </w:rPr>
        <w:tab/>
        <w:t>προσαρμογή του μεριδίου των ανανεώσιμων πηγών ενέργειας στον τομέα των μεταφορών το οποίο καθορίζεται στο άρθρο 25 παράγραφος 1 [αναδιατύπωση της οδηγίας 2009/28/ΕΚ, όπως προτείνεται από το COM(2016) 767]·</w:t>
      </w:r>
    </w:p>
    <w:p>
      <w:pPr>
        <w:pStyle w:val="Point0"/>
        <w:rPr>
          <w:noProof/>
        </w:rPr>
      </w:pPr>
      <w:r>
        <w:rPr>
          <w:noProof/>
        </w:rPr>
        <w:t>γ)</w:t>
      </w:r>
      <w:r>
        <w:rPr>
          <w:noProof/>
        </w:rPr>
        <w:tab/>
        <w:t>χρηματοδοτική συνεισφορά στην πλατφόρμα χρηματοδότησης που θεσπίζεται σε επίπεδο Ένωσης για να συμβάλει σε έργα ανανεώσιμων πηγών ενέργειας και την οποία διαχειρίζεται άμεσα ή έμμεσα η Επιτροπή.</w:t>
      </w:r>
    </w:p>
    <w:p>
      <w:pPr>
        <w:pStyle w:val="Point0"/>
        <w:rPr>
          <w:noProof/>
          <w:szCs w:val="24"/>
        </w:rPr>
      </w:pPr>
      <w:r>
        <w:rPr>
          <w:noProof/>
        </w:rPr>
        <w:t>δ)</w:t>
      </w:r>
      <w:r>
        <w:rPr>
          <w:noProof/>
        </w:rPr>
        <w:tab/>
        <w:t>άλλα μέτρα για την ενίσχυση της αξιοποίησης των ανανεώσιμων πηγών ενέργειας.</w:t>
      </w:r>
    </w:p>
    <w:p>
      <w:pPr>
        <w:rPr>
          <w:noProof/>
        </w:rPr>
      </w:pPr>
      <w:r>
        <w:rPr>
          <w:noProof/>
        </w:rPr>
        <w:t>Τέτοιου είδους μέτρα λαμβάνουν υπόψη το επίπεδο φιλοδοξίας των πρώιμων συνεισφορών από το ενδιαφερόμενο κράτος μέλος για τον στόχο της Ένωσης για το 2030 για τις ανανεώσιμες πηγές ενέργειας.</w:t>
      </w:r>
    </w:p>
    <w:p>
      <w:pPr>
        <w:rPr>
          <w:noProof/>
        </w:rPr>
      </w:pPr>
      <w:r>
        <w:rPr>
          <w:noProof/>
        </w:rPr>
        <w:t>Αν κράτος μέλος δεν διατηρεί το βασικό μερίδιο ενέργειας από ανανεώσιμες πηγές στην ακαθάριστη τελική κατανάλωση ενέργειας που ορίζεται στο άρθρο 3 παράγραφος 3 της [αναδιατύπωση της οδηγίας 2009/28/ΕΚ όπως προτείνται από το COM(2016) 767] από το 2021 και μετά, το εν λόγω κράτος μέλος διασφαλίζει ότι ενδεχόμενες αποκλίσεις στο βασικό μερίδιο καλύπτονται παρέχοντας χρηματοδοτική συνδρομή στην πλατφόρμα χρηματοδότησης που αναφέρεται στο σημείο γ). Για τους σκοπούς του παρόντος εδαφίου και το σημείου γ) του πρώτου εδαφίου, τα κράτη μέλη δύνανται να χρησιμοποιήσουν τα έσοδά τους από τα ετήσια δικαιώματα εκπομπής σύμφωνα με την οδηγία 2003/87/ΕΚ.</w:t>
      </w:r>
    </w:p>
    <w:p>
      <w:pPr>
        <w:pStyle w:val="Text1"/>
        <w:ind w:left="0"/>
        <w:rPr>
          <w:noProof/>
          <w:szCs w:val="24"/>
        </w:rPr>
      </w:pPr>
      <w:r>
        <w:rPr>
          <w:noProof/>
        </w:rPr>
        <w:t xml:space="preserve">Η Επιτροπή εξουσιοδοτείται να εκδίδει κατ’ εξουσιοδότηση πράξεις σύμφωνα με το άρθρο 36 προκειμένου να καθορίσει οποιεσδήποτε αναγκαίες διατάξεις για τη σύσταση και λειτουργία της πλατφόρμας χρηματοδότησης που αναφέρεται στο σημείο γ). </w:t>
      </w:r>
    </w:p>
    <w:p>
      <w:pPr>
        <w:rPr>
          <w:noProof/>
        </w:rPr>
      </w:pPr>
      <w:r>
        <w:rPr>
          <w:noProof/>
        </w:rPr>
        <w:t>5.</w:t>
      </w:r>
      <w:r>
        <w:rPr>
          <w:noProof/>
        </w:rPr>
        <w:tab/>
        <w:t>Αν στον τομέα της ενεργειακής απόδοσης, με την επιφύλαξη άλλων μέτρων σε ενωσιακό επίπεδο δυνάμει της παραγράφου 3, η Επιτροπή καταλήγει στο συμπέρασμα, με βάση την αξιολόγησή της δυνάμει του άρθρου 25 παράγραφος 1 και 3, για το έτος 2023, ότι η πρόοδος ως προς τη συλλογική επίτευξη του στόχου της Ένωσης για την ενεργειακή απόδοση που αναφέρεται στην πρώτη πρόταση του άρθρου 25 παράγραφος 3 είναι ανεπαρκής, θα λάβει μέτρα έως το έτος 2024 πλέον αυτών που ορίζονται στην οδηγία 2010/31/ΕΕ και στην οδηγία 2012/27/ΕΕ, προκειμένου να διασφαλιστεί η επίτευξη των δεσμευτικών στόχων ενεργειακής απόδοσης της Ένωσης για το 2030. Τα εν λόγω πρόσθετα μέτρα μπορούν ειδικότερα να βελτιώσουν την ενεργειακή απόδοση των:</w:t>
      </w:r>
    </w:p>
    <w:p>
      <w:pPr>
        <w:pStyle w:val="Point0"/>
        <w:rPr>
          <w:noProof/>
        </w:rPr>
      </w:pPr>
      <w:r>
        <w:rPr>
          <w:noProof/>
        </w:rPr>
        <w:t>α)</w:t>
      </w:r>
      <w:r>
        <w:rPr>
          <w:noProof/>
        </w:rPr>
        <w:tab/>
        <w:t>προϊόντων, δυνάμει της οδηγίας 2010/30/ΕΕ και της οδηγίας 2009/125/ΕΚ·</w:t>
      </w:r>
    </w:p>
    <w:p>
      <w:pPr>
        <w:pStyle w:val="Point0"/>
        <w:rPr>
          <w:noProof/>
        </w:rPr>
      </w:pPr>
      <w:r>
        <w:rPr>
          <w:noProof/>
        </w:rPr>
        <w:t>β)</w:t>
      </w:r>
      <w:r>
        <w:rPr>
          <w:noProof/>
        </w:rPr>
        <w:tab/>
        <w:t>κτιρίων, δυνάμει της οδηγίας 2010/31/ΕΕ και της οδηγίας 2012/27/ΕΚ·</w:t>
      </w:r>
    </w:p>
    <w:p>
      <w:pPr>
        <w:pStyle w:val="Point0"/>
        <w:rPr>
          <w:noProof/>
        </w:rPr>
      </w:pPr>
      <w:r>
        <w:rPr>
          <w:noProof/>
        </w:rPr>
        <w:t>γ)</w:t>
      </w:r>
      <w:r>
        <w:rPr>
          <w:noProof/>
        </w:rPr>
        <w:tab/>
        <w:t>και μεταφορών.</w:t>
      </w:r>
    </w:p>
    <w:p>
      <w:pPr>
        <w:pStyle w:val="Titrearticle"/>
        <w:spacing w:before="100" w:beforeAutospacing="1" w:after="100" w:afterAutospacing="1"/>
        <w:rPr>
          <w:b/>
          <w:i w:val="0"/>
          <w:noProof/>
        </w:rPr>
      </w:pPr>
      <w:r>
        <w:rPr>
          <w:noProof/>
        </w:rPr>
        <w:t>Άρθρο 28</w:t>
      </w:r>
      <w:r>
        <w:rPr>
          <w:noProof/>
        </w:rPr>
        <w:br/>
      </w:r>
      <w:r>
        <w:rPr>
          <w:b/>
          <w:i w:val="0"/>
          <w:noProof/>
        </w:rPr>
        <w:t>Συστάσεις της Επιτροπής προς τα κράτη μέλη</w:t>
      </w:r>
    </w:p>
    <w:p>
      <w:pPr>
        <w:jc w:val="left"/>
        <w:rPr>
          <w:noProof/>
        </w:rPr>
      </w:pPr>
      <w:r>
        <w:rPr>
          <w:noProof/>
        </w:rPr>
        <w:t>1.</w:t>
      </w:r>
      <w:r>
        <w:rPr>
          <w:noProof/>
        </w:rPr>
        <w:tab/>
        <w:t>Η Επιτροπή εκδίδει, κατά περίπτωση, συστάσεις προς τα κράτη μέλη, προκειμένου να διασφαλιστεί η επίτευξη των επιδιώξεων της Ενεργειακής Ένωσης.</w:t>
      </w:r>
    </w:p>
    <w:p>
      <w:pPr>
        <w:jc w:val="left"/>
        <w:rPr>
          <w:noProof/>
        </w:rPr>
      </w:pPr>
      <w:r>
        <w:rPr>
          <w:noProof/>
        </w:rPr>
        <w:t>2.</w:t>
      </w:r>
      <w:r>
        <w:rPr>
          <w:noProof/>
        </w:rPr>
        <w:tab/>
        <w:t>Όταν στον παρόντα κανονισμό γίνεται αναφορά στο παρόν άρθρο, εφαρμόζονται οι ακόλουθες αρχές:</w:t>
      </w:r>
    </w:p>
    <w:p>
      <w:pPr>
        <w:pStyle w:val="Point0"/>
        <w:rPr>
          <w:noProof/>
        </w:rPr>
      </w:pPr>
      <w:r>
        <w:rPr>
          <w:noProof/>
        </w:rPr>
        <w:t>α)</w:t>
      </w:r>
      <w:r>
        <w:rPr>
          <w:noProof/>
        </w:rPr>
        <w:tab/>
        <w:t>το ενδιαφερόμενο κράτος μέλος λαμβάνει δεόντως υπόψη τη σύσταση σε πνεύμα αλληλεγγύης μεταξύ των κρατών μελών και της Ένωσης και μεταξύ των κρατών μελών·</w:t>
      </w:r>
    </w:p>
    <w:p>
      <w:pPr>
        <w:pStyle w:val="Point0"/>
        <w:rPr>
          <w:noProof/>
        </w:rPr>
      </w:pPr>
      <w:r>
        <w:rPr>
          <w:noProof/>
        </w:rPr>
        <w:t>β)</w:t>
      </w:r>
      <w:r>
        <w:rPr>
          <w:noProof/>
        </w:rPr>
        <w:tab/>
        <w:t>το κράτος μέλος καθορίζει στην ενοποιημένη εθνική έκθεση προόδου για την ενέργεια και το κλίμα που υποβάλλεται το επόμενο έτος μετά την έκδοση της σύστασης, τον τρόπο με τον οποίο έλαβε δεόντως υπόψη τη σύσταση, καθώς και τον τρόπο με τον οποίο την εφάρμοσε ή προτίθεται να την εφαρμόσει. Παρέχει αιτιολογήσεις για τις περιπτώσεις στις οποίες αποκλίνει από αυτήν·</w:t>
      </w:r>
    </w:p>
    <w:p>
      <w:pPr>
        <w:pStyle w:val="Point0"/>
        <w:rPr>
          <w:noProof/>
        </w:rPr>
      </w:pPr>
      <w:r>
        <w:rPr>
          <w:noProof/>
        </w:rPr>
        <w:t>γ)</w:t>
      </w:r>
      <w:r>
        <w:rPr>
          <w:noProof/>
        </w:rPr>
        <w:tab/>
        <w:t>Οι συστάσεις θα πρέπει να είναι συμπληρωματικές προς τις τελευταίες ειδικές ανά χώρα συστάσεις που εκδίδονται στο πλαίσιο του Ευρωπαϊκού Εξαμήνου.</w:t>
      </w:r>
    </w:p>
    <w:p>
      <w:pPr>
        <w:pStyle w:val="Titrearticle"/>
        <w:rPr>
          <w:noProof/>
        </w:rPr>
      </w:pPr>
      <w:r>
        <w:rPr>
          <w:noProof/>
        </w:rPr>
        <w:t>Άρθρο 29</w:t>
      </w:r>
      <w:r>
        <w:rPr>
          <w:noProof/>
        </w:rPr>
        <w:br/>
      </w:r>
      <w:r>
        <w:rPr>
          <w:b/>
          <w:i w:val="0"/>
          <w:noProof/>
        </w:rPr>
        <w:t>Έκθεση σχετικά με την κατάσταση της Ενεργειακής Ένωσης</w:t>
      </w:r>
    </w:p>
    <w:p>
      <w:pPr>
        <w:rPr>
          <w:noProof/>
        </w:rPr>
      </w:pPr>
      <w:r>
        <w:rPr>
          <w:noProof/>
        </w:rPr>
        <w:t>1.</w:t>
      </w:r>
      <w:r>
        <w:rPr>
          <w:noProof/>
        </w:rPr>
        <w:tab/>
        <w:t>Έως τις 31 Οκτωβρίου κάθε έτους, η Επιτροπή υποβάλλει στο Ευρωπαϊκό Κοινοβούλιο και το Συμβούλιο έκθεση σχετικά με την κατάσταση της Ενεργειακής Ένωσης.</w:t>
      </w:r>
    </w:p>
    <w:p>
      <w:pPr>
        <w:rPr>
          <w:noProof/>
        </w:rPr>
      </w:pPr>
      <w:r>
        <w:rPr>
          <w:noProof/>
        </w:rPr>
        <w:t>2.</w:t>
      </w:r>
      <w:r>
        <w:rPr>
          <w:noProof/>
        </w:rPr>
        <w:tab/>
        <w:t>Η έκθεση σχετικά με την κατάσταση της Ενεργειακής Ένωσης περιλαμβάνει, μεταξύ άλλων, τα ακόλουθα στοιχεία:</w:t>
      </w:r>
    </w:p>
    <w:p>
      <w:pPr>
        <w:pStyle w:val="Point0"/>
        <w:rPr>
          <w:noProof/>
        </w:rPr>
      </w:pPr>
      <w:r>
        <w:rPr>
          <w:noProof/>
        </w:rPr>
        <w:t>α)</w:t>
      </w:r>
      <w:r>
        <w:rPr>
          <w:noProof/>
        </w:rPr>
        <w:tab/>
        <w:t>την αξιολόγηση που πραγματοποιείται δυνάμει του άρθρου 25·</w:t>
      </w:r>
    </w:p>
    <w:p>
      <w:pPr>
        <w:pStyle w:val="Point0"/>
        <w:rPr>
          <w:noProof/>
        </w:rPr>
      </w:pPr>
      <w:r>
        <w:rPr>
          <w:noProof/>
        </w:rPr>
        <w:t>β)</w:t>
      </w:r>
      <w:r>
        <w:rPr>
          <w:noProof/>
        </w:rPr>
        <w:tab/>
        <w:t>κατά περίπτωση, συστάσεις δυνάμει του άρθρου 28·</w:t>
      </w:r>
    </w:p>
    <w:p>
      <w:pPr>
        <w:pStyle w:val="Point0"/>
        <w:rPr>
          <w:noProof/>
        </w:rPr>
      </w:pPr>
      <w:r>
        <w:rPr>
          <w:noProof/>
        </w:rPr>
        <w:t>γ)</w:t>
      </w:r>
      <w:r>
        <w:rPr>
          <w:noProof/>
        </w:rPr>
        <w:tab/>
        <w:t>τη λειτουργία της αγοράς διοξειδίου του άνθρακα που αναφέρεται στο άρθρο 10 παράγραφος 5 της οδηγίας 2003/87/ΕΚ, συμπεριλαμβανομένων των πληροφοριών για την εφαρμογή της οδηγίας 2003/87/ΕΚ που αναφέρεται στο άρθρο 21 παράγραφος 2 της ίδιας οδηγίας·</w:t>
      </w:r>
    </w:p>
    <w:p>
      <w:pPr>
        <w:pStyle w:val="Point0"/>
        <w:rPr>
          <w:noProof/>
        </w:rPr>
      </w:pPr>
      <w:r>
        <w:rPr>
          <w:noProof/>
        </w:rPr>
        <w:t>δ)</w:t>
      </w:r>
      <w:r>
        <w:rPr>
          <w:noProof/>
        </w:rPr>
        <w:tab/>
        <w:t>την αειφορία της βιοενέργειας της Ένωσης, περιλαμβανομένων των πληροφοριών που καθορίζονται στο παράρτημα VIII·</w:t>
      </w:r>
    </w:p>
    <w:p>
      <w:pPr>
        <w:pStyle w:val="Point0"/>
        <w:rPr>
          <w:noProof/>
        </w:rPr>
      </w:pPr>
      <w:r>
        <w:rPr>
          <w:noProof/>
        </w:rPr>
        <w:t>ε)</w:t>
      </w:r>
      <w:r>
        <w:rPr>
          <w:noProof/>
        </w:rPr>
        <w:tab/>
        <w:t>εθελοντικά συστήματα για τα οποία η Επιτροπή έχει εγκρίνει απόφαση σύμφωνα με το άρθρο 27 παράγραφος 4 της [αναδιατύπωση της οδηγίας 2009/28/ΕΚ όπως προτείνται από το COM(2016) 767], συμπεριλαμβανομένων των πληροφοριών που καθορίζονται στο παράρτημα IX του παρόντος κανονισμού·</w:t>
      </w:r>
    </w:p>
    <w:p>
      <w:pPr>
        <w:pStyle w:val="Point0"/>
        <w:rPr>
          <w:noProof/>
        </w:rPr>
      </w:pPr>
      <w:r>
        <w:rPr>
          <w:noProof/>
        </w:rPr>
        <w:t>στ)</w:t>
      </w:r>
      <w:r>
        <w:rPr>
          <w:noProof/>
        </w:rPr>
        <w:tab/>
        <w:t>συνολική έκθεση προόδου σχετικά με την εφαρμογή της [αναδιατύπωση της οδηγίας 2009/72/ΕΚ, όπως προτείνεται από το COM(2016) 864] σύμφωνα με το άρθρο 70 της εν λόγω οδηγίας·</w:t>
      </w:r>
    </w:p>
    <w:p>
      <w:pPr>
        <w:pStyle w:val="Point0"/>
        <w:rPr>
          <w:noProof/>
        </w:rPr>
      </w:pPr>
      <w:r>
        <w:rPr>
          <w:noProof/>
        </w:rPr>
        <w:t>ζ)</w:t>
      </w:r>
      <w:r>
        <w:rPr>
          <w:noProof/>
        </w:rPr>
        <w:tab/>
        <w:t xml:space="preserve">συνολική έκθεση προόδου σχετικά με την εφαρμογή της οδηγίας 2009/73/ΕΚ, σύμφωνα με το άρθρο 52 της εν λόγω οδηγίας· </w:t>
      </w:r>
    </w:p>
    <w:p>
      <w:pPr>
        <w:pStyle w:val="Point0"/>
        <w:rPr>
          <w:noProof/>
        </w:rPr>
      </w:pPr>
      <w:r>
        <w:rPr>
          <w:noProof/>
        </w:rPr>
        <w:t>η)</w:t>
      </w:r>
      <w:r>
        <w:rPr>
          <w:noProof/>
        </w:rPr>
        <w:tab/>
        <w:t>καθεστώτα επιβολής της υποχρέωσης ενεργειακής απόδοσης όπως αναφέρεται στο άρθρο 7 στοιχείο α) της οδηγίας 2012/27/ΕΕ [όπως τροποποιήθηκε από την πρόταση COM(2016) 761].</w:t>
      </w:r>
    </w:p>
    <w:p>
      <w:pPr>
        <w:pStyle w:val="Point0"/>
        <w:rPr>
          <w:noProof/>
        </w:rPr>
      </w:pPr>
      <w:r>
        <w:rPr>
          <w:noProof/>
        </w:rPr>
        <w:t>θ)</w:t>
      </w:r>
      <w:r>
        <w:rPr>
          <w:noProof/>
        </w:rPr>
        <w:tab/>
        <w:t>την πρόοδο των κρατών μελών στη δημιουργία ολοκληρωμένης και λειτουργικής αγοράς ενέργειας·</w:t>
      </w:r>
    </w:p>
    <w:p>
      <w:pPr>
        <w:pStyle w:val="Point0"/>
        <w:rPr>
          <w:noProof/>
        </w:rPr>
      </w:pPr>
      <w:r>
        <w:rPr>
          <w:noProof/>
        </w:rPr>
        <w:t>ι)</w:t>
      </w:r>
      <w:r>
        <w:rPr>
          <w:noProof/>
        </w:rPr>
        <w:tab/>
        <w:t>την πραγματική ποιότητα καυσίμων στα διάφορα κράτη μέλη και τη γεωγραφική κάλυψη των καυσίμων με μέγιστη περιεκτικότητα σε θείο 10 mg/kg, με σκοπό την παροχή επισκόπησης των δεδομένων ποιότητας των καυσίμων στα διάφορα κράτη μέλη, όπως κοινοποιούνται δυνάμει της οδηγίας 98/70/ΕΚ·</w:t>
      </w:r>
    </w:p>
    <w:p>
      <w:pPr>
        <w:pStyle w:val="Point0"/>
        <w:rPr>
          <w:noProof/>
        </w:rPr>
      </w:pPr>
      <w:r>
        <w:rPr>
          <w:noProof/>
        </w:rPr>
        <w:t>ια)</w:t>
      </w:r>
      <w:r>
        <w:rPr>
          <w:noProof/>
        </w:rPr>
        <w:tab/>
        <w:t>άλλα θέματα σχετικά με την υλοποίηση της Ενεργειακής Ένωσης, συμπεριλαμβανομένης της δημόσιας και ιδιωτικής στήριξης.</w:t>
      </w:r>
    </w:p>
    <w:p>
      <w:pPr>
        <w:pStyle w:val="PartTitle"/>
        <w:rPr>
          <w:noProof/>
        </w:rPr>
      </w:pPr>
      <w:r>
        <w:rPr>
          <w:noProof/>
        </w:rPr>
        <w:t>ΚΕΦΑΛΑΙΟ 6</w:t>
      </w:r>
      <w:r>
        <w:rPr>
          <w:noProof/>
        </w:rPr>
        <w:br/>
        <w:t>ΕΘΝΙΚΑ ΚΑΙ ΕΝΩΣΙΑΚΑ ΣΥΣΤΗΜΑΤΑ ΓΙΑ ΤΙΣ ΕΚΠΟΜΠΕΣ ΚΑΙ ΤΙΣ ΑΠΟΡΡΟΦΗΣΕΙΣ ΑΠΟ ΚΑΤΑΒΟΘΡΕΣ ΤΩΝ ΑΕΡΙΩΝ ΤΟΥ ΘΕΡΜΟΚΗΠΙΟΥ</w:t>
      </w:r>
    </w:p>
    <w:p>
      <w:pPr>
        <w:pStyle w:val="Titrearticle"/>
        <w:rPr>
          <w:noProof/>
        </w:rPr>
      </w:pPr>
      <w:r>
        <w:rPr>
          <w:noProof/>
        </w:rPr>
        <w:t>Άρθρο 30</w:t>
      </w:r>
      <w:r>
        <w:rPr>
          <w:noProof/>
        </w:rPr>
        <w:br/>
      </w:r>
      <w:r>
        <w:rPr>
          <w:b/>
          <w:i w:val="0"/>
          <w:noProof/>
        </w:rPr>
        <w:t>Εθνικά και ενωσιακά συστήματα απογραφής</w:t>
      </w:r>
    </w:p>
    <w:p>
      <w:pPr>
        <w:rPr>
          <w:noProof/>
        </w:rPr>
      </w:pPr>
      <w:r>
        <w:rPr>
          <w:noProof/>
        </w:rPr>
        <w:t>1.</w:t>
      </w:r>
      <w:r>
        <w:rPr>
          <w:noProof/>
        </w:rPr>
        <w:tab/>
        <w:t>Έως την 1</w:t>
      </w:r>
      <w:r>
        <w:rPr>
          <w:noProof/>
          <w:vertAlign w:val="superscript"/>
        </w:rPr>
        <w:t>η</w:t>
      </w:r>
      <w:r>
        <w:rPr>
          <w:noProof/>
        </w:rPr>
        <w:t xml:space="preserve"> Ιανουαρίου 2021, τα κράτη μέλη θεσπίζουν, διαχειρίζονται και επιδιώκουν να βελτιώνουν συνεχώς τα εθνικά συστήματα απογραφής για την εκτίμηση των ανθρωπογενών εκπομπών από πηγές καθώς και των απορροφήσεων από καταβόθρες των αερίων θερμοκηπίου που απαριθμούνται στο μέρος 2 του παραρτήματος III του παρόντος κανονισμού και για την εξασφάλιση της έγκαιρης υποβολής, της διαφάνειας, της ακρίβειας, της συνέπειας, της συγκρισιμότητας και της πληρότητας των απογραφών τους για τα αέρια θερμοκηπίου. </w:t>
      </w:r>
    </w:p>
    <w:p>
      <w:pPr>
        <w:rPr>
          <w:noProof/>
        </w:rPr>
      </w:pPr>
      <w:r>
        <w:rPr>
          <w:noProof/>
        </w:rPr>
        <w:t>2.</w:t>
      </w:r>
      <w:r>
        <w:rPr>
          <w:noProof/>
        </w:rPr>
        <w:tab/>
        <w:t>Τα κράτη μέλη εξασφαλίζουν ότι οι οικείες αρμόδιες αρχές απογραφής έχουν πρόσβαση στις πληροφορίες που καθορίζονται στο παράρτημα X του παρόντος κανονισμού, χρησιμοποιούν τα συστήματα υποβολής εκθέσεων που θεσπίστηκαν βάσει του άρθρου 20 του κανονισμού (ΕΚ) αριθ. 517/2014 για τη βελτίωση των εκτιμήσεων σχετικά με τα φθοριούχα αέρια στις εθνικές απογραφές αερίων θερμοκηπίου και είναι σε θέση να διενεργήσουν τους ετήσιους ελέγχους συνέπειας που αναφέρονται στα σημεία θ) και ι) του μέρους 1 του παραρτήματος III του παρόντος κανονισμού.</w:t>
      </w:r>
    </w:p>
    <w:p>
      <w:pPr>
        <w:rPr>
          <w:noProof/>
        </w:rPr>
      </w:pPr>
      <w:r>
        <w:rPr>
          <w:noProof/>
        </w:rPr>
        <w:t>3.</w:t>
      </w:r>
      <w:r>
        <w:rPr>
          <w:noProof/>
        </w:rPr>
        <w:tab/>
        <w:t>Θεσπίζεται ενωσιακό σύστημα απογραφής το οποίο εξασφαλίζει την έγκαιρη υποβολή, τη διαφάνεια, την ακρίβεια, τη συνέπεια, τη συγκρισιμότητα και την πληρότητα των εθνικών απογραφών έναντι της ενωσιακής απογραφής αερίων θερμοκηπίου. Η Επιτροπή διαχειρίζεται, διατηρεί και επιδιώκει να βελτιώνει συνεχώς το εν λόγω σύστημα, το οποίο περιλαμβάνει τη δημιουργία προγράμματος διασφάλισης της ποιότητας και ελέγχου της ποιότητας, τον καθορισμό των ποιοτικών στόχων και την εκπόνηση σχεδίου διασφάλισης της ποιότητας και ελέγχου της ποιότητας, διαδικασίες για τη συμπλήρωση των εκτιμήσεων εκπομπών προς εκπόνηση της ενωσιακής απογραφής δυνάμει της παραγράφου 5 του παρόντος άρθρου και των εξετάσεων που αναφέρονται στο άρθρο 31.</w:t>
      </w:r>
    </w:p>
    <w:p>
      <w:pPr>
        <w:rPr>
          <w:noProof/>
        </w:rPr>
      </w:pPr>
      <w:r>
        <w:rPr>
          <w:noProof/>
        </w:rPr>
        <w:t>4.</w:t>
      </w:r>
      <w:r>
        <w:rPr>
          <w:noProof/>
        </w:rPr>
        <w:tab/>
        <w:t xml:space="preserve">Η Επιτροπή διενεργεί αρχικό έλεγχο της ακρίβειας των προκαταρκτικών δεδομένων απογραφής αερίων θερμοκηπίου που θα υποβληθούν από τα κράτη μέλη δυνάμει του άρθρου 23 παράγραφος 2. Αποστέλλει τα αποτελέσματα των ελέγχων αυτών στα κράτη μέλη εντός έξι εβδομάδων από τη λήξη της προθεσμίας υποβολής. Τα κράτη μέλη απαντούν σε οποιοδήποτε σχετικό ερώτημα που προκύπτει από τον αρχικό έλεγχο έως τις 15 Μαρτίου, μαζί με την υποβολή της οριστικής απογραφής για το έτος X – 2. </w:t>
      </w:r>
    </w:p>
    <w:p>
      <w:pPr>
        <w:rPr>
          <w:noProof/>
        </w:rPr>
      </w:pPr>
      <w:r>
        <w:rPr>
          <w:noProof/>
        </w:rPr>
        <w:t>5.</w:t>
      </w:r>
      <w:r>
        <w:rPr>
          <w:noProof/>
        </w:rPr>
        <w:tab/>
        <w:t xml:space="preserve">Εάν κράτος μέλος δεν υποβάλει τα δεδομένα απογραφής που απαιτούνται για την εκπόνηση της ενωσιακής απογραφής έως τις 15 Μαρτίου, η Επιτροπή δύναται να καταρτίζει εκτιμήσεις προς συμπλήρωση των δεδομένων που υπέβαλε το κράτος μέλος, σε διαβούλευση και στενή συνεργασία με το εν λόγω κράτος μέλος. Προς τον σκοπό αυτό, η Επιτροπή χρησιμοποιεί τις κατευθυντήριες γραμμές που εφαρμόζονται για την κατάρτιση των εθνικών απογραφών αερίων θερμοκηπίου. </w:t>
      </w:r>
    </w:p>
    <w:p>
      <w:pPr>
        <w:rPr>
          <w:noProof/>
        </w:rPr>
      </w:pPr>
      <w:r>
        <w:rPr>
          <w:noProof/>
        </w:rPr>
        <w:t>6.</w:t>
      </w:r>
      <w:r>
        <w:rPr>
          <w:noProof/>
        </w:rPr>
        <w:tab/>
        <w:t xml:space="preserve">Η Επιτροπή εξουσιοδοτείται να εκδίδει κατ’ εξουσιοδότηση πράξεις σύμφωνα με το άρθρο 36, προκειμένου να καθορίσει το περιεχόμενο, τη δομή, τον μορφότυπο και τη διαδικασία υποβολής των πληροφοριών που αφορούν τα εθνικά συστήματα απογραφής και τις απαιτήσεις όσον αφορά τη θέσπιση, τη διαχείριση και τη λειτουργία των εθνικών και ενωσιακών συστημάτων απογραφής. Για την κατάρτιση των εν λόγω πράξεων, η Επιτροπή λαμβάνει υπόψη τυχόν σχετικές αποφάσεις που λαμβάνουν τα όργανα της UNFCCC ή της συμφωνίας του Παρισιού. </w:t>
      </w:r>
    </w:p>
    <w:p>
      <w:pPr>
        <w:pStyle w:val="Titrearticle"/>
        <w:rPr>
          <w:noProof/>
        </w:rPr>
      </w:pPr>
      <w:r>
        <w:rPr>
          <w:noProof/>
        </w:rPr>
        <w:t xml:space="preserve"> Άρθρο 31</w:t>
      </w:r>
      <w:r>
        <w:rPr>
          <w:noProof/>
        </w:rPr>
        <w:br/>
      </w:r>
      <w:r>
        <w:rPr>
          <w:b/>
          <w:i w:val="0"/>
          <w:noProof/>
        </w:rPr>
        <w:t>Εξέταση της απογραφής</w:t>
      </w:r>
    </w:p>
    <w:p>
      <w:pPr>
        <w:rPr>
          <w:noProof/>
        </w:rPr>
      </w:pPr>
      <w:r>
        <w:rPr>
          <w:noProof/>
        </w:rPr>
        <w:t>1.</w:t>
      </w:r>
      <w:r>
        <w:rPr>
          <w:noProof/>
        </w:rPr>
        <w:tab/>
        <w:t xml:space="preserve">Το 2027 και το 2032, η Επιτροπή διενεργεί συνολική εξέταση των δεδομένων των εθνικών απογραφών που διαβιβάζουν τα κράτη μέλη δυνάμει του άρθρου 23 παράγραφος 3 του παρόντος κανονισμού, με σκοπό την παρακολούθηση των μειώσεων ή των περιορισμών των εκπομπών αερίων θερμοκηπίου των κρατών μελών δυνάμει των άρθρων 4, 9 και 10 του κανονισμού [ ] [ESR] και των περιορισμών των εκπομπών και της ενίσχυσης των απορροφήσεών τους από καταβόθρες δυνάμει των άρθρων 4 και 12 του κανονισμού [ ] [LULUCF], καθώς και κάθε άλλου στόχου για μείωση ή περιορισμό των εκπομπών αερίων θερμοκηπίου που προβλέπεται στην ενωσιακή νομοθεσία. Τα κράτη μέλη συμμετέχουν πλήρως σε αυτήν τη διαδικασία. </w:t>
      </w:r>
    </w:p>
    <w:p>
      <w:pPr>
        <w:rPr>
          <w:noProof/>
        </w:rPr>
      </w:pPr>
      <w:r>
        <w:rPr>
          <w:noProof/>
        </w:rPr>
        <w:t>2.</w:t>
      </w:r>
      <w:r>
        <w:rPr>
          <w:noProof/>
        </w:rPr>
        <w:tab/>
        <w:t xml:space="preserve">Η συνολική εξέταση της παραγράφου 1 περιλαμβάνει: </w:t>
      </w:r>
    </w:p>
    <w:p>
      <w:pPr>
        <w:pStyle w:val="Point0"/>
        <w:rPr>
          <w:noProof/>
        </w:rPr>
      </w:pPr>
      <w:r>
        <w:rPr>
          <w:noProof/>
        </w:rPr>
        <w:t>α)</w:t>
      </w:r>
      <w:r>
        <w:rPr>
          <w:noProof/>
        </w:rPr>
        <w:tab/>
        <w:t xml:space="preserve">ελέγχους για την εξακρίβωση της διαφάνειας, της ακρίβειας, της συνέπειας, της συγκρισιμότητας και της πληρότητας των πληροφοριών που υποβάλλονται· </w:t>
      </w:r>
    </w:p>
    <w:p>
      <w:pPr>
        <w:pStyle w:val="Point0"/>
        <w:rPr>
          <w:noProof/>
        </w:rPr>
      </w:pPr>
      <w:r>
        <w:rPr>
          <w:noProof/>
        </w:rPr>
        <w:t>β)</w:t>
      </w:r>
      <w:r>
        <w:rPr>
          <w:noProof/>
        </w:rPr>
        <w:tab/>
        <w:t>ελέγχους για τον εντοπισμό περιπτώσεων στις οποίες τα δεδομένα απογραφής έχουν καταρτιστεί κατά τρόπο μη σύμφωνο με τις κατευθυντήριες γραμμές της UNFCCC ή τους ενωσιακούς κανόνες·</w:t>
      </w:r>
    </w:p>
    <w:p>
      <w:pPr>
        <w:pStyle w:val="Point0"/>
        <w:rPr>
          <w:noProof/>
        </w:rPr>
      </w:pPr>
      <w:r>
        <w:rPr>
          <w:noProof/>
        </w:rPr>
        <w:t>γ)</w:t>
      </w:r>
      <w:r>
        <w:rPr>
          <w:noProof/>
        </w:rPr>
        <w:tab/>
        <w:t>ελέγχους για τον εντοπισμό περιπτώσεων στις οποίες η λογιστική αποτίμηση LULUCF διεξάγεται κατά τρόπο μη σύμφωνο με τις κατευθυντήριες γραμμές της UNFCCC ή τους ενωσιακούς κανόνες και</w:t>
      </w:r>
    </w:p>
    <w:p>
      <w:pPr>
        <w:pStyle w:val="Point0"/>
        <w:rPr>
          <w:noProof/>
        </w:rPr>
      </w:pPr>
      <w:r>
        <w:rPr>
          <w:noProof/>
        </w:rPr>
        <w:t>δ)</w:t>
      </w:r>
      <w:r>
        <w:rPr>
          <w:noProof/>
        </w:rPr>
        <w:tab/>
        <w:t xml:space="preserve">κατά περίπτωση, υπολογισμό των αναγκαίων τεχνικών διορθώσεων που προκύπτουν, σε διαβούλευση με τα κράτη μέλη. </w:t>
      </w:r>
    </w:p>
    <w:p>
      <w:pPr>
        <w:rPr>
          <w:noProof/>
        </w:rPr>
      </w:pPr>
      <w:r>
        <w:rPr>
          <w:noProof/>
        </w:rPr>
        <w:t>3.</w:t>
      </w:r>
      <w:r>
        <w:rPr>
          <w:noProof/>
        </w:rPr>
        <w:tab/>
        <w:t xml:space="preserve">Η Επιτροπή εκδίδει εκτελεστικές πράξεις για τον καθορισμό του χρονοδιαγράμματος και της διαδικασίας για την πραγματοποίηση των συνολικών εξετάσεων, συμπεριλαμβανομένων των εργασιών που καθορίζονται στην παράγραφο 2 του παρόντος άρθρου, μεταξύ άλλων ώστε να διασφαλιστεί η δέουσα διαβούλευση με τα κράτη μέλη όσον αφορά τα συμπεράσματα των εξετάσεων. Οι εν λόγω εκτελεστικές πράξεις εκδίδονται σύμφωνα με τη διαδικασία εξέτασης που αναφέρεται στο άρθρο 37 παράγραφος 3. </w:t>
      </w:r>
    </w:p>
    <w:p>
      <w:pPr>
        <w:rPr>
          <w:noProof/>
        </w:rPr>
      </w:pPr>
      <w:r>
        <w:rPr>
          <w:noProof/>
        </w:rPr>
        <w:t>4.</w:t>
      </w:r>
      <w:r>
        <w:rPr>
          <w:noProof/>
        </w:rPr>
        <w:tab/>
        <w:t xml:space="preserve">Η Επιτροπή προσδιορίζει, με εκτελεστική πράξη, το συνολικό άθροισμα των εκπομπών για τα αντίστοιχα έτη, που προκύπτει από τα διορθωμένα δεδομένα απογραφής για κάθε κράτος μέλος μετά την ολοκλήρωση της εξέτασης, η οποία χωρίζεται μεταξύ δεδομένων για εκπομπές που έχουν σημασία για το άρθρο 9 του κανονισμού [ ] [ESR] και δεδομένων για εκπομπές που αναφέρονται στο παράρτημα III του μέρους 1 σημείο γ) του παρόντος κανονισμού, και επίσης προσδιορίζει το συνολικό άθροισμα εκπομπών και απορροφήσεων που έχουν σημασία για το άρθρο 4 του κανονισμού [ ] [LULUCF]. </w:t>
      </w:r>
    </w:p>
    <w:p>
      <w:pPr>
        <w:rPr>
          <w:noProof/>
        </w:rPr>
      </w:pPr>
      <w:r>
        <w:rPr>
          <w:noProof/>
        </w:rPr>
        <w:t>5.</w:t>
      </w:r>
      <w:r>
        <w:rPr>
          <w:noProof/>
        </w:rPr>
        <w:tab/>
        <w:t>Τα δεδομένα για κάθε κράτος μέλος όπως καταγράφηκαν στα μητρώα που έχουν συσταθεί δυνάμει του άρθρου 13 του κανονισμού [ ] [LULUCF] ένα μήνα μετά την ημερομηνία δημοσίευσης της εκτελεστικής πράξης που εκδίδεται δυνάμει της παραγράφου 4 του παρόντος άρθρου χρησιμοποιούνται για τον έλεγχο συμμόρφωσης με το άρθρο 4 του κανονισμού [ ] [LULUCF], συμπεριλαμβανομένων των μεταβολών των δεδομένων αυτών λόγω της αξιοποίησης από το συγκεκριμένο κράτος μέλος της ευελιξίας που προβλέπεται στο άρθρο 11 του κανονισμού [ ] [ LULUCF].</w:t>
      </w:r>
    </w:p>
    <w:p>
      <w:pPr>
        <w:rPr>
          <w:noProof/>
        </w:rPr>
      </w:pPr>
      <w:r>
        <w:rPr>
          <w:noProof/>
        </w:rPr>
        <w:t>6.</w:t>
      </w:r>
      <w:r>
        <w:rPr>
          <w:noProof/>
        </w:rPr>
        <w:tab/>
        <w:t>Τα δεδομένα για κάθε κράτος μέλος τα οποία καταγράφηκαν στα μητρώα που έχουν συσταθεί δυνάμει του άρθρου 11 του κανονισμού [ ] [ESR] ένα μήνα μετά την ημερομηνία του ελέγχου συμμόρφωσης με τον κανονισμό [ ] [LULUCF] που αναφέρεται στην παράγραφο 5 του παρόντος άρθρου, χρησιμοποιούνται για τον έλεγχο συμμόρφωσης δυνάμει του άρθρου 9 του κανονισμού [ ] [ESR] για τα έτη 2021 και 2026. Ο έλεγχος συμμόρφωσης δυνάμει του άρθρου 9 του κανονισμού [ ] [ESR] για καθένα από τα έτη 2022 έως 2025 και 2027 έως 2030 διενεργείται έναν μήνα ακριβώς μετά την ημερομηνία του ελέγχου συμμόρφωσης του προηγούμενου έτους. Ο εν λόγω έλεγχος περιλαμβάνει μεταβολές των δεδομένων αυτών λόγω της αξιοποίησης από το συγκεκριμένο κράτος μέλος της ευελιξίας που προβλέπεται στα άρθρα 5, 6 και 7 του κανονισμού [ ] [ESR].</w:t>
      </w:r>
    </w:p>
    <w:p>
      <w:pPr>
        <w:pStyle w:val="Titrearticle"/>
        <w:rPr>
          <w:noProof/>
        </w:rPr>
      </w:pPr>
      <w:r>
        <w:rPr>
          <w:noProof/>
        </w:rPr>
        <w:t>Άρθρο 32</w:t>
      </w:r>
      <w:r>
        <w:rPr>
          <w:noProof/>
        </w:rPr>
        <w:br/>
      </w:r>
      <w:r>
        <w:rPr>
          <w:b/>
          <w:i w:val="0"/>
          <w:noProof/>
        </w:rPr>
        <w:t>Εθνικά και ενωσιακά συστήματα για πολιτικές, μέτρα και προβλέψεις</w:t>
      </w:r>
    </w:p>
    <w:p>
      <w:pPr>
        <w:rPr>
          <w:noProof/>
        </w:rPr>
      </w:pPr>
      <w:r>
        <w:rPr>
          <w:noProof/>
        </w:rPr>
        <w:t>1.</w:t>
      </w:r>
      <w:r>
        <w:rPr>
          <w:noProof/>
        </w:rPr>
        <w:tab/>
        <w:t>Έως την 1</w:t>
      </w:r>
      <w:r>
        <w:rPr>
          <w:noProof/>
          <w:vertAlign w:val="superscript"/>
        </w:rPr>
        <w:t>η</w:t>
      </w:r>
      <w:r>
        <w:rPr>
          <w:noProof/>
        </w:rPr>
        <w:t xml:space="preserve"> Ιανουαρίου 2021, τα κράτη μέλη και η Επιτροπή διαχειρίζονται και επιδιώκουν να βελτιώνουν συνεχώς εθνικά και ενωσιακά συστήματα, αντιστοίχως, για την υποβολή εκθέσεων σχετικά με τις πολιτικές και τα μέτρα, καθώς και για την υποβολή προβλέψεων όσον αφορά τις ανθρωπογενείς εκπομπές αερίων θερμοκηπίου από πηγές και τις απορροφήσεις από καταβόθρες. Τα συστήματα περιλαμβάνουν όλες τις σχετικές θεσμικές, νομικές και διαδικαστικές ρυθμίσεις που θεσπίζονται σε κράτος μέλος και στην Ένωση για την αξιολόγηση των πολιτικών και την κατάρτιση προβλέψεων όσον αφορά τις ανθρωπογενείς εκπομπές αερίων θερμοκηπίου από πηγές και τις απορροφήσεις από καταβόθρες. </w:t>
      </w:r>
    </w:p>
    <w:p>
      <w:pPr>
        <w:rPr>
          <w:noProof/>
        </w:rPr>
      </w:pPr>
      <w:r>
        <w:rPr>
          <w:noProof/>
        </w:rPr>
        <w:t>2.</w:t>
      </w:r>
      <w:r>
        <w:rPr>
          <w:noProof/>
        </w:rPr>
        <w:tab/>
        <w:t xml:space="preserve">Σκοπός των κρατών μελών και της Επιτροπής, αντιστοίχως, είναι να εξασφαλίσουν την έγκαιρη υποβολή, τη διαφάνεια, την ακρίβεια, τη συνέπεια, τη συγκρισιμότητα και την πληρότητα των υποβαλλόμενων πληροφοριών σχετικά με τις πολιτικές και τα μέτρα, καθώς και των προβλέψεων για τις ανθρωπογενείς εκπομπές αερίων θερμοκηπίου από πηγές και τις απορροφήσεις από καταβόθρες, που αναφέρονται στο άρθρο 16, συμπεριλαμβανομένων της χρήσης και της εφαρμογής των δεδομένων, των μεθόδων και των μοντέλων και της εκτέλεσης των δραστηριοτήτων διασφάλισης της ποιότητας και ελέγχου της ποιότητας και της ανάλυσης ευαισθησίας. </w:t>
      </w:r>
    </w:p>
    <w:p>
      <w:pPr>
        <w:rPr>
          <w:noProof/>
        </w:rPr>
      </w:pPr>
      <w:r>
        <w:rPr>
          <w:noProof/>
        </w:rPr>
        <w:t>3.</w:t>
      </w:r>
      <w:r>
        <w:rPr>
          <w:noProof/>
        </w:rPr>
        <w:tab/>
        <w:t xml:space="preserve">Η Επιτροπή εκδίδει εκτελεστικές πράξεις προκειμένου να καθορίσει τη δομή, τον μορφότυπο και τη διαδικασία υποβολής των πληροφοριών σχετικά με τα εθνικά και ενωσιακά συστήματα για πολιτικές και μέτρα, καθώς και προβλέψεις δυνάμει των παραγράφων 1 και 2 του παρόντος άρθρου και του άρθρου 16. Όταν προτείνει τις εν λόγω πράξεις, η Επιτροπή λαμβάνει υπόψη τις σχετικές αποφάσεις που λαμβάνουν τα όργανα της UNFCCC ή της συμφωνίας του Παρισιού, συμπεριλαμβανομένων διεθνώς συμφωνηθεισών απαιτήσεων υποβολής εκθέσεων, καθώς και χρονοδιαγραμμάτων για την παρακολούθηση και την υποβολή εκθέσεων σχετικά με τις πληροφορίες αυτές. Οι εν λόγω εκτελεστικές πράξεις εκδίδονται σύμφωνα με τη διαδικασία εξέτασης που αναφέρεται στο άρθρο 37 παράγραφος 3. </w:t>
      </w:r>
    </w:p>
    <w:p>
      <w:pPr>
        <w:pStyle w:val="Titrearticle"/>
        <w:rPr>
          <w:noProof/>
        </w:rPr>
      </w:pPr>
      <w:r>
        <w:rPr>
          <w:noProof/>
        </w:rPr>
        <w:t>Άρθρο 33</w:t>
      </w:r>
      <w:r>
        <w:rPr>
          <w:noProof/>
        </w:rPr>
        <w:br/>
      </w:r>
      <w:r>
        <w:rPr>
          <w:b/>
          <w:i w:val="0"/>
          <w:noProof/>
        </w:rPr>
        <w:t>Κατάρτιση και λειτουργία των μητρώων</w:t>
      </w:r>
    </w:p>
    <w:p>
      <w:pPr>
        <w:rPr>
          <w:noProof/>
        </w:rPr>
      </w:pPr>
      <w:r>
        <w:rPr>
          <w:noProof/>
        </w:rPr>
        <w:t>1.</w:t>
      </w:r>
      <w:r>
        <w:rPr>
          <w:noProof/>
        </w:rPr>
        <w:tab/>
        <w:t>Η Ένωση και τα κράτη μέλη συστήνουν και διατηρούν μητρώα για την ακριβή καταγραφή εθνικά καθορισμένης συνεισφοράς δυνάμει του άρθρου 4 παράγραφος 13 και διεθνώς μεταφερόμενων αποτελεσμάτων μετριασμού δυνάμει του άρθρου 6 της συμφωνίας του Παρισιού.</w:t>
      </w:r>
    </w:p>
    <w:p>
      <w:pPr>
        <w:rPr>
          <w:noProof/>
        </w:rPr>
      </w:pPr>
      <w:r>
        <w:rPr>
          <w:noProof/>
        </w:rPr>
        <w:t>2.</w:t>
      </w:r>
      <w:r>
        <w:rPr>
          <w:noProof/>
        </w:rPr>
        <w:tab/>
        <w:t xml:space="preserve">Η Ένωση και τα κράτη μέλη δύνανται να διατηρούν τα μητρώα τους σε ενιαίο σύστημα, από κοινού με ένα ή περισσότερα από τα άλλα κράτη μέλη. </w:t>
      </w:r>
    </w:p>
    <w:p>
      <w:pPr>
        <w:rPr>
          <w:noProof/>
        </w:rPr>
      </w:pPr>
      <w:r>
        <w:rPr>
          <w:noProof/>
        </w:rPr>
        <w:t>3.</w:t>
      </w:r>
      <w:r>
        <w:rPr>
          <w:noProof/>
        </w:rPr>
        <w:tab/>
        <w:t xml:space="preserve">Τα δεδομένα στα μητρώα που αναφέρονται στην παράγραφο 1 του παρόντος άρθρου διατίθενται στον κεντρικό διαχειριστή που ορίζεται δυνάμει του άρθρου 20 της οδηγίας 2003/87/ΕΚ. </w:t>
      </w:r>
    </w:p>
    <w:p>
      <w:pPr>
        <w:rPr>
          <w:noProof/>
        </w:rPr>
      </w:pPr>
      <w:r>
        <w:rPr>
          <w:noProof/>
        </w:rPr>
        <w:t>4.</w:t>
      </w:r>
      <w:r>
        <w:rPr>
          <w:noProof/>
        </w:rPr>
        <w:tab/>
        <w:t xml:space="preserve">Η Επιτροπή εξουσιοδοτείται να εκδίδει κατ’ εξουσιοδότηση πράξεις σύμφωνα με το άρθρο 36, προκειμένου να συστήσει τα μητρώα που αναφέρονται στην παράγραφο 1 του παρόντος άρθρου και προκειμένου να πραγματοποιηθεί, μέσω των μητρώων της Ένωσης και των κρατών μελών, η απαραίτητη τεχνική εφαρμογή των σχετικών αποφάσεων της UNFCCC ή οργάνων της συμφωνίας του Παρισιού, σύμφωνα με την παράγραφο 1. </w:t>
      </w:r>
    </w:p>
    <w:p>
      <w:pPr>
        <w:pStyle w:val="PartTitle"/>
        <w:rPr>
          <w:noProof/>
        </w:rPr>
      </w:pPr>
      <w:r>
        <w:rPr>
          <w:noProof/>
        </w:rPr>
        <w:t>ΚΕΦΑΛΑΙΟ 7</w:t>
      </w:r>
      <w:r>
        <w:rPr>
          <w:noProof/>
        </w:rPr>
        <w:br/>
        <w:t>ΣΥΝΕΡΓΑΣΙΑ ΚΑΙ ΥΠΟΣΤΗΡΙΞΗ</w:t>
      </w:r>
    </w:p>
    <w:p>
      <w:pPr>
        <w:pStyle w:val="Titrearticle"/>
        <w:rPr>
          <w:noProof/>
        </w:rPr>
      </w:pPr>
      <w:r>
        <w:rPr>
          <w:noProof/>
        </w:rPr>
        <w:t>Άρθρο 34</w:t>
      </w:r>
      <w:r>
        <w:rPr>
          <w:noProof/>
        </w:rPr>
        <w:br/>
      </w:r>
      <w:r>
        <w:rPr>
          <w:b/>
          <w:i w:val="0"/>
          <w:noProof/>
        </w:rPr>
        <w:t>Συνεργασία μεταξύ των κρατών μελών και της Ένωσης</w:t>
      </w:r>
    </w:p>
    <w:p>
      <w:pPr>
        <w:rPr>
          <w:noProof/>
          <w:szCs w:val="24"/>
        </w:rPr>
      </w:pPr>
      <w:r>
        <w:rPr>
          <w:noProof/>
        </w:rPr>
        <w:t>1.</w:t>
      </w:r>
      <w:r>
        <w:rPr>
          <w:noProof/>
        </w:rPr>
        <w:tab/>
        <w:t>Τα κράτη μέλη συνεργάζονται και συντονίζονται πλήρως μεταξύ τους και με την Ένωση όσον αφορά τις υποχρεώσεις τους στο πλαίσιο του παρόντος κανονισμού, ειδικότερα όσον αφορά:</w:t>
      </w:r>
    </w:p>
    <w:p>
      <w:pPr>
        <w:pStyle w:val="Point0"/>
        <w:rPr>
          <w:noProof/>
        </w:rPr>
      </w:pPr>
      <w:r>
        <w:rPr>
          <w:noProof/>
        </w:rPr>
        <w:t>α)</w:t>
      </w:r>
      <w:r>
        <w:rPr>
          <w:noProof/>
        </w:rPr>
        <w:tab/>
        <w:t>τη διαδικασία κατάρτισης, έκδοσης, κοινοποίησης και αξιολόγησης των ενοποιημένων εθνικών σχεδίων για την ενέργεια και το κλίμα δυνάμει των άρθρων 9 έως 12·</w:t>
      </w:r>
    </w:p>
    <w:p>
      <w:pPr>
        <w:pStyle w:val="Point0"/>
        <w:rPr>
          <w:noProof/>
        </w:rPr>
      </w:pPr>
      <w:r>
        <w:rPr>
          <w:noProof/>
        </w:rPr>
        <w:t>β)</w:t>
      </w:r>
      <w:r>
        <w:rPr>
          <w:noProof/>
        </w:rPr>
        <w:tab/>
        <w:t>τη διαδικασία κατάρτισης, έκδοσης, κοινοποίησης και αξιολόγησης της ενοποιημένης εθνικής έκθεσης προόδου για την ενέργεια και το κλίμα δυνάμει του άρθρου 15 και της ετήσιας υποβολής εκθέσεων δυνάμει του άρθρου 23·</w:t>
      </w:r>
    </w:p>
    <w:p>
      <w:pPr>
        <w:pStyle w:val="Point0"/>
        <w:rPr>
          <w:noProof/>
        </w:rPr>
      </w:pPr>
      <w:r>
        <w:rPr>
          <w:noProof/>
        </w:rPr>
        <w:t>γ)</w:t>
      </w:r>
      <w:r>
        <w:rPr>
          <w:noProof/>
        </w:rPr>
        <w:tab/>
        <w:t>τη διαδικασία σχετικά με τις συστάσεις της Επιτροπής και την εξέταση των εν λόγω συστάσεων δυνάμει του άρθρου 9 παράγραφος 2 και 3, του άρθρου 15 παράγραφος 5, του άρθρου 26 παράγραφος 1 και του άρθρου 27 παράγραφος 2 και 3·</w:t>
      </w:r>
    </w:p>
    <w:p>
      <w:pPr>
        <w:pStyle w:val="Point0"/>
        <w:rPr>
          <w:noProof/>
        </w:rPr>
      </w:pPr>
      <w:r>
        <w:rPr>
          <w:noProof/>
        </w:rPr>
        <w:t>δ)</w:t>
      </w:r>
      <w:r>
        <w:rPr>
          <w:noProof/>
        </w:rPr>
        <w:tab/>
        <w:t>την κατάρτιση της ενωσιακής απογραφής των αερίων θερμοκηπίου και της έκθεσης για την ενωσιακή απογραφή των αερίων θερμοκηπίου δυνάμει του άρθρου 23 παράγραφος 3·</w:t>
      </w:r>
    </w:p>
    <w:p>
      <w:pPr>
        <w:pStyle w:val="Point0"/>
        <w:rPr>
          <w:noProof/>
        </w:rPr>
      </w:pPr>
      <w:r>
        <w:rPr>
          <w:noProof/>
        </w:rPr>
        <w:t>ε)</w:t>
      </w:r>
      <w:r>
        <w:rPr>
          <w:noProof/>
        </w:rPr>
        <w:tab/>
        <w:t>τη σύνταξη της ενωσιακής εθνικής ανακοίνωσης δυνάμει του άρθρου 12 της UNFCCC και της ενωσιακής έκθεσης διετίας δυνάμει της απόφασης 2/CP.17 ή μεταγενέστερων συναφών αποφάσεων που λαμβάνουν τα όργανα της UNFCCC·</w:t>
      </w:r>
    </w:p>
    <w:p>
      <w:pPr>
        <w:pStyle w:val="Point0"/>
        <w:rPr>
          <w:noProof/>
        </w:rPr>
      </w:pPr>
      <w:r>
        <w:rPr>
          <w:noProof/>
        </w:rPr>
        <w:t>στ)</w:t>
      </w:r>
      <w:r>
        <w:rPr>
          <w:noProof/>
        </w:rPr>
        <w:tab/>
        <w:t>τις διαδικασίες εξέτασης και συμμόρφωσης στο πλαίσιο της UNFCCC και της συμφωνίας του Παρισιού σύμφωνα με κάθε απόφαση η οποία εφαρμόζεται δυνάμει της UNFCCC, καθώς και την ενωσιακή διαδικασία εξέτασης των απογραφών αερίων θερμοκηπίου των κρατών μελών που αναφέρεται στο άρθρο 31 του παρόντος κανονισμού·</w:t>
      </w:r>
    </w:p>
    <w:p>
      <w:pPr>
        <w:pStyle w:val="Point0"/>
        <w:rPr>
          <w:noProof/>
        </w:rPr>
      </w:pPr>
      <w:r>
        <w:rPr>
          <w:noProof/>
        </w:rPr>
        <w:t>ζ)</w:t>
      </w:r>
      <w:r>
        <w:rPr>
          <w:noProof/>
        </w:rPr>
        <w:tab/>
        <w:t>τυχόν προσαρμογές μετά τη διαδικασία εξέτασης που αναφέρεται στο άρθρο 31 ή άλλες αλλαγές στις απογραφές και τις εκθέσεις που υποβάλλονται ή πρόκειται να υποβληθούν με θέμα τις απογραφές, στη γραμματεία της UNFCCC·</w:t>
      </w:r>
    </w:p>
    <w:p>
      <w:pPr>
        <w:pStyle w:val="Point0"/>
        <w:rPr>
          <w:noProof/>
        </w:rPr>
      </w:pPr>
      <w:r>
        <w:rPr>
          <w:noProof/>
        </w:rPr>
        <w:t>η)</w:t>
      </w:r>
      <w:r>
        <w:rPr>
          <w:noProof/>
        </w:rPr>
        <w:tab/>
        <w:t>την κατάρτιση της ενωσιακής κατά προσέγγιση απογραφής των αερίων θερμοκηπίου δυνάμει του άρθρου 23 παράγραφος 1 στοιχείο α) και το άρθρο 23 παράγραφος 1 τελευταίο εδάφιο.</w:t>
      </w:r>
    </w:p>
    <w:p>
      <w:pPr>
        <w:rPr>
          <w:noProof/>
          <w:szCs w:val="24"/>
        </w:rPr>
      </w:pPr>
      <w:r>
        <w:rPr>
          <w:noProof/>
        </w:rPr>
        <w:t>2.</w:t>
      </w:r>
      <w:r>
        <w:rPr>
          <w:noProof/>
        </w:rPr>
        <w:tab/>
        <w:t>Η Επιτροπή παρέχει τεχνική υποστήριξη στα κράτη μέλη όσον αφορά τις υποχρεώσεις στο πλαίσιο του παρόντος κανονισμού, κατόπιν αιτήματος κράτους μέλους.</w:t>
      </w:r>
    </w:p>
    <w:p>
      <w:pPr>
        <w:pStyle w:val="Titrearticle"/>
        <w:rPr>
          <w:i w:val="0"/>
          <w:noProof/>
          <w:szCs w:val="24"/>
        </w:rPr>
      </w:pPr>
      <w:r>
        <w:rPr>
          <w:noProof/>
        </w:rPr>
        <w:t>Άρθρο 35</w:t>
      </w:r>
      <w:r>
        <w:rPr>
          <w:noProof/>
        </w:rPr>
        <w:br/>
      </w:r>
      <w:r>
        <w:rPr>
          <w:b/>
          <w:i w:val="0"/>
          <w:noProof/>
        </w:rPr>
        <w:t xml:space="preserve">Ρόλος του Ευρωπαϊκού Οργανισμού Περιβάλλοντος </w:t>
      </w:r>
    </w:p>
    <w:p>
      <w:pPr>
        <w:rPr>
          <w:noProof/>
          <w:szCs w:val="24"/>
        </w:rPr>
      </w:pPr>
      <w:r>
        <w:rPr>
          <w:noProof/>
        </w:rPr>
        <w:t>Ο Ευρωπαϊκός Οργανισμός Περιβάλλοντος επικουρεί την Επιτροπή στο έργο της όσον αφορά τις διαστάσεις της απαλλαγής από τις ανθρακούχες εκπομπές και της ενεργειακής απόδοσης με στόχο τη συμμόρφωσή τους με τα άρθρα 14, 15, 16, 17, 18, 19, 23, 24, 25, 29, 30, 31, 32 και 34, σύμφωνα με το ετήσιο πρόγραμμα εργασίας του. Αυτό περιλαμβάνει συνδρομή όπως απαιτείται με:</w:t>
      </w:r>
    </w:p>
    <w:p>
      <w:pPr>
        <w:pStyle w:val="Point0"/>
        <w:rPr>
          <w:noProof/>
        </w:rPr>
      </w:pPr>
      <w:r>
        <w:rPr>
          <w:noProof/>
        </w:rPr>
        <w:t>α)</w:t>
      </w:r>
      <w:r>
        <w:rPr>
          <w:noProof/>
        </w:rPr>
        <w:tab/>
        <w:t>συγκέντρωση των πληροφοριών που υποβάλλουν τα κράτη μέλη όσον αφορά τις πολιτικές και τα μέτρα, καθώς και τις προβλέψεις·</w:t>
      </w:r>
    </w:p>
    <w:p>
      <w:pPr>
        <w:pStyle w:val="Point0"/>
        <w:rPr>
          <w:noProof/>
        </w:rPr>
      </w:pPr>
      <w:r>
        <w:rPr>
          <w:noProof/>
        </w:rPr>
        <w:t>β)</w:t>
      </w:r>
      <w:r>
        <w:rPr>
          <w:noProof/>
        </w:rPr>
        <w:tab/>
        <w:t>διεξαγωγή διαδικασιών διασφάλισης της ποιότητας και ελέγχου της ποιότητας των πληροφοριών που υποβάλλουν τα κράτη μέλη όσον αφορά τις προβλέψεις, καθώς και τις πολιτικές και τα μέτρα·</w:t>
      </w:r>
    </w:p>
    <w:p>
      <w:pPr>
        <w:pStyle w:val="Point0"/>
        <w:rPr>
          <w:noProof/>
        </w:rPr>
      </w:pPr>
      <w:r>
        <w:rPr>
          <w:noProof/>
        </w:rPr>
        <w:t>γ)</w:t>
      </w:r>
      <w:r>
        <w:rPr>
          <w:noProof/>
        </w:rPr>
        <w:tab/>
        <w:t>κατάρτιση εκτιμήσεων ή συμπλήρωση εκείνων που έχει στη διάθεσή της η Ευρωπαϊκή Επιτροπή με δεδομένα σχετικά με προβλέψεις που δεν έχουν υποβληθεί από τα κράτη μέλη·</w:t>
      </w:r>
    </w:p>
    <w:p>
      <w:pPr>
        <w:pStyle w:val="Point0"/>
        <w:rPr>
          <w:noProof/>
        </w:rPr>
      </w:pPr>
      <w:r>
        <w:rPr>
          <w:noProof/>
        </w:rPr>
        <w:t>δ)</w:t>
      </w:r>
      <w:r>
        <w:rPr>
          <w:noProof/>
        </w:rPr>
        <w:tab/>
        <w:t>συγκέντρωση δεδομένων, όπου διατίθενται και τα οποία έχουν ληφθεί από ευρωπαϊκές στατιστικές και είναι κατάλληλα από την πλευρά του χρονοδιαγράμματος, όπως απαιτεί η έκθεση σχετικά με την κατάσταση της Ενεργειακής Ένωσης στο Ευρωπαϊκό Συμβούλιο και το Κοινοβούλιο που καταρτίστηκε από την Επιτροπή·</w:t>
      </w:r>
    </w:p>
    <w:p>
      <w:pPr>
        <w:pStyle w:val="Point0"/>
        <w:rPr>
          <w:noProof/>
        </w:rPr>
      </w:pPr>
      <w:r>
        <w:rPr>
          <w:noProof/>
        </w:rPr>
        <w:t>ε)</w:t>
      </w:r>
      <w:r>
        <w:rPr>
          <w:noProof/>
        </w:rPr>
        <w:tab/>
        <w:t>διάδοση των πληροφοριών που συγκεντρώνονται στο πλαίσιο του παρόντος κανονισμού, συμπεριλαμβανομένων της διατήρησης και της επικαιροποίησης βάσης δεδομένων σχετικά με τις πολιτικές και τα μέτρα μετριασμού των κρατών μελών και της ευρωπαϊκής πλατφόρμας προσαρμογής στην κλιματική αλλαγή για τις επιπτώσεις, την τρωτότητα και την προσαρμογή στην αλλαγή του κλίματος·</w:t>
      </w:r>
    </w:p>
    <w:p>
      <w:pPr>
        <w:pStyle w:val="Point0"/>
        <w:rPr>
          <w:noProof/>
        </w:rPr>
      </w:pPr>
      <w:r>
        <w:rPr>
          <w:noProof/>
        </w:rPr>
        <w:t>στ)</w:t>
      </w:r>
      <w:r>
        <w:rPr>
          <w:noProof/>
        </w:rPr>
        <w:tab/>
        <w:t>διεξαγωγή διαδικασιών διασφάλισης της ποιότητας και ελέγχου της ποιότητας για την εκπόνηση της ενωσιακής απογραφής των αερίων θερμοκηπίου·</w:t>
      </w:r>
    </w:p>
    <w:p>
      <w:pPr>
        <w:pStyle w:val="Point0"/>
        <w:rPr>
          <w:noProof/>
        </w:rPr>
      </w:pPr>
      <w:r>
        <w:rPr>
          <w:noProof/>
        </w:rPr>
        <w:t>ζ)</w:t>
      </w:r>
      <w:r>
        <w:rPr>
          <w:noProof/>
        </w:rPr>
        <w:tab/>
        <w:t>κατάρτιση της ενωσιακής απογραφής αερίων θερμοκηπίου και σύνταξη της έκθεσης για την ενωσιακή απογραφή των αερίων θερμοκηπίου·</w:t>
      </w:r>
    </w:p>
    <w:p>
      <w:pPr>
        <w:pStyle w:val="Point0"/>
        <w:rPr>
          <w:noProof/>
        </w:rPr>
      </w:pPr>
      <w:r>
        <w:rPr>
          <w:noProof/>
        </w:rPr>
        <w:t>η)</w:t>
      </w:r>
      <w:r>
        <w:rPr>
          <w:noProof/>
        </w:rPr>
        <w:tab/>
        <w:t>κατάρτιση εκτιμήσεων για τα δεδομένα που δεν αναφέρονται στις εθνικές απογραφές των αερίων θερμοκηπίου·</w:t>
      </w:r>
    </w:p>
    <w:p>
      <w:pPr>
        <w:pStyle w:val="Point0"/>
        <w:rPr>
          <w:noProof/>
        </w:rPr>
      </w:pPr>
      <w:r>
        <w:rPr>
          <w:noProof/>
        </w:rPr>
        <w:t>θ)</w:t>
      </w:r>
      <w:r>
        <w:rPr>
          <w:noProof/>
        </w:rPr>
        <w:tab/>
        <w:t>διενέργεια της εξέτασης που αναφέρεται στο άρθρο 31·</w:t>
      </w:r>
    </w:p>
    <w:p>
      <w:pPr>
        <w:pStyle w:val="Point0"/>
        <w:rPr>
          <w:noProof/>
        </w:rPr>
      </w:pPr>
      <w:r>
        <w:rPr>
          <w:noProof/>
        </w:rPr>
        <w:t>ι)</w:t>
      </w:r>
      <w:r>
        <w:rPr>
          <w:noProof/>
        </w:rPr>
        <w:tab/>
        <w:t>κατάρτιση της ενωσιακής κατά προσέγγιση απογραφής των αερίων θερμοκηπίου.</w:t>
      </w:r>
    </w:p>
    <w:p>
      <w:pPr>
        <w:pStyle w:val="PartTitle"/>
        <w:rPr>
          <w:noProof/>
        </w:rPr>
      </w:pPr>
      <w:r>
        <w:rPr>
          <w:noProof/>
        </w:rPr>
        <w:t>ΚΕΦΑΛΑΙΟ 8</w:t>
      </w:r>
      <w:r>
        <w:rPr>
          <w:noProof/>
        </w:rPr>
        <w:br/>
        <w:t>ΕΞΟΥΣΙΟΔΟΤΗΣΗ</w:t>
      </w:r>
    </w:p>
    <w:p>
      <w:pPr>
        <w:pStyle w:val="Titrearticle"/>
        <w:rPr>
          <w:noProof/>
        </w:rPr>
      </w:pPr>
      <w:r>
        <w:rPr>
          <w:noProof/>
        </w:rPr>
        <w:t>Άρθρο 36</w:t>
      </w:r>
      <w:r>
        <w:rPr>
          <w:noProof/>
        </w:rPr>
        <w:br/>
      </w:r>
      <w:r>
        <w:rPr>
          <w:b/>
          <w:i w:val="0"/>
          <w:noProof/>
        </w:rPr>
        <w:t>Άσκηση της εξουσιοδότησης</w:t>
      </w:r>
    </w:p>
    <w:p>
      <w:pPr>
        <w:rPr>
          <w:noProof/>
          <w:szCs w:val="24"/>
        </w:rPr>
      </w:pPr>
      <w:r>
        <w:rPr>
          <w:noProof/>
        </w:rPr>
        <w:t>1.</w:t>
      </w:r>
      <w:r>
        <w:rPr>
          <w:noProof/>
        </w:rPr>
        <w:tab/>
        <w:t>Η εξουσία έκδοσης κατ’ εξουσιοδότηση πράξεων ανατίθεται στην Επιτροπή σύμφωνα με τους όρους του παρόντος άρθρου.</w:t>
      </w:r>
    </w:p>
    <w:p>
      <w:pPr>
        <w:rPr>
          <w:noProof/>
        </w:rPr>
      </w:pPr>
      <w:r>
        <w:rPr>
          <w:noProof/>
        </w:rPr>
        <w:t>2.</w:t>
      </w:r>
      <w:r>
        <w:rPr>
          <w:noProof/>
        </w:rPr>
        <w:tab/>
        <w:t>Η εξουσία έκδοσης κατ’ εξουσιοδότηση πράξεων που αναφέρεται στα άρθρα 3 παράγραφος 4, 23 παράγραφος 5, 27 παράγραφος 4, 30 παράγραφος 6 και 33 παράγραφος 4 ανατίθεται στην Επιτροπή για περίοδο πέντε ετών από την [ημερομηνία έναρξης ισχύος του παρόντος κανονισμού]. Η Επιτροπή υποβάλλει έκθεση σχετικά με τις εξουσίες που της έχουν ανατεθεί το αργότερο εννέα μήνες πριν από τη λήξη της πενταετούς περιόδου. Η εξουσιοδότηση ανανεώνεται αυτομάτως για περιόδους ίδιας διάρκειας, εκτός αν το Ευρωπαϊκό Κοινοβούλιο ή το Συμβούλιο προβάλουν αντιρρήσεις το αργότερο εντός τριών μηνών πριν από τη λήξη της κάθε περιόδου.</w:t>
      </w:r>
    </w:p>
    <w:p>
      <w:pPr>
        <w:rPr>
          <w:noProof/>
        </w:rPr>
      </w:pPr>
      <w:r>
        <w:rPr>
          <w:noProof/>
        </w:rPr>
        <w:t>3.</w:t>
      </w:r>
      <w:r>
        <w:rPr>
          <w:noProof/>
        </w:rPr>
        <w:tab/>
        <w:t>Η εξουσιοδότηση που αναφέρεται στο άρθρο 3 παράγραφος 4, στο άρθρο 23 παράγραφος 5, στο άρθρο 27 παράγραφος 4, στο άρθρο 30 παράγραφος 6 και στο άρθρο 33 παράγραφος 4 μπορεί να ανακληθεί ανά πάσα στιγμή από το Ευρωπαϊκό Κοινοβούλιο ή το Συμβούλιο. Η απόφαση για την ανάκληση θέτει τέλος στην εξουσιοδότηση που προσδιορίζεται στην εν λόγω απόφαση. Παράγει αποτελέσματα από την επομένη της δημοσίευσης της απόφασης στην Επίσημη Εφημερίδα της Ευρωπαϊκής Ένωσης ή σε μεταγενέστερη ημερομηνία η οποία καθορίζεται σε αυτήν. Δεν επηρεάζει την εγκυρότητα των κατ’ εξουσιοδότηση πράξεων που βρίσκονται ήδη σε ισχύ.</w:t>
      </w:r>
    </w:p>
    <w:p>
      <w:pPr>
        <w:rPr>
          <w:noProof/>
        </w:rPr>
      </w:pPr>
      <w:r>
        <w:rPr>
          <w:noProof/>
        </w:rPr>
        <w:t>4.</w:t>
      </w:r>
      <w:r>
        <w:rPr>
          <w:noProof/>
        </w:rPr>
        <w:tab/>
        <w:t>Πριν την έκδοση κατ’ εξουσιοδότηση πράξης, η Επιτροπή διεξάγει διαβουλεύσεις με εμπειρογνώμονες που ορίζουν τα κράτη μέλη σύμφωνα με τις αρχές της διοργανικής συμφωνίας για τη βελτίωση της νομοθεσίας της 13</w:t>
      </w:r>
      <w:r>
        <w:rPr>
          <w:noProof/>
          <w:vertAlign w:val="superscript"/>
        </w:rPr>
        <w:t>ης</w:t>
      </w:r>
      <w:r>
        <w:rPr>
          <w:noProof/>
        </w:rPr>
        <w:t xml:space="preserve"> Απριλίου 2016.</w:t>
      </w:r>
    </w:p>
    <w:p>
      <w:pPr>
        <w:rPr>
          <w:noProof/>
        </w:rPr>
      </w:pPr>
      <w:r>
        <w:rPr>
          <w:noProof/>
        </w:rPr>
        <w:t>5.</w:t>
      </w:r>
      <w:r>
        <w:rPr>
          <w:noProof/>
        </w:rPr>
        <w:tab/>
        <w:t>Η Επιτροπή, μόλις εκδώσει κατ’ εξουσιοδότηση πράξη, την κοινοποιεί ταυτόχρονα στο Ευρωπαϊκό Κοινοβούλιο και στο Συμβούλιο.</w:t>
      </w:r>
    </w:p>
    <w:p>
      <w:pPr>
        <w:rPr>
          <w:noProof/>
          <w:szCs w:val="24"/>
        </w:rPr>
      </w:pPr>
      <w:r>
        <w:rPr>
          <w:noProof/>
        </w:rPr>
        <w:t>6.</w:t>
      </w:r>
      <w:r>
        <w:rPr>
          <w:noProof/>
        </w:rPr>
        <w:tab/>
        <w:t>Κατ’ εξουσιοδότηση πράξη που εκδίδεται δυνάμει του άρθρου 3 παράγραφος 4, του άρθρου 23 παράγραφος 5, του άρθρου 27 παράγραφος 4, του άρθρου 30 παράγραφος 6 και του άρθρου 33 παράγραφος 4 τίθεται σε ισχύ μόνο εφόσον ούτε το Ευρωπαϊκό Κοινοβούλιο ούτε το Συμβούλιο προβάλουν ένσταση εντός προθεσμίας δύο μηνών από την κοινοποίηση της πράξης στο Ευρωπαϊκό Κοινοβούλιο και το Συμβούλιο ή εφόσον, πριν από τη λήξη της προθεσμίας αυτής, τόσο το Ευρωπαϊκό Κοινοβούλιο, όσο και το Συμβούλιο πληροφορήσουν την Επιτροπή ότι δεν πρόκειται να προβάλουν ένσταση. Η προθεσμία αυτή παρατείνεται κατά δύο μήνες με πρωτοβουλία του Ευρωπαϊκού Κοινοβουλίου ή του Συμβουλίου.</w:t>
      </w:r>
    </w:p>
    <w:p>
      <w:pPr>
        <w:pStyle w:val="PartTitle"/>
        <w:rPr>
          <w:noProof/>
        </w:rPr>
      </w:pPr>
      <w:r>
        <w:rPr>
          <w:noProof/>
        </w:rPr>
        <w:t>ΚΕΦΑΛΑΙΟ 9</w:t>
      </w:r>
      <w:r>
        <w:rPr>
          <w:noProof/>
        </w:rPr>
        <w:br/>
        <w:t>ΤΕΛΙΚΕΣ ΔΙΑΤΑΞΕΙΣ</w:t>
      </w:r>
    </w:p>
    <w:p>
      <w:pPr>
        <w:pStyle w:val="Titrearticle"/>
        <w:rPr>
          <w:noProof/>
        </w:rPr>
      </w:pPr>
      <w:r>
        <w:rPr>
          <w:noProof/>
        </w:rPr>
        <w:t>Άρθρο 37</w:t>
      </w:r>
      <w:r>
        <w:rPr>
          <w:noProof/>
        </w:rPr>
        <w:br/>
      </w:r>
      <w:r>
        <w:rPr>
          <w:b/>
          <w:i w:val="0"/>
          <w:noProof/>
        </w:rPr>
        <w:t>Επιτροπή της Ενεργειακής Ένωσης</w:t>
      </w:r>
    </w:p>
    <w:p>
      <w:pPr>
        <w:rPr>
          <w:noProof/>
          <w:color w:val="000000" w:themeColor="text1"/>
        </w:rPr>
      </w:pPr>
      <w:r>
        <w:rPr>
          <w:noProof/>
          <w:color w:val="000000" w:themeColor="text1"/>
        </w:rPr>
        <w:t>1.</w:t>
      </w:r>
      <w:r>
        <w:rPr>
          <w:noProof/>
        </w:rPr>
        <w:tab/>
      </w:r>
      <w:r>
        <w:rPr>
          <w:noProof/>
          <w:color w:val="000000" w:themeColor="text1"/>
        </w:rPr>
        <w:t>Η Επιτροπή επικουρείται από επιτροπή της Ενεργειακής Ένωσης. Η εν λόγω επιτροπή αποτελεί επιτροπή κατά την έννοια του κανονισμού (ΕΕ) αριθ. 182/2011 και εργάζεται στους αντίστοιχους τομεακούς σχηματισμούς που έχουν σημασία για τον παρόντα κανονισμό.</w:t>
      </w:r>
    </w:p>
    <w:p>
      <w:pPr>
        <w:rPr>
          <w:noProof/>
          <w:color w:val="000000" w:themeColor="text1"/>
        </w:rPr>
      </w:pPr>
      <w:r>
        <w:rPr>
          <w:noProof/>
          <w:color w:val="000000" w:themeColor="text1"/>
        </w:rPr>
        <w:t>2.</w:t>
      </w:r>
      <w:r>
        <w:rPr>
          <w:noProof/>
        </w:rPr>
        <w:tab/>
      </w:r>
      <w:r>
        <w:rPr>
          <w:noProof/>
          <w:color w:val="000000" w:themeColor="text1"/>
        </w:rPr>
        <w:t>Η εν λόγω επιτροπή αντικαθιστά την επιτροπή που προβλέπεται στο άρθρο 8 της απόφασης 93/389/ΕΟΚ, στο άρθρο 9 της απόφασης 280/2004/ΕΚ και στο άρθρο 26 του κανονισμού (ΕΕ) αριθ. 525/2013. Οι αναφορές στην επιτροπή που συστήνεται σύμφωνα με τις εν λόγω νομικές πράξεις νοούνται ως αναφορές στην επιτροπή που συστήνεται με τον παρόντα κανονισμό.</w:t>
      </w:r>
    </w:p>
    <w:p>
      <w:pPr>
        <w:rPr>
          <w:noProof/>
          <w:color w:val="000000" w:themeColor="text1"/>
        </w:rPr>
      </w:pPr>
      <w:r>
        <w:rPr>
          <w:noProof/>
          <w:color w:val="000000" w:themeColor="text1"/>
        </w:rPr>
        <w:t>3.</w:t>
      </w:r>
      <w:r>
        <w:rPr>
          <w:noProof/>
        </w:rPr>
        <w:tab/>
      </w:r>
      <w:r>
        <w:rPr>
          <w:noProof/>
          <w:color w:val="000000" w:themeColor="text1"/>
        </w:rPr>
        <w:t>Όποτε γίνεται παραπομπή στο παρόν άρθρο, εφαρμόζεται το άρθρο 5 του κανονισμού (ΕΕ) αριθ. 182/2011.</w:t>
      </w:r>
    </w:p>
    <w:p>
      <w:pPr>
        <w:pStyle w:val="Titrearticle"/>
        <w:rPr>
          <w:noProof/>
          <w:szCs w:val="24"/>
        </w:rPr>
      </w:pPr>
      <w:r>
        <w:rPr>
          <w:noProof/>
        </w:rPr>
        <w:t>Άρθρο 38</w:t>
      </w:r>
      <w:r>
        <w:rPr>
          <w:noProof/>
        </w:rPr>
        <w:br/>
      </w:r>
      <w:r>
        <w:rPr>
          <w:b/>
          <w:i w:val="0"/>
          <w:noProof/>
        </w:rPr>
        <w:t>Επανεξέταση</w:t>
      </w:r>
    </w:p>
    <w:p>
      <w:pPr>
        <w:rPr>
          <w:noProof/>
          <w:szCs w:val="24"/>
        </w:rPr>
      </w:pPr>
      <w:r>
        <w:rPr>
          <w:noProof/>
          <w:color w:val="000000"/>
        </w:rPr>
        <w:t>Η Επιτροπή υποβάλλει έκθεση στο Ευρωπαϊκό Κοινοβούλιο και το Συμβούλιο έως τις 28 Φεβρουαρίου 2026 και ανά πέντε έτη εφεξής, για την εφαρμογή του παρόντος κανονισμού, τη συνεισφορά του στη διακυβέρνηση της Ενεργειακής Ένωσης και τη συμμόρφωση των διατάξεων σχεδιασμού, υποβολής εκθέσεων και παρακολούθησης του παρόντος κανονισμού με τη λοιπή νομοθεσία της Ένωσης ή τις μελλοντικές αποφάσεις που σχετίζονται με την UNFCCC και τη συμφωνία του Παρισιού. Η Επιτροπή δύναται να υποβάλλει προτάσεις, όπου απαιτείται.</w:t>
      </w:r>
    </w:p>
    <w:p>
      <w:pPr>
        <w:pStyle w:val="Titrearticle"/>
        <w:rPr>
          <w:noProof/>
        </w:rPr>
      </w:pPr>
      <w:r>
        <w:rPr>
          <w:noProof/>
        </w:rPr>
        <w:t>Άρθρο 39</w:t>
      </w:r>
      <w:r>
        <w:rPr>
          <w:noProof/>
        </w:rPr>
        <w:br/>
      </w:r>
      <w:r>
        <w:rPr>
          <w:b/>
          <w:i w:val="0"/>
          <w:noProof/>
        </w:rPr>
        <w:t>Τροποποιήσεις της οδηγίας 94/22/ΕΚ</w:t>
      </w:r>
    </w:p>
    <w:p>
      <w:pPr>
        <w:rPr>
          <w:noProof/>
        </w:rPr>
      </w:pPr>
      <w:r>
        <w:rPr>
          <w:noProof/>
        </w:rPr>
        <w:t>Η οδηγία 94/22/ΕΚ τροποποιείται ως εξής:</w:t>
      </w:r>
    </w:p>
    <w:p>
      <w:pPr>
        <w:pStyle w:val="Point1"/>
        <w:rPr>
          <w:noProof/>
        </w:rPr>
      </w:pPr>
      <w:r>
        <w:rPr>
          <w:noProof/>
        </w:rPr>
        <w:t>1)</w:t>
      </w:r>
      <w:r>
        <w:rPr>
          <w:noProof/>
        </w:rPr>
        <w:tab/>
        <w:t>στο άρθρο 8, η παράγραφος 2 απαλείφεται·</w:t>
      </w:r>
    </w:p>
    <w:p>
      <w:pPr>
        <w:pStyle w:val="Point1"/>
        <w:rPr>
          <w:noProof/>
        </w:rPr>
      </w:pPr>
      <w:r>
        <w:rPr>
          <w:noProof/>
        </w:rPr>
        <w:t>2)</w:t>
      </w:r>
      <w:r>
        <w:rPr>
          <w:noProof/>
        </w:rPr>
        <w:tab/>
        <w:t>το άρθρο 9 απαλείφεται.</w:t>
      </w:r>
    </w:p>
    <w:p>
      <w:pPr>
        <w:pStyle w:val="Titrearticle"/>
        <w:rPr>
          <w:noProof/>
        </w:rPr>
      </w:pPr>
      <w:r>
        <w:rPr>
          <w:noProof/>
        </w:rPr>
        <w:t>Άρθρο 40</w:t>
      </w:r>
      <w:r>
        <w:rPr>
          <w:noProof/>
        </w:rPr>
        <w:br/>
      </w:r>
      <w:r>
        <w:rPr>
          <w:b/>
          <w:noProof/>
        </w:rPr>
        <w:t>Τροποποιήσεις της οδηγίας 98/70/ΕΚ</w:t>
      </w:r>
    </w:p>
    <w:p>
      <w:pPr>
        <w:rPr>
          <w:noProof/>
        </w:rPr>
      </w:pPr>
      <w:r>
        <w:rPr>
          <w:noProof/>
        </w:rPr>
        <w:t xml:space="preserve">Η οδηγία 98/70/ΕΚ τροποποιείται ως εξής: </w:t>
      </w:r>
    </w:p>
    <w:p>
      <w:pPr>
        <w:pStyle w:val="Point1"/>
        <w:rPr>
          <w:noProof/>
        </w:rPr>
      </w:pPr>
      <w:r>
        <w:rPr>
          <w:noProof/>
        </w:rPr>
        <w:t>1)</w:t>
      </w:r>
      <w:r>
        <w:rPr>
          <w:noProof/>
        </w:rPr>
        <w:tab/>
        <w:t>στο άρθρο 8 παράγραφος 4, η δεύτερη πρόταση απαλείφεται·</w:t>
      </w:r>
    </w:p>
    <w:p>
      <w:pPr>
        <w:pStyle w:val="Point1"/>
        <w:rPr>
          <w:noProof/>
        </w:rPr>
      </w:pPr>
      <w:r>
        <w:rPr>
          <w:noProof/>
        </w:rPr>
        <w:t>2)</w:t>
      </w:r>
      <w:r>
        <w:rPr>
          <w:noProof/>
        </w:rPr>
        <w:tab/>
        <w:t>στο στοιχείο α) του άρθρου 7 παράγραφος 1 τρίτο εδάφιο, το στοιχείο α) αντικαθίσταται από το ακόλουθο κείμενο:</w:t>
      </w:r>
    </w:p>
    <w:p>
      <w:pPr>
        <w:pStyle w:val="Text1"/>
        <w:rPr>
          <w:noProof/>
        </w:rPr>
      </w:pPr>
      <w:r>
        <w:rPr>
          <w:noProof/>
        </w:rPr>
        <w:t>«ο συνολικός όγκος κάθε τύπου παρεχόμενου καυσίμου ή ενέργειας· και»·</w:t>
      </w:r>
    </w:p>
    <w:p>
      <w:pPr>
        <w:pStyle w:val="Point1"/>
        <w:rPr>
          <w:noProof/>
        </w:rPr>
      </w:pPr>
      <w:r>
        <w:rPr>
          <w:noProof/>
        </w:rPr>
        <w:t>3)</w:t>
      </w:r>
      <w:r>
        <w:rPr>
          <w:noProof/>
        </w:rPr>
        <w:tab/>
        <w:t>στο άρθρο 7α παράγραφος 2, η πρώτη πρόταση αντικαθίσταται από το ακόλουθο κείμενο:</w:t>
      </w:r>
    </w:p>
    <w:p>
      <w:pPr>
        <w:pStyle w:val="Text1"/>
        <w:rPr>
          <w:noProof/>
        </w:rPr>
      </w:pPr>
      <w:r>
        <w:rPr>
          <w:noProof/>
        </w:rPr>
        <w:t>«Τα κράτη μέλη απαιτούν από τους προμηθευτές να μειώσουν όσο το δυνατόν πιο σταδιακά τις εκπομπές αερίων του θερμοκηπίου κύκλου ζωής ανά μονάδα ενέργειας από το παρεχόμενο καύσιμο ή ενέργεια κατά 10 % έως τις 31 Δεκεμβρίου 2020, σε σύγκριση με το βασικό πρότυπο καυσίμου που παρατίθεται στο παράρτημα ΙΙ της οδηγίας (ΕΕ) 2015/652 του Συμβουλίου».</w:t>
      </w:r>
    </w:p>
    <w:p>
      <w:pPr>
        <w:pStyle w:val="Titrearticle"/>
        <w:rPr>
          <w:noProof/>
        </w:rPr>
      </w:pPr>
      <w:r>
        <w:rPr>
          <w:noProof/>
        </w:rPr>
        <w:t>Άρθρο 41</w:t>
      </w:r>
      <w:r>
        <w:rPr>
          <w:noProof/>
        </w:rPr>
        <w:br/>
      </w:r>
      <w:r>
        <w:rPr>
          <w:b/>
          <w:noProof/>
        </w:rPr>
        <w:t>Τροποποίηση της οδηγίας 2009/31/ΕΚ</w:t>
      </w:r>
    </w:p>
    <w:p>
      <w:pPr>
        <w:rPr>
          <w:noProof/>
        </w:rPr>
      </w:pPr>
      <w:r>
        <w:rPr>
          <w:noProof/>
        </w:rPr>
        <w:t>Στο άρθρο 38 της οδηγίας 2009/31/ΕΚ, η παράγραφος 1 απαλείφεται.</w:t>
      </w:r>
    </w:p>
    <w:p>
      <w:pPr>
        <w:pStyle w:val="Titrearticle"/>
        <w:rPr>
          <w:noProof/>
        </w:rPr>
      </w:pPr>
      <w:r>
        <w:rPr>
          <w:noProof/>
        </w:rPr>
        <w:t>Άρθρο 42</w:t>
      </w:r>
      <w:r>
        <w:rPr>
          <w:noProof/>
        </w:rPr>
        <w:br/>
      </w:r>
      <w:r>
        <w:rPr>
          <w:b/>
          <w:noProof/>
        </w:rPr>
        <w:t>Τροποποιήσεις του κανονισμού 663/2009/ΕΚ</w:t>
      </w:r>
    </w:p>
    <w:p>
      <w:pPr>
        <w:rPr>
          <w:noProof/>
        </w:rPr>
      </w:pPr>
      <w:r>
        <w:rPr>
          <w:noProof/>
        </w:rPr>
        <w:t>Ο κανονισμός 663/2009/ΕΚ τροποποιείται ως εξής:</w:t>
      </w:r>
    </w:p>
    <w:p>
      <w:pPr>
        <w:pStyle w:val="Point2"/>
        <w:rPr>
          <w:noProof/>
        </w:rPr>
      </w:pPr>
      <w:r>
        <w:rPr>
          <w:noProof/>
        </w:rPr>
        <w:t>1)</w:t>
      </w:r>
      <w:r>
        <w:rPr>
          <w:noProof/>
        </w:rPr>
        <w:tab/>
        <w:t>στο άρθρο 27, οι παράγραφοι 1 και 3 απαλείφονται·</w:t>
      </w:r>
    </w:p>
    <w:p>
      <w:pPr>
        <w:pStyle w:val="Point2"/>
        <w:rPr>
          <w:noProof/>
        </w:rPr>
      </w:pPr>
      <w:r>
        <w:rPr>
          <w:noProof/>
        </w:rPr>
        <w:t>2)</w:t>
      </w:r>
      <w:r>
        <w:rPr>
          <w:noProof/>
        </w:rPr>
        <w:tab/>
        <w:t>το άρθρο 28 απαλείφεται.</w:t>
      </w:r>
    </w:p>
    <w:p>
      <w:pPr>
        <w:pStyle w:val="Titrearticle"/>
        <w:rPr>
          <w:noProof/>
        </w:rPr>
      </w:pPr>
      <w:r>
        <w:rPr>
          <w:noProof/>
        </w:rPr>
        <w:t>Άρθρο 43</w:t>
      </w:r>
      <w:r>
        <w:rPr>
          <w:noProof/>
        </w:rPr>
        <w:br/>
      </w:r>
      <w:r>
        <w:rPr>
          <w:b/>
          <w:noProof/>
        </w:rPr>
        <w:t>Τροποποιήσεις του κανονισμού (ΕΚ) αριθ. 715/2009/ΕΚ</w:t>
      </w:r>
    </w:p>
    <w:p>
      <w:pPr>
        <w:rPr>
          <w:noProof/>
        </w:rPr>
      </w:pPr>
      <w:r>
        <w:rPr>
          <w:noProof/>
        </w:rPr>
        <w:t>Το άρθρο 29 του κανονισμού (ΕΚ) αριθ. 715/2009/ΕΚ απαλείφεται.</w:t>
      </w:r>
    </w:p>
    <w:p>
      <w:pPr>
        <w:pStyle w:val="Titrearticle"/>
        <w:rPr>
          <w:noProof/>
        </w:rPr>
      </w:pPr>
      <w:r>
        <w:rPr>
          <w:noProof/>
        </w:rPr>
        <w:t>Άρθρο 44</w:t>
      </w:r>
      <w:r>
        <w:rPr>
          <w:noProof/>
        </w:rPr>
        <w:br/>
      </w:r>
      <w:r>
        <w:rPr>
          <w:b/>
          <w:noProof/>
        </w:rPr>
        <w:t>Τροποποιήσεις της οδηγίας 2009/73/ΕΚ</w:t>
      </w:r>
    </w:p>
    <w:p>
      <w:pPr>
        <w:rPr>
          <w:noProof/>
        </w:rPr>
      </w:pPr>
      <w:r>
        <w:rPr>
          <w:noProof/>
        </w:rPr>
        <w:t>Η οδηγία 2009/73/ΕΚ τροποποιείται ως εξής:</w:t>
      </w:r>
    </w:p>
    <w:p>
      <w:pPr>
        <w:pStyle w:val="Point2"/>
        <w:rPr>
          <w:noProof/>
        </w:rPr>
      </w:pPr>
      <w:r>
        <w:rPr>
          <w:noProof/>
        </w:rPr>
        <w:t>1)</w:t>
      </w:r>
      <w:r>
        <w:rPr>
          <w:noProof/>
        </w:rPr>
        <w:tab/>
        <w:t xml:space="preserve">το άρθρο 5 απαλείφεται· </w:t>
      </w:r>
    </w:p>
    <w:p>
      <w:pPr>
        <w:pStyle w:val="Point2"/>
        <w:rPr>
          <w:noProof/>
        </w:rPr>
      </w:pPr>
      <w:r>
        <w:rPr>
          <w:noProof/>
        </w:rPr>
        <w:t>2)</w:t>
      </w:r>
      <w:r>
        <w:rPr>
          <w:noProof/>
        </w:rPr>
        <w:tab/>
        <w:t xml:space="preserve">το άρθρο 52 αντικαθίσταται από το ακόλουθο κείμενο: </w:t>
      </w:r>
    </w:p>
    <w:p>
      <w:pPr>
        <w:pStyle w:val="Text3"/>
        <w:rPr>
          <w:i/>
          <w:noProof/>
        </w:rPr>
      </w:pPr>
      <w:r>
        <w:rPr>
          <w:i/>
          <w:noProof/>
        </w:rPr>
        <w:t>«Άρθρο 52</w:t>
      </w:r>
    </w:p>
    <w:p>
      <w:pPr>
        <w:pStyle w:val="Text3"/>
        <w:rPr>
          <w:noProof/>
        </w:rPr>
      </w:pPr>
      <w:r>
        <w:rPr>
          <w:b/>
          <w:noProof/>
        </w:rPr>
        <w:t>Υποβολή εκθέσεων</w:t>
      </w:r>
    </w:p>
    <w:p>
      <w:pPr>
        <w:pStyle w:val="Text1"/>
        <w:ind w:left="1984"/>
        <w:rPr>
          <w:noProof/>
        </w:rPr>
      </w:pPr>
      <w:r>
        <w:rPr>
          <w:noProof/>
        </w:rPr>
        <w:t>Η Επιτροπή παρακολουθεί και επανεξετάζει την εφαρμογή της παρούσας οδηγίας και υποβάλλει γενική έκθεση προόδου στο Ευρωπαϊκό Κοινοβούλιο και το Συμβούλιο ως παράρτημα στην έκθεση σχετικά με την κατάσταση της Ενεργειακής Ένωσης που αναφέρεται στο άρθρο 29 του κανονισμού [XX/20XX] [ο παρών κανονισμός].»</w:t>
      </w:r>
    </w:p>
    <w:p>
      <w:pPr>
        <w:pStyle w:val="Titrearticle"/>
        <w:rPr>
          <w:noProof/>
        </w:rPr>
      </w:pPr>
      <w:r>
        <w:rPr>
          <w:noProof/>
        </w:rPr>
        <w:t>Άρθρο 45</w:t>
      </w:r>
      <w:r>
        <w:rPr>
          <w:noProof/>
        </w:rPr>
        <w:br/>
      </w:r>
      <w:r>
        <w:rPr>
          <w:b/>
          <w:noProof/>
        </w:rPr>
        <w:t>Τροποποίηση της οδηγίας 2009/119/ΕΚ του Συμβουλίου</w:t>
      </w:r>
    </w:p>
    <w:p>
      <w:pPr>
        <w:rPr>
          <w:noProof/>
        </w:rPr>
      </w:pPr>
      <w:r>
        <w:rPr>
          <w:noProof/>
        </w:rPr>
        <w:t>Στο άρθρο 6 της οδηγίας 2009/119/ΕΚ του Συμβουλίου, η παράγραφος 2 αντικαθίσταται από το ακόλουθο κείμενο:</w:t>
      </w:r>
    </w:p>
    <w:p>
      <w:pPr>
        <w:pStyle w:val="Text1"/>
        <w:rPr>
          <w:noProof/>
        </w:rPr>
      </w:pPr>
      <w:r>
        <w:rPr>
          <w:noProof/>
        </w:rPr>
        <w:t>«2. Έως τις 15 Μαρτίου εκάστου ημερολογιακού έτους, κάθε κράτος μέλος διαβιβάζει στην Επιτροπή συνοπτικό αντίγραφο του καταλόγου της παραγράφου 1, αναφέροντας τουλάχιστον τις ποσότητες και τον χαρακτήρα των αποθεμάτων έκτακτης ανάγκης που περιλαμβάνονται στον κατάλογο κατά την τελευταία ημέρα του προηγούμενου ημερολογιακού έτους».</w:t>
      </w:r>
    </w:p>
    <w:p>
      <w:pPr>
        <w:pStyle w:val="Titrearticle"/>
        <w:rPr>
          <w:noProof/>
        </w:rPr>
      </w:pPr>
      <w:r>
        <w:rPr>
          <w:noProof/>
        </w:rPr>
        <w:t>Άρθρο 46</w:t>
      </w:r>
      <w:r>
        <w:rPr>
          <w:i w:val="0"/>
          <w:noProof/>
        </w:rPr>
        <w:br/>
      </w:r>
      <w:r>
        <w:rPr>
          <w:b/>
          <w:noProof/>
        </w:rPr>
        <w:t>Τροποποιήσεις της οδηγίας 2010/31/ΕΕ</w:t>
      </w:r>
    </w:p>
    <w:p>
      <w:pPr>
        <w:rPr>
          <w:noProof/>
        </w:rPr>
      </w:pPr>
      <w:r>
        <w:rPr>
          <w:noProof/>
        </w:rPr>
        <w:t>Η οδηγία 2010/31/ΕΕ τροποποιείται ως εξής:</w:t>
      </w:r>
    </w:p>
    <w:p>
      <w:pPr>
        <w:pStyle w:val="Point1"/>
        <w:rPr>
          <w:noProof/>
        </w:rPr>
      </w:pPr>
      <w:r>
        <w:rPr>
          <w:noProof/>
        </w:rPr>
        <w:t>1)</w:t>
      </w:r>
      <w:r>
        <w:rPr>
          <w:noProof/>
        </w:rPr>
        <w:tab/>
        <w:t>Στο άρθρο 2α της οδηγίας 2010/31/ΕΕ [όπως τροποποιήθηκε από την πρόταση COM(2016) 765], παρεμβάλλεται η ακόλουθη παράγραφος 4:</w:t>
      </w:r>
    </w:p>
    <w:p>
      <w:pPr>
        <w:pStyle w:val="Text2"/>
        <w:rPr>
          <w:noProof/>
        </w:rPr>
      </w:pPr>
      <w:r>
        <w:rPr>
          <w:noProof/>
        </w:rPr>
        <w:t>«4. Η μακροπρόθεσμη στρατηγική σύμφωνα με την παράγραφο 1 υποβάλλεται στην Επιτροπή, στο πλαίσιο του ενοποιημένου εθνικού σχεδίου για την ενέργεια και το κλίμα, δυνάμει του άρθρου 3 του κανονισμού [XX/20XX] [ο παρών κανονισμός].»·</w:t>
      </w:r>
    </w:p>
    <w:p>
      <w:pPr>
        <w:pStyle w:val="Point1"/>
        <w:rPr>
          <w:noProof/>
        </w:rPr>
      </w:pPr>
      <w:r>
        <w:rPr>
          <w:noProof/>
        </w:rPr>
        <w:t>2)</w:t>
      </w:r>
      <w:r>
        <w:rPr>
          <w:noProof/>
        </w:rPr>
        <w:tab/>
        <w:t>στο άρθρο 5 παράγραφος 2 δεύτερο εδάφιο, η πρόταση «Η σχετική έκθεση μπορεί να συμπεριληφθεί στα σχέδια δράσης για την ενεργειακή απόδοση που αναφέρονται στο άρθρο 14 παράγραφος 2 της οδηγίας 2006/32/ΕΚ» απαλείφεται</w:t>
      </w:r>
      <w:r>
        <w:rPr>
          <w:strike/>
          <w:noProof/>
        </w:rPr>
        <w:t xml:space="preserve"> </w:t>
      </w:r>
    </w:p>
    <w:p>
      <w:pPr>
        <w:pStyle w:val="Point1"/>
        <w:rPr>
          <w:noProof/>
        </w:rPr>
      </w:pPr>
      <w:r>
        <w:rPr>
          <w:noProof/>
        </w:rPr>
        <w:t>3)</w:t>
      </w:r>
      <w:r>
        <w:rPr>
          <w:noProof/>
        </w:rPr>
        <w:tab/>
        <w:t>στο άρθρο 9 παράγραφος 5, η πρώτη πρόταση αντικαθίσταται από το ακόλουθο κείμενο:</w:t>
      </w:r>
    </w:p>
    <w:p>
      <w:pPr>
        <w:pStyle w:val="Text1"/>
        <w:rPr>
          <w:noProof/>
        </w:rPr>
      </w:pPr>
      <w:r>
        <w:rPr>
          <w:noProof/>
        </w:rPr>
        <w:t>«Ως μέρος της έκθεσης σχετικά με την κατάσταση της Ενεργειακής Ένωσης που αναφέρεται στο άρθρο 29 του κανονισμού [XX/20XX] [ο παρών κανονισμός], η Επιτροπή υποβάλλει ανά δύο έτη έκθεση στο Ευρωπαϊκό Κοινοβούλιο και το Συμβούλιο για την πρόοδο των κρατών μελών σχετικά με την αύξηση του αριθμού των κτιρίων με σχεδόν μηδενική κατανάλωση ενέργειας. Με βάση τις εν λόγω πληροφορίες που υποβάλλονται, η Επιτροπή καταρτίζει σχέδιο δράσης και, αν απαιτείται, προτείνει συστάσεις και μέτρα δυνάμει των άρθρων 27 και 28 του κανονισμού [XX/20XX] [ο παρών κανονισμός] για την αύξηση του αριθμού των εν λόγω κτιρίων, ενθαρρύνει δε τις βέλτιστες πρακτικές όσον αφορά την αποδοτική σε σχέση με το κόστος μετατροπής υφιστάμενων κτιρίων σε κτίρια με σχεδόν μηδενική κατανάλωση ενέργειας»·</w:t>
      </w:r>
    </w:p>
    <w:p>
      <w:pPr>
        <w:pStyle w:val="Point1"/>
        <w:rPr>
          <w:noProof/>
        </w:rPr>
      </w:pPr>
      <w:r>
        <w:rPr>
          <w:noProof/>
        </w:rPr>
        <w:t>4)</w:t>
      </w:r>
      <w:r>
        <w:rPr>
          <w:noProof/>
        </w:rPr>
        <w:tab/>
        <w:t xml:space="preserve">στο άρθρο 10, οι παράγραφοι 2 και 3 απαλείφονται. </w:t>
      </w:r>
    </w:p>
    <w:p>
      <w:pPr>
        <w:pStyle w:val="Titrearticle"/>
        <w:rPr>
          <w:noProof/>
        </w:rPr>
      </w:pPr>
      <w:r>
        <w:rPr>
          <w:noProof/>
        </w:rPr>
        <w:t xml:space="preserve">Άρθρο </w:t>
      </w:r>
      <w:r>
        <w:rPr>
          <w:i w:val="0"/>
          <w:noProof/>
        </w:rPr>
        <w:t>47</w:t>
      </w:r>
      <w:r>
        <w:rPr>
          <w:noProof/>
        </w:rPr>
        <w:br/>
      </w:r>
      <w:r>
        <w:rPr>
          <w:b/>
          <w:noProof/>
        </w:rPr>
        <w:t>Τροποποιήσεις της οδηγίας 2012/27/ΕΕ</w:t>
      </w:r>
    </w:p>
    <w:p>
      <w:pPr>
        <w:rPr>
          <w:noProof/>
        </w:rPr>
      </w:pPr>
      <w:r>
        <w:rPr>
          <w:noProof/>
        </w:rPr>
        <w:t>Η οδηγία 2012/27/ΕΕ τροποποιείται ως εξής:</w:t>
      </w:r>
    </w:p>
    <w:p>
      <w:pPr>
        <w:pStyle w:val="Point1"/>
        <w:rPr>
          <w:noProof/>
        </w:rPr>
      </w:pPr>
      <w:r>
        <w:rPr>
          <w:noProof/>
        </w:rPr>
        <w:t>1)</w:t>
      </w:r>
      <w:r>
        <w:rPr>
          <w:noProof/>
        </w:rPr>
        <w:tab/>
        <w:t xml:space="preserve">στο άρθρο 4, η τελευταία παράγραφος απαλείφεται· </w:t>
      </w:r>
    </w:p>
    <w:p>
      <w:pPr>
        <w:pStyle w:val="Point1"/>
        <w:rPr>
          <w:noProof/>
        </w:rPr>
      </w:pPr>
      <w:r>
        <w:rPr>
          <w:noProof/>
        </w:rPr>
        <w:t>2)</w:t>
      </w:r>
      <w:r>
        <w:rPr>
          <w:noProof/>
        </w:rPr>
        <w:tab/>
        <w:t xml:space="preserve">στο άρθρο 18 παράγραφος 1, το στοιχείο ε) απαλείφεται· </w:t>
      </w:r>
    </w:p>
    <w:p>
      <w:pPr>
        <w:pStyle w:val="Point1"/>
        <w:rPr>
          <w:noProof/>
        </w:rPr>
      </w:pPr>
      <w:r>
        <w:rPr>
          <w:noProof/>
        </w:rPr>
        <w:t>3)</w:t>
      </w:r>
      <w:r>
        <w:rPr>
          <w:noProof/>
        </w:rPr>
        <w:tab/>
        <w:t>στο άρθρο 24, οι παράγραφοι 1 εώς 4 και η παράγραφος 11 απαλείφονται·</w:t>
      </w:r>
    </w:p>
    <w:p>
      <w:pPr>
        <w:pStyle w:val="Point1"/>
        <w:rPr>
          <w:noProof/>
        </w:rPr>
      </w:pPr>
      <w:r>
        <w:rPr>
          <w:noProof/>
        </w:rPr>
        <w:t>4)</w:t>
      </w:r>
      <w:r>
        <w:rPr>
          <w:noProof/>
        </w:rPr>
        <w:tab/>
        <w:t>το παράρτημα XIV απαλείφεται.</w:t>
      </w:r>
    </w:p>
    <w:p>
      <w:pPr>
        <w:pStyle w:val="Titrearticle"/>
        <w:rPr>
          <w:noProof/>
        </w:rPr>
      </w:pPr>
      <w:r>
        <w:rPr>
          <w:noProof/>
        </w:rPr>
        <w:t>Άρθρο 48</w:t>
      </w:r>
      <w:r>
        <w:rPr>
          <w:noProof/>
        </w:rPr>
        <w:br/>
      </w:r>
      <w:r>
        <w:rPr>
          <w:b/>
          <w:noProof/>
        </w:rPr>
        <w:t>Τροποποίηση της οδηγίας 2013/30/ΕΕ</w:t>
      </w:r>
    </w:p>
    <w:p>
      <w:pPr>
        <w:rPr>
          <w:noProof/>
        </w:rPr>
      </w:pPr>
      <w:r>
        <w:rPr>
          <w:noProof/>
        </w:rPr>
        <w:t>Στο άρθρο 25 της οδηγίας 2013/30/ΕΕ, η παράγραφος 1 αντικαθίσταται από το ακόλουθο κείμενο:</w:t>
      </w:r>
    </w:p>
    <w:p>
      <w:pPr>
        <w:pStyle w:val="Text1"/>
        <w:rPr>
          <w:noProof/>
        </w:rPr>
      </w:pPr>
      <w:r>
        <w:rPr>
          <w:noProof/>
        </w:rPr>
        <w:t>«1. Τα κράτη μέλη υποβάλλουν ετησίως έκθεση στην Επιτροπή, ως μέρος της ετήσιας υποβολής εκθέσεων δυνάμει του άρθρου 23 του κανονισμού [XX/20XX] [ο παρών κανονισμός], για τις πληροφορίες που καθορίζονται στο παράρτημα IX σημείο 3.»·</w:t>
      </w:r>
    </w:p>
    <w:p>
      <w:pPr>
        <w:pStyle w:val="Titrearticle"/>
        <w:rPr>
          <w:noProof/>
        </w:rPr>
      </w:pPr>
      <w:r>
        <w:rPr>
          <w:noProof/>
        </w:rPr>
        <w:t>Άρθρο 49</w:t>
      </w:r>
      <w:r>
        <w:rPr>
          <w:noProof/>
        </w:rPr>
        <w:br/>
      </w:r>
      <w:r>
        <w:rPr>
          <w:b/>
          <w:noProof/>
        </w:rPr>
        <w:t>Τροποποιήσεις της οδηγίας (ΕΕ) 2015/652 του Συμβουλίου</w:t>
      </w:r>
    </w:p>
    <w:p>
      <w:pPr>
        <w:rPr>
          <w:noProof/>
        </w:rPr>
      </w:pPr>
      <w:r>
        <w:rPr>
          <w:noProof/>
        </w:rPr>
        <w:t>Η οδηγία (ΕΕ) 2015/652 του Συμβουλίου τροποποιείται ως εξής:</w:t>
      </w:r>
    </w:p>
    <w:p>
      <w:pPr>
        <w:pStyle w:val="Point1"/>
        <w:rPr>
          <w:noProof/>
        </w:rPr>
      </w:pPr>
      <w:r>
        <w:rPr>
          <w:noProof/>
        </w:rPr>
        <w:t>1)</w:t>
      </w:r>
      <w:r>
        <w:rPr>
          <w:noProof/>
        </w:rPr>
        <w:tab/>
        <w:t>Στο παράρτημα I μέρος 2, τα στοιχεία 2, 3, 4 και 7 απαλείφονται.</w:t>
      </w:r>
    </w:p>
    <w:p>
      <w:pPr>
        <w:pStyle w:val="Point1"/>
        <w:rPr>
          <w:noProof/>
        </w:rPr>
      </w:pPr>
      <w:r>
        <w:rPr>
          <w:noProof/>
        </w:rPr>
        <w:t>2)</w:t>
      </w:r>
      <w:r>
        <w:rPr>
          <w:noProof/>
        </w:rPr>
        <w:tab/>
        <w:t>Το παράρτημα III τροποποιείται ως εξής:</w:t>
      </w:r>
    </w:p>
    <w:p>
      <w:pPr>
        <w:pStyle w:val="Point1"/>
        <w:rPr>
          <w:noProof/>
        </w:rPr>
      </w:pPr>
      <w:r>
        <w:rPr>
          <w:noProof/>
        </w:rPr>
        <w:t>α)</w:t>
      </w:r>
      <w:r>
        <w:rPr>
          <w:noProof/>
        </w:rPr>
        <w:tab/>
        <w:t>το σημείο 1 αντικαθίσταται από το ακόλουθο κείμενο:</w:t>
      </w:r>
    </w:p>
    <w:p>
      <w:pPr>
        <w:pStyle w:val="Point1"/>
        <w:rPr>
          <w:noProof/>
        </w:rPr>
      </w:pPr>
      <w:r>
        <w:rPr>
          <w:noProof/>
        </w:rPr>
        <w:t>β)</w:t>
      </w:r>
      <w:r>
        <w:rPr>
          <w:noProof/>
        </w:rPr>
        <w:tab/>
        <w:t>«1. Τα κράτη μέλη υποβάλλουν έκθεση για τα στοιχεία που παρατίθενται στο σημείο 3. Πρέπει να παρέχονται στοιχεία για όλα τα καύσιμα και την ενέργεια που διατίθενται στην αγορά του κράτους μέλους. Όταν στα ορυκτά καύσιμα αναμειγνύονται διαφορετικά βιοκαύσιμα, πρέπει να παρέχονται τα στοιχεία για κάθε βιοκαύσιμο.»</w:t>
      </w:r>
    </w:p>
    <w:p>
      <w:pPr>
        <w:pStyle w:val="Point1"/>
        <w:rPr>
          <w:noProof/>
        </w:rPr>
      </w:pPr>
      <w:r>
        <w:rPr>
          <w:noProof/>
        </w:rPr>
        <w:t>γ)</w:t>
      </w:r>
      <w:r>
        <w:rPr>
          <w:noProof/>
        </w:rPr>
        <w:tab/>
        <w:t>στο σημείο 3, τα σημεία ε) και στ) απαλείφονται.</w:t>
      </w:r>
    </w:p>
    <w:p>
      <w:pPr>
        <w:pStyle w:val="Point1"/>
        <w:rPr>
          <w:noProof/>
        </w:rPr>
      </w:pPr>
      <w:r>
        <w:rPr>
          <w:noProof/>
        </w:rPr>
        <w:t>3)</w:t>
      </w:r>
      <w:r>
        <w:rPr>
          <w:noProof/>
        </w:rPr>
        <w:tab/>
        <w:t>Το παράρτημα IV τροποποιείται ως εξής:</w:t>
      </w:r>
    </w:p>
    <w:p>
      <w:pPr>
        <w:pStyle w:val="Point1"/>
        <w:rPr>
          <w:noProof/>
        </w:rPr>
      </w:pPr>
      <w:r>
        <w:rPr>
          <w:noProof/>
        </w:rPr>
        <w:t>α)</w:t>
      </w:r>
      <w:r>
        <w:rPr>
          <w:noProof/>
        </w:rPr>
        <w:tab/>
        <w:t>τα ακόλουθα υποδείγματα για την κοινοποίηση των πληροφοριών με σκοπό να εξασφαλιστεί η συνέπεια των υποβαλλόμενων στοιχείων απαλείφονται:</w:t>
      </w:r>
    </w:p>
    <w:p>
      <w:pPr>
        <w:pStyle w:val="Point2"/>
        <w:rPr>
          <w:noProof/>
        </w:rPr>
      </w:pPr>
      <w:r>
        <w:rPr>
          <w:noProof/>
        </w:rPr>
        <w:t>- Προέλευση — Μεμονωμένοι προμηθευτές</w:t>
      </w:r>
    </w:p>
    <w:p>
      <w:pPr>
        <w:pStyle w:val="Point2"/>
        <w:rPr>
          <w:noProof/>
        </w:rPr>
      </w:pPr>
      <w:r>
        <w:rPr>
          <w:noProof/>
        </w:rPr>
        <w:t>- Προέλευση — Όμιλοι προμηθευτών</w:t>
      </w:r>
    </w:p>
    <w:p>
      <w:pPr>
        <w:pStyle w:val="Point2"/>
        <w:rPr>
          <w:noProof/>
        </w:rPr>
      </w:pPr>
      <w:r>
        <w:rPr>
          <w:noProof/>
        </w:rPr>
        <w:t>- Τόπος αγοράς</w:t>
      </w:r>
    </w:p>
    <w:p>
      <w:pPr>
        <w:pStyle w:val="Point1"/>
        <w:rPr>
          <w:noProof/>
        </w:rPr>
      </w:pPr>
      <w:r>
        <w:rPr>
          <w:noProof/>
        </w:rPr>
        <w:t>β)</w:t>
      </w:r>
      <w:r>
        <w:rPr>
          <w:noProof/>
        </w:rPr>
        <w:tab/>
        <w:t>στις σημειώσεις μορφοτύπου, τα σημεία 8 και 9 απαλείφονται.</w:t>
      </w:r>
    </w:p>
    <w:p>
      <w:pPr>
        <w:pStyle w:val="Titrearticle"/>
        <w:rPr>
          <w:noProof/>
        </w:rPr>
      </w:pPr>
      <w:r>
        <w:rPr>
          <w:i w:val="0"/>
          <w:noProof/>
        </w:rPr>
        <w:t>Άρθρο</w:t>
      </w:r>
      <w:r>
        <w:rPr>
          <w:noProof/>
        </w:rPr>
        <w:t xml:space="preserve"> 50</w:t>
      </w:r>
      <w:r>
        <w:rPr>
          <w:noProof/>
        </w:rPr>
        <w:br/>
      </w:r>
      <w:r>
        <w:rPr>
          <w:b/>
          <w:i w:val="0"/>
          <w:noProof/>
        </w:rPr>
        <w:t>Κατάργηση</w:t>
      </w:r>
    </w:p>
    <w:p>
      <w:pPr>
        <w:rPr>
          <w:noProof/>
        </w:rPr>
      </w:pPr>
      <w:r>
        <w:rPr>
          <w:noProof/>
        </w:rPr>
        <w:t>Ο κανονισμός (ΕΕ) αριθ. 525/2013 καταργείται από την 1</w:t>
      </w:r>
      <w:r>
        <w:rPr>
          <w:noProof/>
          <w:vertAlign w:val="superscript"/>
        </w:rPr>
        <w:t>η</w:t>
      </w:r>
      <w:r>
        <w:rPr>
          <w:noProof/>
        </w:rPr>
        <w:t xml:space="preserve"> Ιανουαρίου 2021, με την επιφύλαξη των μεταβατικών διατάξεων που ορίζονται στο άρθρο 51. Οι αναφορές στον καταργούμενο κανονισμό νοούνται ως αναφορές στον παρόντα κανονισμό και διαβάζονται σύμφωνα με τον πίνακα αντιστοιχίας του παραρτήματος XI.</w:t>
      </w:r>
    </w:p>
    <w:p>
      <w:pPr>
        <w:pStyle w:val="Titrearticle"/>
        <w:rPr>
          <w:i w:val="0"/>
          <w:noProof/>
        </w:rPr>
      </w:pPr>
      <w:r>
        <w:rPr>
          <w:noProof/>
        </w:rPr>
        <w:t>Άρθρο 51</w:t>
      </w:r>
      <w:r>
        <w:rPr>
          <w:noProof/>
        </w:rPr>
        <w:br/>
      </w:r>
      <w:r>
        <w:rPr>
          <w:b/>
          <w:i w:val="0"/>
          <w:noProof/>
        </w:rPr>
        <w:t>Μεταβατικές διατάξεις</w:t>
      </w:r>
    </w:p>
    <w:p>
      <w:pPr>
        <w:rPr>
          <w:noProof/>
          <w:color w:val="000000" w:themeColor="text1"/>
          <w:szCs w:val="24"/>
        </w:rPr>
      </w:pPr>
      <w:r>
        <w:rPr>
          <w:noProof/>
        </w:rPr>
        <w:t xml:space="preserve">Κατά παρέκκλιση από το άρθρο 50 του παρόντος κανονισμού, </w:t>
      </w:r>
      <w:r>
        <w:rPr>
          <w:noProof/>
          <w:color w:val="000000" w:themeColor="text1"/>
        </w:rPr>
        <w:t xml:space="preserve">τα άρθρα 7 και 17 παράγραφος 1 στοιχεία α) και δ) του </w:t>
      </w:r>
      <w:r>
        <w:rPr>
          <w:noProof/>
        </w:rPr>
        <w:t xml:space="preserve">κανονισμού (ΕΕ) αριθ. 525/2013 </w:t>
      </w:r>
      <w:r>
        <w:rPr>
          <w:noProof/>
          <w:color w:val="000000" w:themeColor="text1"/>
        </w:rPr>
        <w:t>συνεχίζουν να ισχύουν όσον αφορά τις εκθέσεις που περιέχουν τα δεδομένα που απαιτούνται σύμφωνα με τα εν λόγω άρθρα για τα έτη 2018, 2019 και 2020.</w:t>
      </w:r>
    </w:p>
    <w:p>
      <w:pPr>
        <w:rPr>
          <w:noProof/>
          <w:color w:val="000000" w:themeColor="text1"/>
          <w:szCs w:val="24"/>
        </w:rPr>
      </w:pPr>
      <w:r>
        <w:rPr>
          <w:noProof/>
          <w:color w:val="000000" w:themeColor="text1"/>
        </w:rPr>
        <w:t xml:space="preserve">Το άρθρο 19 του </w:t>
      </w:r>
      <w:r>
        <w:rPr>
          <w:noProof/>
        </w:rPr>
        <w:t xml:space="preserve">κανονισμού (ΕΕ) αριθ. 525/2013 </w:t>
      </w:r>
      <w:r>
        <w:rPr>
          <w:noProof/>
          <w:color w:val="000000" w:themeColor="text1"/>
        </w:rPr>
        <w:t>συνεχίζει να ισχύει όσον αφορά τις εξετάσεις των δεδομένων απογραφής αερίων θερμοκηπίου για τα έτη 2018, 2019 και 2020.</w:t>
      </w:r>
    </w:p>
    <w:p>
      <w:pPr>
        <w:rPr>
          <w:noProof/>
          <w:szCs w:val="24"/>
        </w:rPr>
      </w:pPr>
      <w:r>
        <w:rPr>
          <w:noProof/>
          <w:color w:val="000000" w:themeColor="text1"/>
        </w:rPr>
        <w:t xml:space="preserve">Το άρθρο 22 του </w:t>
      </w:r>
      <w:r>
        <w:rPr>
          <w:noProof/>
        </w:rPr>
        <w:t xml:space="preserve">κανονισμού (ΕΕ) αριθ. 525/2013 </w:t>
      </w:r>
      <w:r>
        <w:rPr>
          <w:noProof/>
          <w:color w:val="000000" w:themeColor="text1"/>
        </w:rPr>
        <w:t>συνεχίζει να ισχύει όσον αφορά την υποβολή της έκθεσης σύμφωνα με το εν λόγω άρθρο.</w:t>
      </w:r>
    </w:p>
    <w:p>
      <w:pPr>
        <w:pStyle w:val="Titrearticle"/>
        <w:rPr>
          <w:noProof/>
        </w:rPr>
      </w:pPr>
      <w:r>
        <w:rPr>
          <w:noProof/>
        </w:rPr>
        <w:t>Άρθρο 52</w:t>
      </w:r>
      <w:r>
        <w:rPr>
          <w:noProof/>
        </w:rPr>
        <w:br/>
      </w:r>
      <w:r>
        <w:rPr>
          <w:b/>
          <w:i w:val="0"/>
          <w:noProof/>
        </w:rPr>
        <w:t>Έναρξη ισχύος</w:t>
      </w:r>
    </w:p>
    <w:p>
      <w:pPr>
        <w:rPr>
          <w:noProof/>
          <w:szCs w:val="24"/>
        </w:rPr>
      </w:pPr>
      <w:r>
        <w:rPr>
          <w:noProof/>
        </w:rPr>
        <w:t xml:space="preserve">Ο παρών κανονισμός αρχίζει να ισχύει την εικοστή ημέρα από την ημερομηνία της δημοσίευσής του στην </w:t>
      </w:r>
      <w:r>
        <w:rPr>
          <w:i/>
          <w:noProof/>
        </w:rPr>
        <w:t>Επίσημη Εφημερίδα της Ευρωπαϊκής Ένωσης</w:t>
      </w:r>
      <w:r>
        <w:rPr>
          <w:noProof/>
        </w:rPr>
        <w:t>.</w:t>
      </w:r>
    </w:p>
    <w:p>
      <w:pPr>
        <w:rPr>
          <w:noProof/>
          <w:szCs w:val="24"/>
        </w:rPr>
      </w:pPr>
      <w:r>
        <w:rPr>
          <w:noProof/>
        </w:rPr>
        <w:t>Τα άρθρα 33, 46 παράγραφοι 2 έως 4 και 47 παράγραφοι 3 και 4 εφαρμόζονται από την 1</w:t>
      </w:r>
      <w:r>
        <w:rPr>
          <w:noProof/>
          <w:vertAlign w:val="superscript"/>
        </w:rPr>
        <w:t>η</w:t>
      </w:r>
      <w:r>
        <w:rPr>
          <w:noProof/>
        </w:rPr>
        <w:t xml:space="preserve"> Ιανουαρίου 2021.</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O Πρόεδρος</w:t>
      </w:r>
      <w:r>
        <w:rPr>
          <w:noProof/>
        </w:rPr>
        <w:tab/>
        <w:t>O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ΝΟΜΟΘΕΤΙΚΑ ΔΗΜΟΣΙΟΝΟΜΙΚΑ ΔΕΛΤΙΑ</w:t>
      </w:r>
    </w:p>
    <w:p>
      <w:pPr>
        <w:jc w:val="center"/>
        <w:rPr>
          <w:noProof/>
        </w:rPr>
      </w:pPr>
      <w:r>
        <w:rPr>
          <w:b/>
          <w:noProof/>
          <w:u w:val="single"/>
        </w:rPr>
        <w:t>Υπηρεσίες της Επιτροπής</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Σχετικός/-οί τομέας/-είς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Στόχος/-οι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δημοσιονομικός αντίκτυπος </w:t>
      </w:r>
    </w:p>
    <w:p>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παρατυπιών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b/>
          <w:noProof/>
          <w:u w:val="single"/>
        </w:rPr>
      </w:pPr>
      <w:r>
        <w:rPr>
          <w:b/>
          <w:noProof/>
          <w:u w:val="single"/>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ΚΑΝΟΝΙΣΜΟΣ (ΕΕ) ΤΟΥ ΕΥΡΩΠΑΪΚΟΥ ΚΟΙΝΟΒΟΥΛΙΟΥ ΚΑΙ ΤΟΥ ΣΥΜΒΟΥΛΙΟΥ για τη διακυβέρνηση της Ενεργειακής Ένωσης</w:t>
      </w:r>
    </w:p>
    <w:p>
      <w:pPr>
        <w:pStyle w:val="ManualHeading2"/>
        <w:rPr>
          <w:noProof/>
          <w:szCs w:val="24"/>
        </w:rPr>
      </w:pPr>
      <w:r>
        <w:rPr>
          <w:noProof/>
        </w:rPr>
        <w:t>1.2.</w:t>
      </w:r>
      <w:r>
        <w:rPr>
          <w:noProof/>
        </w:rPr>
        <w:tab/>
        <w:t xml:space="preserve">Σχετικός/-οί τομέας/-είς πολιτικής στη δομή ΔΒΔ/ΠΒΔ </w:t>
      </w:r>
      <w:r>
        <w:rPr>
          <w:noProof/>
        </w:rPr>
        <w:br/>
      </w:r>
      <w:r>
        <w:rPr>
          <w:rStyle w:val="FootnoteReference"/>
          <w:noProof/>
        </w:rPr>
        <w:footnoteReference w:id="4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Ενέργεια</w:t>
      </w:r>
    </w:p>
    <w:p>
      <w:pPr>
        <w:pStyle w:val="Text1"/>
        <w:pBdr>
          <w:top w:val="single" w:sz="4" w:space="1" w:color="auto"/>
          <w:left w:val="single" w:sz="4" w:space="4" w:color="auto"/>
          <w:bottom w:val="single" w:sz="4" w:space="1" w:color="auto"/>
          <w:right w:val="single" w:sz="4" w:space="4" w:color="auto"/>
        </w:pBdr>
        <w:rPr>
          <w:noProof/>
        </w:rPr>
      </w:pPr>
      <w:r>
        <w:rPr>
          <w:noProof/>
        </w:rPr>
        <w:t>34: Δράση για το κλίμα</w:t>
      </w:r>
      <w:r>
        <w:rPr>
          <w:noProof/>
          <w:highlight w:val="yellow"/>
        </w:rPr>
        <w:t xml:space="preserve"> </w:t>
      </w:r>
    </w:p>
    <w:p>
      <w:pPr>
        <w:pStyle w:val="ManualHeading2"/>
        <w:rPr>
          <w:bCs/>
          <w:noProof/>
          <w:szCs w:val="24"/>
        </w:rPr>
      </w:pPr>
      <w:r>
        <w:rPr>
          <w:noProof/>
        </w:rPr>
        <w:t>1.3.</w:t>
      </w:r>
      <w:r>
        <w:rPr>
          <w:noProof/>
        </w:rPr>
        <w:tab/>
        <w:t xml:space="preserve">Χαρακτήρας της πρότασης/πρωτοβουλίας </w:t>
      </w:r>
    </w:p>
    <w:p>
      <w:pPr>
        <w:pStyle w:val="Text1"/>
        <w:rPr>
          <w:b/>
          <w:noProof/>
          <w:sz w:val="22"/>
        </w:rPr>
      </w:pPr>
      <w:r>
        <w:rPr>
          <w:noProof/>
          <w:sz w:val="22"/>
        </w:rPr>
        <w:sym w:font="Wingdings" w:char="F0FE"/>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noProof/>
        </w:rPr>
        <w:t xml:space="preserve"> Η πρόταση/πρωτοβουλία αφορά </w:t>
      </w:r>
      <w:r>
        <w:rPr>
          <w:b/>
          <w:noProof/>
        </w:rPr>
        <w:t>νέα δράση μετά από πιλοτικό έργο/προπαρασκευαστική δράση</w:t>
      </w:r>
      <w:r>
        <w:rPr>
          <w:rStyle w:val="FootnoteReference"/>
          <w:b/>
          <w:noProof/>
        </w:rPr>
        <w:footnoteReference w:id="4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rPr>
        <w:t xml:space="preserve"> </w:t>
      </w: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r>
        <w:rPr>
          <w:noProof/>
        </w:rPr>
        <w:t>1.4.</w:t>
      </w:r>
      <w:r>
        <w:rPr>
          <w:noProof/>
        </w:rPr>
        <w:tab/>
        <w:t>Στόχος/-οι</w:t>
      </w:r>
    </w:p>
    <w:p>
      <w:pPr>
        <w:pStyle w:val="ManualHeading3"/>
        <w:rPr>
          <w:noProof/>
        </w:rPr>
      </w:pPr>
      <w:r>
        <w:rPr>
          <w:noProof/>
        </w:rPr>
        <w:t>1.4.1.</w:t>
      </w:r>
      <w:r>
        <w:rPr>
          <w:noProof/>
        </w:rPr>
        <w:tab/>
        <w:t xml:space="preserve">Πολυετής/-είς στρατηγικός/-οί στόχος/-οι της Επιτροπής που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Στόχος του προτεινόμενου κανονισμού είναι η διασφάλιση της συντονισμένης και κοινής εφαρμογής της στρατηγικής της Ενεργειακής Ένωσης στις πέντε διαστάσεις της, καθώς και η συλλογική επίτευξη των στόχων της Ενεργειακής Ένωσης μέσω  συνδυασμού ενωσιακών και εθνικών μέτρων βάσει υποχρεώσεων εξορθολογισμένου σχεδιασμού, υποβολής εκθέσεων και παρακολούθησης και λειτουργικής διαδικασίας διακυβέρνησης μεταξύ της Επιτροπής και των κρατών μελών. </w:t>
      </w:r>
    </w:p>
    <w:p>
      <w:pPr>
        <w:pStyle w:val="Text1"/>
        <w:pBdr>
          <w:top w:val="single" w:sz="4" w:space="1" w:color="auto"/>
          <w:left w:val="single" w:sz="4" w:space="4" w:color="auto"/>
          <w:bottom w:val="single" w:sz="4" w:space="1" w:color="auto"/>
          <w:right w:val="single" w:sz="4" w:space="4" w:color="auto"/>
        </w:pBdr>
        <w:rPr>
          <w:noProof/>
        </w:rPr>
      </w:pPr>
      <w:r>
        <w:rPr>
          <w:noProof/>
        </w:rPr>
        <w:t>Η δημιουργία Ενεργειακής Ένωσης αποτελεί μέρος των δέκα πολιτικών προτεραιοτήτων της Επιτροπής και η παρούσα πρόταση είναι σημαντικό στοιχείο του στρατηγικού πλαισίου για την Ενεργειακή Ένωση.</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συντάχθηκε από κοινού από τη ΓΔ Ενέργειας και τη ΓΔ Δράσης για το Κλίμα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Ειδικός/-οί στόχος/-οι και σχετική/-ές δραστηριότητα/-ες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w:t>
      </w:r>
    </w:p>
    <w:p>
      <w:pPr>
        <w:pStyle w:val="Text1"/>
        <w:pBdr>
          <w:top w:val="single" w:sz="4" w:space="1" w:color="auto"/>
          <w:left w:val="single" w:sz="4" w:space="4" w:color="auto"/>
          <w:bottom w:val="single" w:sz="4" w:space="1" w:color="auto"/>
          <w:right w:val="single" w:sz="4" w:space="4" w:color="auto"/>
        </w:pBdr>
        <w:rPr>
          <w:noProof/>
        </w:rPr>
      </w:pPr>
      <w:r>
        <w:rPr>
          <w:noProof/>
        </w:rPr>
        <w:t>Για τη ΓΔ Ενέργειας: Ειδικός στόχος 6: Εφαρμογή και παρακολούθηση της συνολικής στρατηγικής της Ενεργειακής Ένωσης.</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Για τη ΓΔ Δράσης για το Κλίμα: Ειδικός στόχος 6: Εφαρμογή της στρατηγικής της Ενεργειακής Ένωσης για την ενίσχυση του μηχανισμού διακυβέρνησης σχετικά με το κλίμα και την ενέργεια, συμπεριλαμβανομένου του εξορθολογισμού της υποβολής εκθέσεων και του σχεδιασμού μετά το 2020 (συντονισμός με τη ΓΔ ENER)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Σχετική/-ές δραστηριότητα/-ες ΔΒΔ/ΠΒΔ</w:t>
      </w:r>
    </w:p>
    <w:p>
      <w:pPr>
        <w:pStyle w:val="Text1"/>
        <w:pBdr>
          <w:top w:val="single" w:sz="4" w:space="1" w:color="auto"/>
          <w:left w:val="single" w:sz="4" w:space="4" w:color="auto"/>
          <w:bottom w:val="single" w:sz="4" w:space="1" w:color="auto"/>
          <w:right w:val="single" w:sz="4" w:space="4" w:color="auto"/>
        </w:pBdr>
        <w:rPr>
          <w:noProof/>
        </w:rPr>
      </w:pPr>
      <w:r>
        <w:rPr>
          <w:noProof/>
        </w:rPr>
        <w:t>Οι δαπάνες της ΓΔ Ενέργειας υλοποιούνται μέσω της δραστηριότητας ΠΒΔ «32.02 Συμβατικές και ανανεώσιμες πηγές ενέργειας» (ή ΠΒΔ1: Συμβατικές και ανανεώσιμες πηγές ενέργειας).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 σχέδιο διαχείρισης για το 2016 και σύμφωνα με τη νέα δομή των ειδικών στόχων που καθορίστηκαν ως αποτέλεσμα της Ενεργειακής Ένωσης, η ΠΒΔ1 συμβάλλει στην επίτευξη και των 6 ειδικών στόχων, συμπεριλαμβανομένων των πτυχών ανταγωνιστικότητας του ειδικού στόχου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Για τη ΓΔ CLIMA, οι στόχοι ορίζονται στη δραστηριότητα ΔΒΔ 34 02 – «Δράση για το κλίμα σε ενωσιακό και διεθνές επίπεδο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Αναμενόμενο/-α αποτέλεσμα/-τα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Τα ενοποιημένα εθνικά σχέδια για την ενέργεια και το κλίμα και οι αντίστοιχες εκθέσεις προόδου θα πρέπει να ελαχιστοποιήσουν τον διοικητικό φόρτο των κρατών μελών και της Επιτροπής, βελτιώνοντας παράλληλα την ποιότητα των πληροφοριών και τη διαφάνεια, εξασφαλίζοντας έγκαιρη εφαρμογή και παρακολούθηση των στόχων της Ενεργειακής Ένωσης, καθώς και βελτιώνοντας τις διασυνδέσεις και τις συνέργειες μεταξύ των τομέων για την ενέργεια και το κλίμα.</w:t>
      </w:r>
    </w:p>
    <w:p>
      <w:pPr>
        <w:pStyle w:val="Text1"/>
        <w:pBdr>
          <w:top w:val="single" w:sz="4" w:space="1" w:color="auto"/>
          <w:left w:val="single" w:sz="4" w:space="4" w:color="auto"/>
          <w:bottom w:val="single" w:sz="4" w:space="1" w:color="auto"/>
          <w:right w:val="single" w:sz="4" w:space="4" w:color="auto"/>
        </w:pBdr>
        <w:rPr>
          <w:noProof/>
        </w:rPr>
      </w:pPr>
      <w:r>
        <w:rPr>
          <w:noProof/>
        </w:rPr>
        <w:t>Ο εξορθολογισμός των υφισταμένων υποχρεώσεων σχεδιασμού και υποβολής εκθέσεων των κρατών μελών και οι υποχρεώσεις παρακολούθησης της Επιτροπής θα βελτιώσουν την κατάσταση για όλα τα ενδιαφερόμενα μέρη σύμφωνα με τις εξής αρχές βελτίωσης της νομοθεσίας: τις αρχές της αποτελεσματικότητας, της αποδοτικότητας, της ευρωπαϊκής προστιθέμενης αξίας, της συνάφειας και της συνοχής.</w:t>
      </w:r>
    </w:p>
    <w:p>
      <w:pPr>
        <w:pStyle w:val="Text1"/>
        <w:pBdr>
          <w:top w:val="single" w:sz="4" w:space="1" w:color="auto"/>
          <w:left w:val="single" w:sz="4" w:space="4" w:color="auto"/>
          <w:bottom w:val="single" w:sz="4" w:space="1" w:color="auto"/>
          <w:right w:val="single" w:sz="4" w:space="4" w:color="auto"/>
        </w:pBdr>
        <w:rPr>
          <w:noProof/>
        </w:rPr>
      </w:pPr>
      <w:r>
        <w:rPr>
          <w:noProof/>
        </w:rPr>
        <w:t>Περαιτέρω, η παρούσα πρόταση θα καθορίσει το περιεχόμενο και την επαρκή περιοδικότητα των εθνικών σχεδίων, των εκθέσεων προόδου και της ενιαίας παρακολούθησης από την Επιτροπή, καθώς και τη σχετική διαδικασία διακυβέρνησης μεταξύ των κρατών μελών και της Επιτροπής, συμπεριλαμβανομένου του περιφερειακού συντονισμού. Στόχος της είναι ο συγχρονισμός με τους πενταετείς κύκλους επανεξέτασης της συμφωνίας του Παρισιού για το κλίμα.</w:t>
      </w:r>
    </w:p>
    <w:p>
      <w:pPr>
        <w:pStyle w:val="ManualHeading3"/>
        <w:rPr>
          <w:bCs/>
          <w:noProof/>
          <w:szCs w:val="24"/>
        </w:rPr>
      </w:pPr>
      <w:r>
        <w:rPr>
          <w:noProof/>
        </w:rPr>
        <w:t>1.4.4.</w:t>
      </w:r>
      <w:r>
        <w:rPr>
          <w:noProof/>
        </w:rPr>
        <w:tab/>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Η εφαρμογή της πρότασης πρέπει να διασφαλίζει τη διαφανή πληροφόρηση σχετικά με τη συλλογική πρόοδο των κρατών μελών και της ΕΕ για την επίτευξη των στόχων της Ενεργειακής Ένωσης για το 2030 και μετέπειτα και να παρέχει πλαίσιο διακυβέρνησης κατάλληλο για την υλοποίηση της στρατηγικής της Ενεργειακής Ένωσης.</w:t>
      </w:r>
    </w:p>
    <w:p>
      <w:pPr>
        <w:pStyle w:val="Text1"/>
        <w:pBdr>
          <w:top w:val="single" w:sz="4" w:space="1" w:color="auto"/>
          <w:left w:val="single" w:sz="4" w:space="4" w:color="auto"/>
          <w:bottom w:val="single" w:sz="4" w:space="1" w:color="auto"/>
          <w:right w:val="single" w:sz="4" w:space="4" w:color="auto"/>
        </w:pBdr>
        <w:rPr>
          <w:noProof/>
        </w:rPr>
      </w:pPr>
      <w:r>
        <w:rPr>
          <w:noProof/>
        </w:rPr>
        <w:t>Ο δείκτης για την υλοποίηση της πρότασης είναι ο εξής: Ο αριθμός των κρατών μελών που παρέχουν ενοποιημένα σχέδια εγκαίρως (σύμφωνα με τις διατάξεις του κανονισμού)</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ManualHeading2"/>
        <w:rPr>
          <w:bCs/>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κράτη μέλη θα είχαν την υποχρέωση να υποβάλλουν λιγότερα εθνικά σχέδια και εκθέσεις δυνάμει των διατάξεων διάφορων τομεακών νομοθετικών πράξεων, εντούτοις θα πρέπει να υποβάλλουν ενοποιημένα σχέδια και εκθέσεις στην Επιτροπή ανά τακτά χρονικά διαστήματα. Βάσει των πληροφοριών που παρέχονται από τα κράτη μέλη, η Επιτροπή θα πρέπει να συντάξει τις απαιτούμενες εκθέσεις παρακολούθησης.  </w:t>
      </w:r>
    </w:p>
    <w:p>
      <w:pPr>
        <w:pStyle w:val="ManualHeading3"/>
        <w:rPr>
          <w:bCs/>
          <w:noProof/>
          <w:szCs w:val="24"/>
        </w:rPr>
      </w:pPr>
      <w:r>
        <w:rPr>
          <w:noProof/>
        </w:rPr>
        <w:t>1.5.2.</w:t>
      </w:r>
      <w:r>
        <w:rPr>
          <w:noProof/>
        </w:rPr>
        <w:tab/>
        <w:t>Προστιθέμενη αξία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Πρώτον, δεδομένου ότι διάφορα στοιχεία της στρατηγικής της Ενεργειακής Ένωσης σχετίζονται με στόχους που έχουν τεθεί σε επίπεδο ΕΕ, είναι απαραίτητη η δράση σε  επίπεδο ΕΕ για τη διασφάλιση της υλοποίησης αυτών των στόχων, καθώς και της συνοχής των πολιτικών για την ενέργεια και το κλίμα στην ΕΕ και στα κράτη μέλη της, με παράλληλη διατήρηση της ευελιξίας για τα κράτη μέλη. </w:t>
      </w:r>
    </w:p>
    <w:p>
      <w:pPr>
        <w:pStyle w:val="Text1"/>
        <w:pBdr>
          <w:top w:val="single" w:sz="4" w:space="1" w:color="auto"/>
          <w:left w:val="single" w:sz="4" w:space="4" w:color="auto"/>
          <w:bottom w:val="single" w:sz="4" w:space="1" w:color="auto"/>
          <w:right w:val="single" w:sz="4" w:space="4" w:color="auto"/>
        </w:pBdr>
        <w:rPr>
          <w:noProof/>
        </w:rPr>
      </w:pPr>
      <w:r>
        <w:rPr>
          <w:noProof/>
        </w:rPr>
        <w:t>Επιπλέον, η πλειοψηφία των προκλήσεων σε σχέση με την ενέργεια που αντιμετωπίζει η Ένωση δεν μπορούν επιλυθούν χωρίς συντονισμένη δράση σε εθνικό επίπεδο. Το ίδιο ισχύει και για την κλιματική αλλαγή, η οποία αποτελεί εκ φύσεως ένα διασυνοριακό πρόβλημα και δεν δύναται να επιλυθεί μόνο με εθνικές ή τοπικές δράσεις. Επομένως, είναι απαραίτητος ο συντονισμός της δράσης για το κλίμα τόσο σε ευρωπαϊκό όσο και σε διεθνές επίπεδο. Κατά συνέπεια, η δράση της ΕΕ είναι δικαιολογημένη για την παρακολούθηση της προόδου υλοποίησης των πολιτικών για την ενέργεια και το κλίμα στην ΕΕ σύμφωνα με τους στόχους της Ενεργειακής Ένωσης, καθώς και τη λειτουργία της εσωτερικής αγοράς ενέργειας.</w:t>
      </w:r>
    </w:p>
    <w:p>
      <w:pPr>
        <w:pStyle w:val="Text1"/>
        <w:pBdr>
          <w:top w:val="single" w:sz="4" w:space="1" w:color="auto"/>
          <w:left w:val="single" w:sz="4" w:space="4" w:color="auto"/>
          <w:bottom w:val="single" w:sz="4" w:space="1" w:color="auto"/>
          <w:right w:val="single" w:sz="4" w:space="4" w:color="auto"/>
        </w:pBdr>
        <w:rPr>
          <w:noProof/>
        </w:rPr>
      </w:pPr>
      <w:r>
        <w:rPr>
          <w:noProof/>
        </w:rPr>
        <w:t>Δεύτερον, λόγω της διασυνοριακής συνάφειας κάθε διάστασης της Ενεργειακής Ένωσης, η δράση της ΕΕ είναι απαραίτητη για την περαιτέρω προώθηση της ενίσχυσης της συνεργασίας μεταξύ των κρατών μελών. Καμία από τις διαστάσεις της Ενεργειακής Ένωσης δεν θα μπορούσε να υλοποιηθεί αποτελεσματικά απουσία μιας διαδικασίας ευρωπαϊκής διακυβέρνησης μεταξύ των κρατών μελών και της Επιτροπής, η οποία θα διασφαλίσει επίσης μια πιο περιφερειακή προσέγγιση της πολιτικής για την ενέργεια και το κλίμα. Είναι επίσης απαραίτητη η δημιουργία του πλαισίου διευκόλυνσης, προκειμένου να διασφαλιστεί ότι η ΕΕ είναι έτοιμη να συμμετάσχει πλήρως στις διαδικασίες επανεξέτασης δυνάμει της συμφωνίας του Παρισιού, εξασφαλίζοντας μέγιστο συγχρονισμό και συνέργειες.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Τρίτον, η δράση της ΕΕ δικαιολογείται από τον στόχο του εξορθολογισμού των υφισταμένων υποχρεώσεων σχεδιασμού, υποβολής εκθέσεων και παρακολούθησης που θέτει η πρωτοβουλία, καθώς η υφιστάμενη νομοθεσία της ΕΕ σχετικά με το ενεργειακό κεκτημένο και ο κανονισμός για τον μηχανισμό παρακολούθησης δύνανται να τροποποιηθούν μόνο μέσω νομοθετικών προτάσεων με σκοπό τη μείωση του διοικητικού φόρτου των κρατών μελών και της Επιτροπής και την ενίσχυση της συνοχής των ενεργειών σχεδιασμού και υποβολής εκθέσεων, καθώς και τη διασφάλιση της συγκρισιμότητας των εθνικών σχεδίων και των εκθέσεων προόδου. </w:t>
      </w:r>
    </w:p>
    <w:p>
      <w:pPr>
        <w:pStyle w:val="ManualHeading3"/>
        <w:rPr>
          <w:bCs/>
          <w:noProof/>
          <w:szCs w:val="24"/>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περισσότερες από τις τρέχουσες υποχρεώσεις σχεδιασμού, υποβολής εκθέσεων και παρακολούθησης παρέχουν οφέλη με τη μορφή χρήσιμων πληροφοριών για συγκεκριμένους τομείς πολιτικής και υποστηρίζουν την υλοποίηση συγκεκριμένων στόχων πολιτικής οι οποίο ορίζονται στην τομεακή νομοθεσία. Οι τρέχουσες υποχρεώσεις υποβολής εκθέσεων στην Επιτροπή διασφαλίζουν ότι η Επιτροπή ενημερώνει το Ευρωπαϊκό Κοινοβούλιο, το Συμβούλιο και στο ευρύ κοινό σχετικά με τα αποτελέσματα που επιτυγχάνονται από τη νομοθεσία της ΕΕ και την πρόοδο που σημειώνουν η ΕΕ και τα κράτη μέλη της σχετικά με την εκπλήρωση των υποχρεώσεών τους δυνάμει των διεθνών δεσμεύσεων που έχουν αναλάβει στο πλαίσιο της UNFCCC.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Ωστόσο, το ισχύον πλαίσιο δεν είναι κατάλληλο για τους στόχους για το 2030 για την ενέργεια και το κλίμα και τους στόχους της Ενεργειακής Ένωσης, καθώς δεν διασφαλίζει τη συνεκτική πολιτική ως προς τις υποχρεώσεις στον τομέα της ενέργειας και τη συνέπεια μεταξύ των τομέων της ενέργειας και του κλίματος. Περαιτέρω, ορισμένα από τα τρέχοντα σχέδια και ορισμένες εκθέσεις φαίνεται να έχουν υψηλό κόστος διαχείρισης. </w:t>
      </w:r>
    </w:p>
    <w:p>
      <w:pPr>
        <w:pStyle w:val="ManualHeading3"/>
        <w:rPr>
          <w:bCs/>
          <w:noProof/>
          <w:szCs w:val="24"/>
        </w:rPr>
      </w:pPr>
      <w:r>
        <w:rPr>
          <w:noProof/>
        </w:rPr>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είναι συνεπής με την επανεξέταση της οδηγίας 2009/28/ΕΚ (οδηγία για την ενέργεια από ανανεώσιμες πηγές), της οδηγίας 2010/31/ΕΕ (οδηγία για την ενεργειακή απόδοση των κτηρίων), της οδηγίας 2012/27/ΕΕ (οδηγία για την ενεργειακή απόδοση) και με την πρωτοβουλία για τον σχεδιασμό της αγοράς. </w:t>
      </w:r>
    </w:p>
    <w:p>
      <w:pPr>
        <w:pStyle w:val="Text1"/>
        <w:pBdr>
          <w:top w:val="single" w:sz="4" w:space="1" w:color="auto"/>
          <w:left w:val="single" w:sz="4" w:space="4" w:color="auto"/>
          <w:bottom w:val="single" w:sz="4" w:space="1" w:color="auto"/>
          <w:right w:val="single" w:sz="4" w:space="4" w:color="auto"/>
        </w:pBdr>
        <w:rPr>
          <w:noProof/>
        </w:rPr>
      </w:pPr>
      <w:r>
        <w:rPr>
          <w:noProof/>
        </w:rPr>
        <w:t>Συνάδει επίσης με την απόφαση 406/2009 (απόφαση επιμερισμού των προσπαθειών, με ισχύ από το 2013 έως το 2020), την προτεινόμενη διάδοχη απόφαση για την περίοδο 2021-30, COM(2016) 482 final – 2016/0231 (COD) (πρόταση κανονισμού για τη θέσπιση δεσμευτικών ετήσιων μειώσεων των εκπομπών αερίων θερμοκηπίου από τα κράτη μέλη από το 2021 έως το 2030 για μια ανθεκτική Ενεργειακή Ένωση και για την τήρηση των υποχρεώσεων που απορρέουν από τη συμφωνία του Παρισιού και για την τροποποίηση του κανονισμού αριθ. 525/2013 του Ευρωπαϊκού Κοινοβουλίου και του Συμβουλίου σχετικά με μηχανισμό παρακολούθησης και υποβολής εκθέσεων σχετικά με τις εκπομπές αερίων του θερμοκηπίου και άλλων πληροφοριών που αφορούν την κλιματική αλλαγή), καθώς και της πρότασης LULUCF, COM(2016) 479 final – 2016/0230 (COD) (πρόταση κανονισμού για τη συμπερίληψη των εκπομπών αερίων θερμοκηπίου και των απορροφήσεων από δραστηριότητες χρήσης γης, αλλαγής χρήσης γης και δασοπονίας στο πλαίσιο για το κλίμα και την ενέργεια έως το 2030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 Στόχος των εν λόγω πρωτοβουλιών είναι η δημιουργία ειδικού νομικού πλαισίου κατά τομέα μετά το 2020, ενώ η παρούσα πρόταση θα ορίζει το συνολικό πλαίσιο διακυβέρνησης για την επίτευξη των στόχων της Ενεργειακής Ένωσης.</w:t>
      </w:r>
    </w:p>
    <w:p>
      <w:pPr>
        <w:pStyle w:val="Text1"/>
        <w:pBdr>
          <w:top w:val="single" w:sz="4" w:space="1" w:color="auto"/>
          <w:left w:val="single" w:sz="4" w:space="4" w:color="auto"/>
          <w:bottom w:val="single" w:sz="4" w:space="1" w:color="auto"/>
          <w:right w:val="single" w:sz="4" w:space="4" w:color="auto"/>
        </w:pBdr>
        <w:rPr>
          <w:noProof/>
        </w:rPr>
      </w:pPr>
      <w:r>
        <w:rPr>
          <w:noProof/>
        </w:rPr>
        <w:t>Είναι επίσης συνεπής με την οδηγία 2009/31/EΚ σχετικά με την αποθήκευση διοξειδίου του άνθρακα σε γεωλογικούς σχηματισμούς.</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Διάρκεια και δημοσιονομικός αντίκτυπος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την [ΗΗ/MM]ΕΕΕΕ μέχρι την [ΗΗ/MM]ΕΕΕΕ </w:t>
      </w:r>
    </w:p>
    <w:p>
      <w:pPr>
        <w:pStyle w:val="ListDash2"/>
        <w:rPr>
          <w:noProof/>
        </w:rPr>
      </w:pPr>
      <w:r>
        <w:rPr>
          <w:noProof/>
        </w:rPr>
        <w:sym w:font="Wingdings" w:char="F0A8"/>
      </w:r>
      <w:r>
        <w:rPr>
          <w:noProof/>
        </w:rPr>
        <w:tab/>
        <w:t xml:space="preserve">Δημοσιονομικός αντίκτυπος από το ΕΕΕΕ μέχρι το ΕΕΕΕ </w:t>
      </w:r>
    </w:p>
    <w:p>
      <w:pPr>
        <w:pStyle w:val="Text1"/>
        <w:rPr>
          <w:noProof/>
        </w:rPr>
      </w:pPr>
      <w:r>
        <w:rPr>
          <w:noProof/>
        </w:rPr>
        <w:sym w:font="Wingdings" w:char="F0FE"/>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2018 με απεριόριστη διάρκεια</w:t>
      </w:r>
    </w:p>
    <w:p>
      <w:pPr>
        <w:pStyle w:val="ListDash1"/>
        <w:rPr>
          <w:noProof/>
        </w:rPr>
      </w:pPr>
      <w:r>
        <w:rPr>
          <w:noProof/>
        </w:rPr>
        <w:t>και στη συνέχεια πλήρης εφαρμογή.</w:t>
      </w:r>
    </w:p>
    <w:p>
      <w:pPr>
        <w:pStyle w:val="ManualHeading2"/>
        <w:rPr>
          <w:bCs/>
          <w:noProof/>
          <w:szCs w:val="24"/>
        </w:rPr>
      </w:pPr>
      <w:r>
        <w:rPr>
          <w:noProof/>
        </w:rPr>
        <w:t>1.7.</w:t>
      </w:r>
      <w:r>
        <w:rPr>
          <w:noProof/>
        </w:rPr>
        <w:tab/>
        <w:t>Προβλεπόμενος/-οι τρόπος/-οι διαχείρισης</w:t>
      </w:r>
      <w:r>
        <w:rPr>
          <w:rStyle w:val="FootnoteReference"/>
          <w:noProof/>
        </w:rPr>
        <w:footnoteReference w:id="43"/>
      </w:r>
      <w:r>
        <w:rPr>
          <w:rStyle w:val="FootnoteReference"/>
          <w:noProof/>
        </w:rPr>
        <w:t xml:space="preserve"> </w:t>
      </w:r>
    </w:p>
    <w:p>
      <w:pPr>
        <w:pStyle w:val="Text1"/>
        <w:rPr>
          <w:noProof/>
        </w:rPr>
      </w:pPr>
      <w:r>
        <w:rPr>
          <w:noProof/>
        </w:rPr>
        <w:sym w:font="Wingdings" w:char="F0FE"/>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FE"/>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t>x</w:t>
      </w:r>
      <w:r>
        <w:rPr>
          <w:i/>
          <w:noProof/>
        </w:rPr>
        <w:t xml:space="preserve"> </w:t>
      </w:r>
      <w:r>
        <w:rPr>
          <w:b/>
          <w:noProof/>
        </w:rPr>
        <w:t>Έμμεση διαχείριση</w:t>
      </w:r>
      <w:r>
        <w:rPr>
          <w:noProof/>
        </w:rPr>
        <w:t xml:space="preserve"> με ανάθεση καθηκόντων εκτέλεσης του προϋπολογισμού σε:</w:t>
      </w:r>
    </w:p>
    <w:p>
      <w:pPr>
        <w:pStyle w:val="ListDash2"/>
        <w:rPr>
          <w:noProof/>
        </w:rPr>
      </w:pPr>
      <w:r>
        <w:rPr>
          <w:noProof/>
        </w:rPr>
        <w:sym w:font="Wingdings" w:char="F0A8"/>
      </w:r>
      <w:r>
        <w:rPr>
          <w:noProof/>
        </w:rPr>
        <w:t xml:space="preserve"> τρίτες χώρες ή οργανισμούς που αυτές έχουν ορίσει·</w:t>
      </w:r>
    </w:p>
    <w:p>
      <w:pPr>
        <w:pStyle w:val="ListDash2"/>
        <w:rPr>
          <w:noProof/>
        </w:rPr>
      </w:pPr>
      <w:r>
        <w:rPr>
          <w:noProof/>
        </w:rPr>
        <w:sym w:font="Wingdings" w:char="F0A8"/>
      </w:r>
      <w:r>
        <w:rPr>
          <w:noProof/>
        </w:rPr>
        <w:t xml:space="preserve"> διεθνείς οργανισμούς και τις οργανώσεις τους (να προσδιοριστούν)·</w:t>
      </w:r>
    </w:p>
    <w:p>
      <w:pPr>
        <w:pStyle w:val="ListDash2"/>
        <w:rPr>
          <w:noProof/>
        </w:rPr>
      </w:pPr>
      <w:r>
        <w:rPr>
          <w:noProof/>
        </w:rPr>
        <w:sym w:font="Wingdings" w:char="F0A8"/>
      </w:r>
      <w:r>
        <w:rPr>
          <w:noProof/>
        </w:rPr>
        <w:t xml:space="preserve"> την ΕΤΕπ και το Ευρωπαϊκό Ταμείο Επενδύσεων·</w:t>
      </w:r>
    </w:p>
    <w:p>
      <w:pPr>
        <w:pStyle w:val="ListDash2"/>
        <w:rPr>
          <w:noProof/>
        </w:rPr>
      </w:pPr>
      <w:r>
        <w:rPr>
          <w:noProof/>
        </w:rPr>
        <w:t>x 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οργανισμούς δημοσίου δικαίου·</w:t>
      </w:r>
    </w:p>
    <w:p>
      <w:pPr>
        <w:pStyle w:val="ListDash2"/>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pPr>
        <w:pStyle w:val="ListDash2"/>
        <w:rPr>
          <w:noProof/>
        </w:rPr>
      </w:pPr>
      <w:r>
        <w:rPr>
          <w:noProof/>
        </w:rPr>
        <w:sym w:font="Wingdings" w:char="F0A8"/>
      </w:r>
      <w:r>
        <w:rPr>
          <w:noProof/>
        </w:rPr>
        <w:t xml:space="preserve"> 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pStyle w:val="ListDash2"/>
        <w:rPr>
          <w:noProof/>
        </w:rPr>
      </w:pPr>
      <w:r>
        <w:rPr>
          <w:noProof/>
        </w:rPr>
        <w:sym w:font="Wingdings" w:char="F0A8"/>
      </w:r>
      <w:r>
        <w:rPr>
          <w:noProof/>
        </w:rPr>
        <w:t xml:space="preserve"> πρόσωπα επιφορτισμένα με την εκτέλεση συγκεκριμένων δράσεων στην ΚΕΠΠΑ δυνάμει του τίτλου V της ΣΕΕ και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 xml:space="preserve">Η συμμετοχή του ΚΚΕρ και του ΕΟΠ είναι απαραίτητη για την υλοποίηση των απαιτήσεων του παρόντος κανονισμού.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Διατάξεις στον τομέα της παρακολούθησης και της υποβολής εκθέσεων </w:t>
      </w:r>
    </w:p>
    <w:p>
      <w:pPr>
        <w:pStyle w:val="Text1"/>
        <w:rPr>
          <w:i/>
          <w:noProof/>
          <w:sz w:val="20"/>
          <w:u w:val="single"/>
        </w:rPr>
      </w:pPr>
      <w:r>
        <w:rPr>
          <w:i/>
          <w:noProof/>
          <w:sz w:val="20"/>
        </w:rPr>
        <w:t>Να προσδιοριστούν η συχνότητα και οι όροι των διατάξεων αυτών.</w:t>
      </w:r>
    </w:p>
    <w:p>
      <w:pPr>
        <w:pStyle w:val="Text1"/>
        <w:pBdr>
          <w:top w:val="single" w:sz="4" w:space="1" w:color="auto"/>
          <w:left w:val="single" w:sz="4" w:space="4" w:color="auto"/>
          <w:bottom w:val="single" w:sz="4" w:space="1" w:color="auto"/>
          <w:right w:val="single" w:sz="4" w:space="4" w:color="auto"/>
        </w:pBdr>
        <w:rPr>
          <w:noProof/>
        </w:rPr>
      </w:pPr>
      <w:r>
        <w:rPr>
          <w:noProof/>
        </w:rPr>
        <w:t>Ο κανονισμός ορίζει την περιοδικότητα και τους όρους για τον σχεδιασμό, την υποβολή εκθέσεων και την παρακολούθηση από τα κράτη μέλη και την Επιτροπή. Απαιτείται εξωτερική τεχνική υποστήριξη από ανάδοχο για τα καθήκοντα παρακολούθησης της Επιτροπής. Περαιτέρω, ο σχεδιασμός προβλέπει τη δημιουργία νέου εργαλείου επικοινωνίας, συμπεριλαμβανομένης διαδικτυακής πλατφόρμας και δημόσιου ιστοτόπου για την ανταλλαγή πληροφοριών και βέλτιστων πρακτικών και την κοινοποίησή τους στο ευρύ κοινό.</w:t>
      </w:r>
    </w:p>
    <w:p>
      <w:pPr>
        <w:pStyle w:val="ManualHeading2"/>
        <w:rPr>
          <w:bCs/>
          <w:noProof/>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Κίνδυνος/-οι που έχει/-ουν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Καθυστέρηση εκπλήρωσης των υποχρεώσεων σχεδιασμού και υποβολής εκθέσεων από τα κράτη μέλη. Για αυτόν τον λόγο επίσης, θα δημιουργηθεί διαδικτυακή βάση δεδομένων. Η ποιότητα και η πληρότητα των δεδομένων ενδέχεται επίσης να αποτελέσουν σημαντικούς κινδύνους ειδικά κατά την έναρξη της διαδικασίας.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κίνδυνοι που συνδέονται με τη λειτουργία της διαδικτυακής πλατφόρμας αφορούν κυρίως προβλήματα πληροφορικής, όπως την ενδεχόμενη βλάβη και θέματα εμπιστευτικότητας των πληροφοριών. </w:t>
      </w:r>
    </w:p>
    <w:p>
      <w:pPr>
        <w:pStyle w:val="ManualHeading3"/>
        <w:rPr>
          <w:bCs/>
          <w:noProof/>
          <w:szCs w:val="24"/>
        </w:rPr>
      </w:pPr>
      <w:r>
        <w:rPr>
          <w:noProof/>
        </w:rPr>
        <w:t>2.2.2.</w:t>
      </w:r>
      <w:r>
        <w:rPr>
          <w:noProof/>
        </w:rPr>
        <w:tab/>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προβλεπόμενες μέθοδοι ελέγχου καθορίζονται στον δημοσιονομικό κανονισμό και τους κανόνες εφαρμογής του. </w:t>
      </w: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Α/A</w:t>
      </w:r>
    </w:p>
    <w:p>
      <w:pPr>
        <w:pStyle w:val="ManualHeading2"/>
        <w:rPr>
          <w:bCs/>
          <w:noProof/>
          <w:szCs w:val="24"/>
        </w:rPr>
      </w:pPr>
      <w:r>
        <w:rPr>
          <w:noProof/>
        </w:rPr>
        <w:t>2.3.</w:t>
      </w:r>
      <w:r>
        <w:rPr>
          <w:noProof/>
        </w:rPr>
        <w:tab/>
        <w:t xml:space="preserve">Μέτρα για την πρόληψη περιπτώσεων απάτης και παρατυπιών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Δεν έχουν προβλεφθεί ειδικά μέτρα πέραν της εφαρμογής του δημοσιονομικού κανονισμού.</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Τομέας/-είς του πολυετούς δημοσιονομικού πλαισίου και γραμμή/-ές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προϋπολογισμού</w:t>
            </w:r>
          </w:p>
        </w:tc>
        <w:tc>
          <w:tcPr>
            <w:tcW w:w="1080" w:type="dxa"/>
            <w:vAlign w:val="center"/>
          </w:tcPr>
          <w:p>
            <w:pPr>
              <w:spacing w:before="60" w:after="60"/>
              <w:jc w:val="center"/>
              <w:rPr>
                <w:noProof/>
                <w:sz w:val="22"/>
              </w:rPr>
            </w:pPr>
            <w:r>
              <w:rPr>
                <w:noProof/>
                <w:sz w:val="18"/>
              </w:rPr>
              <w:t>Είδος</w:t>
            </w:r>
            <w:r>
              <w:rPr>
                <w:noProof/>
                <w:sz w:val="22"/>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Συνεισφορά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Αριθμός </w:t>
            </w:r>
            <w:r>
              <w:rPr>
                <w:noProof/>
                <w:sz w:val="22"/>
              </w:rPr>
              <w:br/>
            </w:r>
            <w:r>
              <w:rPr>
                <w:noProof/>
              </w:rPr>
              <w:t>[…]</w:t>
            </w:r>
            <w:r>
              <w:rPr>
                <w:noProof/>
                <w:sz w:val="20"/>
              </w:rPr>
              <w:t>[Τομέας………………………...……………]</w:t>
            </w:r>
          </w:p>
        </w:tc>
        <w:tc>
          <w:tcPr>
            <w:tcW w:w="1080" w:type="dxa"/>
            <w:vAlign w:val="center"/>
          </w:tcPr>
          <w:p>
            <w:pPr>
              <w:jc w:val="center"/>
              <w:rPr>
                <w:noProof/>
                <w:sz w:val="22"/>
              </w:rPr>
            </w:pPr>
            <w:r>
              <w:rPr>
                <w:noProof/>
                <w:sz w:val="18"/>
              </w:rPr>
              <w:t>ΔΠ/ΜΔΠ</w:t>
            </w:r>
            <w:r>
              <w:rPr>
                <w:rStyle w:val="FootnoteReference"/>
                <w:noProof/>
                <w:sz w:val="18"/>
              </w:rPr>
              <w:footnoteReference w:id="44"/>
            </w:r>
            <w:r>
              <w:rPr>
                <w:noProof/>
              </w:rPr>
              <w:t>.</w:t>
            </w:r>
          </w:p>
        </w:tc>
        <w:tc>
          <w:tcPr>
            <w:tcW w:w="956" w:type="dxa"/>
            <w:vAlign w:val="center"/>
          </w:tcPr>
          <w:p>
            <w:pPr>
              <w:jc w:val="center"/>
              <w:rPr>
                <w:noProof/>
                <w:sz w:val="22"/>
              </w:rPr>
            </w:pPr>
            <w:r>
              <w:rPr>
                <w:noProof/>
                <w:sz w:val="18"/>
              </w:rPr>
              <w:t>χωρών ΕΖΕΣ</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υποψηφίων για ένταξη χωρών</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sz w:val="22"/>
              </w:rPr>
            </w:pPr>
            <w:r>
              <w:rPr>
                <w:noProof/>
              </w:rPr>
              <w:t>5 Διοίκηση</w:t>
            </w:r>
          </w:p>
        </w:tc>
        <w:tc>
          <w:tcPr>
            <w:tcW w:w="3960" w:type="dxa"/>
            <w:vAlign w:val="center"/>
          </w:tcPr>
          <w:p>
            <w:pPr>
              <w:rPr>
                <w:noProof/>
              </w:rPr>
            </w:pPr>
            <w:r>
              <w:rPr>
                <w:noProof/>
              </w:rPr>
              <w:t>32 01 01</w:t>
            </w:r>
          </w:p>
          <w:p>
            <w:pPr>
              <w:rPr>
                <w:noProof/>
                <w:sz w:val="20"/>
              </w:rPr>
            </w:pPr>
            <w:r>
              <w:rPr>
                <w:noProof/>
              </w:rPr>
              <w:t>Δαπάνες σχετικές με μόνιμους και έκτακτους υπαλλήλους στον τομέα πολιτικής «Ενέργεια»</w:t>
            </w:r>
          </w:p>
        </w:tc>
        <w:tc>
          <w:tcPr>
            <w:tcW w:w="1080" w:type="dxa"/>
            <w:vAlign w:val="center"/>
          </w:tcPr>
          <w:p>
            <w:pPr>
              <w:pStyle w:val="Default"/>
              <w:jc w:val="center"/>
              <w:rPr>
                <w:noProof/>
                <w:color w:val="auto"/>
              </w:rPr>
            </w:pPr>
            <w:r>
              <w:rPr>
                <w:noProof/>
                <w:color w:val="auto"/>
              </w:rPr>
              <w:t>ΜΔΠ</w:t>
            </w:r>
          </w:p>
          <w:p>
            <w:pPr>
              <w:jc w:val="center"/>
              <w:rPr>
                <w:noProof/>
              </w:rPr>
            </w:pPr>
          </w:p>
        </w:tc>
        <w:tc>
          <w:tcPr>
            <w:tcW w:w="956" w:type="dxa"/>
            <w:vAlign w:val="center"/>
          </w:tcPr>
          <w:p>
            <w:pPr>
              <w:pStyle w:val="Default"/>
              <w:jc w:val="center"/>
              <w:rPr>
                <w:noProof/>
                <w:color w:val="auto"/>
                <w:sz w:val="18"/>
              </w:rPr>
            </w:pPr>
            <w:r>
              <w:rPr>
                <w:noProof/>
                <w:color w:val="auto"/>
              </w:rPr>
              <w:t>ΟΧΙ</w:t>
            </w:r>
          </w:p>
        </w:tc>
        <w:tc>
          <w:tcPr>
            <w:tcW w:w="1080" w:type="dxa"/>
            <w:vAlign w:val="center"/>
          </w:tcPr>
          <w:p>
            <w:pPr>
              <w:jc w:val="center"/>
              <w:rPr>
                <w:noProof/>
                <w:sz w:val="18"/>
              </w:rPr>
            </w:pPr>
            <w:r>
              <w:rPr>
                <w:noProof/>
              </w:rPr>
              <w:t>ΟΧΙ</w:t>
            </w:r>
          </w:p>
        </w:tc>
        <w:tc>
          <w:tcPr>
            <w:tcW w:w="956" w:type="dxa"/>
            <w:vAlign w:val="center"/>
          </w:tcPr>
          <w:p>
            <w:pPr>
              <w:jc w:val="center"/>
              <w:rPr>
                <w:noProof/>
                <w:sz w:val="18"/>
              </w:rPr>
            </w:pPr>
            <w:r>
              <w:rPr>
                <w:noProof/>
              </w:rPr>
              <w:t>ΟΧΙ</w:t>
            </w:r>
          </w:p>
        </w:tc>
        <w:tc>
          <w:tcPr>
            <w:tcW w:w="1448" w:type="dxa"/>
            <w:vAlign w:val="center"/>
          </w:tcPr>
          <w:p>
            <w:pPr>
              <w:jc w:val="center"/>
              <w:rPr>
                <w:noProof/>
                <w:sz w:val="16"/>
              </w:rPr>
            </w:pPr>
            <w:r>
              <w:rPr>
                <w:noProof/>
              </w:rPr>
              <w:t>ΟΧΙ</w:t>
            </w:r>
          </w:p>
        </w:tc>
      </w:tr>
      <w:tr>
        <w:tc>
          <w:tcPr>
            <w:tcW w:w="1080" w:type="dxa"/>
            <w:vAlign w:val="center"/>
          </w:tcPr>
          <w:p>
            <w:pPr>
              <w:jc w:val="center"/>
              <w:rPr>
                <w:noProof/>
                <w:sz w:val="22"/>
              </w:rPr>
            </w:pPr>
            <w:r>
              <w:rPr>
                <w:noProof/>
              </w:rPr>
              <w:t>5 Διοίκηση</w:t>
            </w:r>
          </w:p>
        </w:tc>
        <w:tc>
          <w:tcPr>
            <w:tcW w:w="3960" w:type="dxa"/>
            <w:vAlign w:val="center"/>
          </w:tcPr>
          <w:p>
            <w:pPr>
              <w:rPr>
                <w:noProof/>
              </w:rPr>
            </w:pPr>
            <w:r>
              <w:rPr>
                <w:noProof/>
              </w:rPr>
              <w:t>32 01 02 01</w:t>
            </w:r>
          </w:p>
          <w:p>
            <w:pPr>
              <w:rPr>
                <w:noProof/>
                <w:sz w:val="20"/>
              </w:rPr>
            </w:pPr>
            <w:r>
              <w:rPr>
                <w:noProof/>
              </w:rPr>
              <w:t>Εξωτερικό προσωπικό και άλλες διαχειριστικές δαπάνες για τη στήριξη του τομέα πολιτικής «Ενέργεια»</w:t>
            </w:r>
          </w:p>
        </w:tc>
        <w:tc>
          <w:tcPr>
            <w:tcW w:w="1080" w:type="dxa"/>
            <w:vAlign w:val="center"/>
          </w:tcPr>
          <w:p>
            <w:pPr>
              <w:pStyle w:val="Default"/>
              <w:jc w:val="center"/>
              <w:rPr>
                <w:noProof/>
                <w:color w:val="auto"/>
              </w:rPr>
            </w:pPr>
            <w:r>
              <w:rPr>
                <w:noProof/>
                <w:color w:val="auto"/>
              </w:rPr>
              <w:t>ΜΔΠ</w:t>
            </w:r>
          </w:p>
          <w:p>
            <w:pPr>
              <w:jc w:val="center"/>
              <w:rPr>
                <w:noProof/>
              </w:rPr>
            </w:pPr>
          </w:p>
        </w:tc>
        <w:tc>
          <w:tcPr>
            <w:tcW w:w="956" w:type="dxa"/>
            <w:vAlign w:val="center"/>
          </w:tcPr>
          <w:p>
            <w:pPr>
              <w:jc w:val="center"/>
              <w:rPr>
                <w:noProof/>
                <w:sz w:val="18"/>
              </w:rPr>
            </w:pPr>
            <w:r>
              <w:rPr>
                <w:noProof/>
              </w:rPr>
              <w:t>ΟΧΙ</w:t>
            </w:r>
          </w:p>
        </w:tc>
        <w:tc>
          <w:tcPr>
            <w:tcW w:w="1080" w:type="dxa"/>
            <w:vAlign w:val="center"/>
          </w:tcPr>
          <w:p>
            <w:pPr>
              <w:jc w:val="center"/>
              <w:rPr>
                <w:noProof/>
                <w:sz w:val="18"/>
              </w:rPr>
            </w:pPr>
            <w:r>
              <w:rPr>
                <w:noProof/>
              </w:rPr>
              <w:t>ΟΧΙ</w:t>
            </w:r>
          </w:p>
        </w:tc>
        <w:tc>
          <w:tcPr>
            <w:tcW w:w="956" w:type="dxa"/>
            <w:vAlign w:val="center"/>
          </w:tcPr>
          <w:p>
            <w:pPr>
              <w:jc w:val="center"/>
              <w:rPr>
                <w:noProof/>
                <w:sz w:val="18"/>
              </w:rPr>
            </w:pPr>
            <w:r>
              <w:rPr>
                <w:noProof/>
              </w:rPr>
              <w:t>ΟΧΙ</w:t>
            </w:r>
          </w:p>
        </w:tc>
        <w:tc>
          <w:tcPr>
            <w:tcW w:w="1448" w:type="dxa"/>
            <w:vAlign w:val="center"/>
          </w:tcPr>
          <w:p>
            <w:pPr>
              <w:jc w:val="center"/>
              <w:rPr>
                <w:noProof/>
                <w:sz w:val="16"/>
              </w:rPr>
            </w:pPr>
            <w:r>
              <w:rPr>
                <w:noProof/>
              </w:rPr>
              <w:t>ΟΧΙ</w:t>
            </w:r>
          </w:p>
        </w:tc>
      </w:tr>
      <w:tr>
        <w:tc>
          <w:tcPr>
            <w:tcW w:w="1080" w:type="dxa"/>
          </w:tcPr>
          <w:p>
            <w:pPr>
              <w:jc w:val="center"/>
              <w:rPr>
                <w:noProof/>
              </w:rPr>
            </w:pPr>
            <w:r>
              <w:rPr>
                <w:noProof/>
              </w:rPr>
              <w:t>5 Διοίκηση</w:t>
            </w:r>
          </w:p>
        </w:tc>
        <w:tc>
          <w:tcPr>
            <w:tcW w:w="3960" w:type="dxa"/>
            <w:vAlign w:val="center"/>
          </w:tcPr>
          <w:p>
            <w:pPr>
              <w:rPr>
                <w:noProof/>
              </w:rPr>
            </w:pPr>
            <w:r>
              <w:rPr>
                <w:noProof/>
              </w:rPr>
              <w:t>34 01 01</w:t>
            </w:r>
          </w:p>
          <w:p>
            <w:pPr>
              <w:rPr>
                <w:noProof/>
              </w:rPr>
            </w:pPr>
            <w:r>
              <w:rPr>
                <w:noProof/>
              </w:rPr>
              <w:t>Δαπάνες σχετικές με μόνιμους και έκτακτους υπαλλήλους στον τομέα πολιτικής «Δράση για το κλίμα»</w:t>
            </w:r>
          </w:p>
        </w:tc>
        <w:tc>
          <w:tcPr>
            <w:tcW w:w="1080" w:type="dxa"/>
            <w:vAlign w:val="center"/>
          </w:tcPr>
          <w:p>
            <w:pPr>
              <w:pStyle w:val="Default"/>
              <w:jc w:val="center"/>
              <w:rPr>
                <w:noProof/>
                <w:color w:val="auto"/>
              </w:rPr>
            </w:pPr>
            <w:r>
              <w:rPr>
                <w:noProof/>
                <w:color w:val="auto"/>
              </w:rPr>
              <w:t>ΜΔΠ</w:t>
            </w:r>
          </w:p>
          <w:p>
            <w:pPr>
              <w:pStyle w:val="Default"/>
              <w:jc w:val="center"/>
              <w:rPr>
                <w:noProof/>
              </w:rPr>
            </w:pPr>
          </w:p>
        </w:tc>
        <w:tc>
          <w:tcPr>
            <w:tcW w:w="956" w:type="dxa"/>
            <w:vAlign w:val="center"/>
          </w:tcPr>
          <w:p>
            <w:pPr>
              <w:jc w:val="center"/>
              <w:rPr>
                <w:noProof/>
              </w:rPr>
            </w:pPr>
            <w:r>
              <w:rPr>
                <w:noProof/>
              </w:rPr>
              <w:t>ΟΧΙ</w:t>
            </w:r>
          </w:p>
        </w:tc>
        <w:tc>
          <w:tcPr>
            <w:tcW w:w="1080" w:type="dxa"/>
            <w:vAlign w:val="center"/>
          </w:tcPr>
          <w:p>
            <w:pPr>
              <w:jc w:val="center"/>
              <w:rPr>
                <w:noProof/>
              </w:rPr>
            </w:pPr>
            <w:r>
              <w:rPr>
                <w:noProof/>
              </w:rPr>
              <w:t>ΟΧΙ</w:t>
            </w:r>
          </w:p>
        </w:tc>
        <w:tc>
          <w:tcPr>
            <w:tcW w:w="956" w:type="dxa"/>
            <w:vAlign w:val="center"/>
          </w:tcPr>
          <w:p>
            <w:pPr>
              <w:jc w:val="center"/>
              <w:rPr>
                <w:noProof/>
              </w:rPr>
            </w:pPr>
            <w:r>
              <w:rPr>
                <w:noProof/>
              </w:rPr>
              <w:t>ΟΧΙ</w:t>
            </w:r>
          </w:p>
        </w:tc>
        <w:tc>
          <w:tcPr>
            <w:tcW w:w="1448" w:type="dxa"/>
            <w:vAlign w:val="center"/>
          </w:tcPr>
          <w:p>
            <w:pPr>
              <w:jc w:val="center"/>
              <w:rPr>
                <w:noProof/>
              </w:rPr>
            </w:pPr>
            <w:r>
              <w:rPr>
                <w:noProof/>
              </w:rPr>
              <w:t>ΟΧΙ</w:t>
            </w:r>
          </w:p>
        </w:tc>
      </w:tr>
      <w:tr>
        <w:tc>
          <w:tcPr>
            <w:tcW w:w="1080" w:type="dxa"/>
          </w:tcPr>
          <w:p>
            <w:pPr>
              <w:jc w:val="center"/>
              <w:rPr>
                <w:noProof/>
              </w:rPr>
            </w:pPr>
            <w:r>
              <w:rPr>
                <w:noProof/>
              </w:rPr>
              <w:t>5 Διοίκηση</w:t>
            </w:r>
          </w:p>
        </w:tc>
        <w:tc>
          <w:tcPr>
            <w:tcW w:w="3960" w:type="dxa"/>
            <w:vAlign w:val="center"/>
          </w:tcPr>
          <w:p>
            <w:pPr>
              <w:rPr>
                <w:noProof/>
              </w:rPr>
            </w:pPr>
            <w:r>
              <w:rPr>
                <w:noProof/>
              </w:rPr>
              <w:t>34 01 02 01</w:t>
            </w:r>
          </w:p>
          <w:p>
            <w:pPr>
              <w:rPr>
                <w:noProof/>
              </w:rPr>
            </w:pPr>
            <w:r>
              <w:rPr>
                <w:noProof/>
              </w:rPr>
              <w:t>Εξωτερικό προσωπικό και άλλες διαχειριστικές δαπάνες για τη στήριξη του τομέα πολιτικής «Δράση για το κλίμα»</w:t>
            </w:r>
          </w:p>
        </w:tc>
        <w:tc>
          <w:tcPr>
            <w:tcW w:w="1080" w:type="dxa"/>
            <w:vAlign w:val="center"/>
          </w:tcPr>
          <w:p>
            <w:pPr>
              <w:pStyle w:val="Default"/>
              <w:jc w:val="center"/>
              <w:rPr>
                <w:noProof/>
                <w:color w:val="auto"/>
              </w:rPr>
            </w:pPr>
            <w:r>
              <w:rPr>
                <w:noProof/>
                <w:color w:val="auto"/>
              </w:rPr>
              <w:t>ΜΔΠ</w:t>
            </w:r>
          </w:p>
          <w:p>
            <w:pPr>
              <w:pStyle w:val="Default"/>
              <w:jc w:val="center"/>
              <w:rPr>
                <w:noProof/>
              </w:rPr>
            </w:pPr>
          </w:p>
        </w:tc>
        <w:tc>
          <w:tcPr>
            <w:tcW w:w="956" w:type="dxa"/>
            <w:vAlign w:val="center"/>
          </w:tcPr>
          <w:p>
            <w:pPr>
              <w:jc w:val="center"/>
              <w:rPr>
                <w:noProof/>
              </w:rPr>
            </w:pPr>
            <w:r>
              <w:rPr>
                <w:noProof/>
              </w:rPr>
              <w:t>ΟΧΙ</w:t>
            </w:r>
          </w:p>
        </w:tc>
        <w:tc>
          <w:tcPr>
            <w:tcW w:w="1080" w:type="dxa"/>
            <w:vAlign w:val="center"/>
          </w:tcPr>
          <w:p>
            <w:pPr>
              <w:jc w:val="center"/>
              <w:rPr>
                <w:noProof/>
              </w:rPr>
            </w:pPr>
            <w:r>
              <w:rPr>
                <w:noProof/>
              </w:rPr>
              <w:t>ΟΧΙ</w:t>
            </w:r>
          </w:p>
        </w:tc>
        <w:tc>
          <w:tcPr>
            <w:tcW w:w="956" w:type="dxa"/>
            <w:vAlign w:val="center"/>
          </w:tcPr>
          <w:p>
            <w:pPr>
              <w:jc w:val="center"/>
              <w:rPr>
                <w:noProof/>
              </w:rPr>
            </w:pPr>
            <w:r>
              <w:rPr>
                <w:noProof/>
              </w:rPr>
              <w:t>ΟΧΙ</w:t>
            </w:r>
          </w:p>
        </w:tc>
        <w:tc>
          <w:tcPr>
            <w:tcW w:w="1448" w:type="dxa"/>
            <w:vAlign w:val="center"/>
          </w:tcPr>
          <w:p>
            <w:pPr>
              <w:jc w:val="center"/>
              <w:rPr>
                <w:noProof/>
              </w:rPr>
            </w:pPr>
            <w:r>
              <w:rPr>
                <w:noProof/>
              </w:rPr>
              <w:t>ΟΧΙ</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 xml:space="preserve">32 02 02 01 </w:t>
            </w:r>
          </w:p>
          <w:p>
            <w:pPr>
              <w:rPr>
                <w:noProof/>
                <w:sz w:val="22"/>
              </w:rPr>
            </w:pPr>
            <w:r>
              <w:rPr>
                <w:noProof/>
              </w:rPr>
              <w:t xml:space="preserve">Δραστηριότητες υποστήριξης της ευρωπαϊκής ενεργειακής πολιτικής και της εσωτερικής αγοράς ενέργειας </w:t>
            </w:r>
          </w:p>
        </w:tc>
        <w:tc>
          <w:tcPr>
            <w:tcW w:w="1080" w:type="dxa"/>
            <w:vAlign w:val="center"/>
          </w:tcPr>
          <w:p>
            <w:pPr>
              <w:pStyle w:val="Default"/>
              <w:jc w:val="center"/>
              <w:rPr>
                <w:noProof/>
                <w:color w:val="auto"/>
                <w:sz w:val="22"/>
                <w:highlight w:val="yellow"/>
              </w:rPr>
            </w:pPr>
            <w:r>
              <w:rPr>
                <w:noProof/>
                <w:color w:val="auto"/>
              </w:rPr>
              <w:t>ΔΠ</w:t>
            </w:r>
          </w:p>
        </w:tc>
        <w:tc>
          <w:tcPr>
            <w:tcW w:w="956" w:type="dxa"/>
            <w:vAlign w:val="center"/>
          </w:tcPr>
          <w:p>
            <w:pPr>
              <w:jc w:val="center"/>
              <w:rPr>
                <w:noProof/>
                <w:sz w:val="22"/>
                <w:highlight w:val="yellow"/>
              </w:rPr>
            </w:pPr>
            <w:r>
              <w:rPr>
                <w:noProof/>
              </w:rPr>
              <w:t>ΟΧΙ</w:t>
            </w:r>
          </w:p>
        </w:tc>
        <w:tc>
          <w:tcPr>
            <w:tcW w:w="1080" w:type="dxa"/>
            <w:vAlign w:val="center"/>
          </w:tcPr>
          <w:p>
            <w:pPr>
              <w:jc w:val="center"/>
              <w:rPr>
                <w:noProof/>
                <w:sz w:val="22"/>
                <w:highlight w:val="yellow"/>
              </w:rPr>
            </w:pPr>
            <w:r>
              <w:rPr>
                <w:noProof/>
              </w:rPr>
              <w:t>ΟΧΙ</w:t>
            </w:r>
          </w:p>
        </w:tc>
        <w:tc>
          <w:tcPr>
            <w:tcW w:w="956" w:type="dxa"/>
            <w:vAlign w:val="center"/>
          </w:tcPr>
          <w:p>
            <w:pPr>
              <w:jc w:val="center"/>
              <w:rPr>
                <w:noProof/>
                <w:sz w:val="22"/>
                <w:highlight w:val="yellow"/>
              </w:rPr>
            </w:pPr>
            <w:r>
              <w:rPr>
                <w:noProof/>
              </w:rPr>
              <w:t>ΟΧΙ</w:t>
            </w:r>
          </w:p>
        </w:tc>
        <w:tc>
          <w:tcPr>
            <w:tcW w:w="1448" w:type="dxa"/>
            <w:vAlign w:val="center"/>
          </w:tcPr>
          <w:p>
            <w:pPr>
              <w:jc w:val="center"/>
              <w:rPr>
                <w:noProof/>
                <w:sz w:val="22"/>
                <w:highlight w:val="yellow"/>
              </w:rPr>
            </w:pPr>
            <w:r>
              <w:rPr>
                <w:noProof/>
              </w:rPr>
              <w:t>ΟΧΙ</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34.02.01</w:t>
            </w:r>
          </w:p>
          <w:p>
            <w:pPr>
              <w:rPr>
                <w:noProof/>
              </w:rPr>
            </w:pPr>
            <w:r>
              <w:rPr>
                <w:noProof/>
              </w:rPr>
              <w:t>Μείωση των εκπομπών αερίων θερμοκηπίου (άμβλυνση)</w:t>
            </w:r>
          </w:p>
        </w:tc>
        <w:tc>
          <w:tcPr>
            <w:tcW w:w="1080" w:type="dxa"/>
            <w:vAlign w:val="center"/>
          </w:tcPr>
          <w:p>
            <w:pPr>
              <w:pStyle w:val="Default"/>
              <w:jc w:val="center"/>
              <w:rPr>
                <w:noProof/>
              </w:rPr>
            </w:pPr>
            <w:r>
              <w:rPr>
                <w:noProof/>
                <w:color w:val="auto"/>
              </w:rPr>
              <w:t>ΔΠ</w:t>
            </w:r>
          </w:p>
        </w:tc>
        <w:tc>
          <w:tcPr>
            <w:tcW w:w="956" w:type="dxa"/>
            <w:vAlign w:val="center"/>
          </w:tcPr>
          <w:p>
            <w:pPr>
              <w:jc w:val="center"/>
              <w:rPr>
                <w:noProof/>
                <w:sz w:val="22"/>
                <w:highlight w:val="yellow"/>
              </w:rPr>
            </w:pPr>
            <w:r>
              <w:rPr>
                <w:noProof/>
              </w:rPr>
              <w:t>ΟΧΙ</w:t>
            </w:r>
          </w:p>
        </w:tc>
        <w:tc>
          <w:tcPr>
            <w:tcW w:w="1080" w:type="dxa"/>
            <w:vAlign w:val="center"/>
          </w:tcPr>
          <w:p>
            <w:pPr>
              <w:jc w:val="center"/>
              <w:rPr>
                <w:noProof/>
                <w:sz w:val="22"/>
                <w:highlight w:val="yellow"/>
              </w:rPr>
            </w:pPr>
            <w:r>
              <w:rPr>
                <w:noProof/>
              </w:rPr>
              <w:t>ΟΧΙ</w:t>
            </w:r>
          </w:p>
        </w:tc>
        <w:tc>
          <w:tcPr>
            <w:tcW w:w="956" w:type="dxa"/>
            <w:vAlign w:val="center"/>
          </w:tcPr>
          <w:p>
            <w:pPr>
              <w:jc w:val="center"/>
              <w:rPr>
                <w:noProof/>
                <w:sz w:val="22"/>
                <w:highlight w:val="yellow"/>
              </w:rPr>
            </w:pPr>
            <w:r>
              <w:rPr>
                <w:noProof/>
              </w:rPr>
              <w:t>ΟΧΙ</w:t>
            </w:r>
          </w:p>
        </w:tc>
        <w:tc>
          <w:tcPr>
            <w:tcW w:w="1448" w:type="dxa"/>
            <w:vAlign w:val="center"/>
          </w:tcPr>
          <w:p>
            <w:pPr>
              <w:jc w:val="center"/>
              <w:rPr>
                <w:noProof/>
                <w:sz w:val="22"/>
                <w:highlight w:val="yellow"/>
              </w:rPr>
            </w:pPr>
            <w:r>
              <w:rPr>
                <w:noProof/>
              </w:rPr>
              <w:t>ΟΧΙ</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w:t>
      </w:r>
      <w:r>
        <w:rPr>
          <w:i/>
          <w:noProof/>
        </w:rPr>
        <w:t xml:space="preserve">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προϋπολογισμού</w:t>
            </w:r>
          </w:p>
        </w:tc>
        <w:tc>
          <w:tcPr>
            <w:tcW w:w="1080" w:type="dxa"/>
            <w:vAlign w:val="center"/>
          </w:tcPr>
          <w:p>
            <w:pPr>
              <w:spacing w:before="60" w:after="60"/>
              <w:jc w:val="center"/>
              <w:rPr>
                <w:noProof/>
                <w:sz w:val="22"/>
              </w:rPr>
            </w:pPr>
            <w:r>
              <w:rPr>
                <w:noProof/>
                <w:sz w:val="18"/>
              </w:rPr>
              <w:t>Είδος</w:t>
            </w:r>
            <w:r>
              <w:rPr>
                <w:noProof/>
                <w:sz w:val="22"/>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Συνεισφορά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Αριθμός </w:t>
            </w:r>
            <w:r>
              <w:rPr>
                <w:noProof/>
                <w:sz w:val="22"/>
              </w:rPr>
              <w:br/>
            </w:r>
            <w:r>
              <w:rPr>
                <w:noProof/>
                <w:sz w:val="20"/>
              </w:rPr>
              <w:t>[Τομέας………………………………………]</w:t>
            </w:r>
          </w:p>
        </w:tc>
        <w:tc>
          <w:tcPr>
            <w:tcW w:w="1080" w:type="dxa"/>
            <w:vAlign w:val="center"/>
          </w:tcPr>
          <w:p>
            <w:pPr>
              <w:jc w:val="center"/>
              <w:rPr>
                <w:noProof/>
                <w:sz w:val="22"/>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ΝΑΙ/ΟΧΙ</w:t>
            </w:r>
          </w:p>
        </w:tc>
        <w:tc>
          <w:tcPr>
            <w:tcW w:w="1080" w:type="dxa"/>
            <w:vAlign w:val="center"/>
          </w:tcPr>
          <w:p>
            <w:pPr>
              <w:jc w:val="center"/>
              <w:rPr>
                <w:noProof/>
                <w:sz w:val="18"/>
              </w:rPr>
            </w:pPr>
            <w:r>
              <w:rPr>
                <w:noProof/>
                <w:sz w:val="22"/>
              </w:rPr>
              <w:t>ΝΑΙ/ΟΧΙ</w:t>
            </w:r>
          </w:p>
        </w:tc>
        <w:tc>
          <w:tcPr>
            <w:tcW w:w="956" w:type="dxa"/>
            <w:vAlign w:val="center"/>
          </w:tcPr>
          <w:p>
            <w:pPr>
              <w:jc w:val="center"/>
              <w:rPr>
                <w:noProof/>
                <w:sz w:val="18"/>
              </w:rPr>
            </w:pPr>
            <w:r>
              <w:rPr>
                <w:noProof/>
                <w:sz w:val="22"/>
              </w:rPr>
              <w:t>ΝΑΙ/ΟΧΙ</w:t>
            </w:r>
          </w:p>
        </w:tc>
        <w:tc>
          <w:tcPr>
            <w:tcW w:w="1448" w:type="dxa"/>
            <w:vAlign w:val="center"/>
          </w:tcPr>
          <w:p>
            <w:pPr>
              <w:jc w:val="center"/>
              <w:rPr>
                <w:noProof/>
                <w:sz w:val="22"/>
              </w:rPr>
            </w:pPr>
            <w:r>
              <w:rPr>
                <w:noProof/>
                <w:sz w:val="22"/>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Εκτιμώμενες επιπτώσεις στις δαπάνες </w:t>
      </w:r>
    </w:p>
    <w:p>
      <w:pPr>
        <w:pStyle w:val="ManualHeading3"/>
        <w:rPr>
          <w:noProof/>
        </w:rPr>
      </w:pPr>
      <w:r>
        <w:rPr>
          <w:noProof/>
        </w:rPr>
        <w:t>3.2.1.</w:t>
      </w:r>
      <w:r>
        <w:rPr>
          <w:noProof/>
        </w:rPr>
        <w:tab/>
        <w:t xml:space="preserve">Συνοπτική παρουσίαση των εκτιμώμενων επιπτώσεων στις δαπάνες </w:t>
      </w:r>
    </w:p>
    <w:p>
      <w:pPr>
        <w:pStyle w:val="Text1"/>
        <w:ind w:left="0"/>
        <w:rPr>
          <w:noProof/>
        </w:rPr>
      </w:pPr>
      <w:r>
        <w:rPr>
          <w:noProof/>
        </w:rPr>
        <w:t xml:space="preserve">Οι εκτιμώμενες δαπάνες που αναφέρονται στην παρούσα παράγραφο θα προσαρμόζονται πλήρως στο ισχύον προγραμματισμένο χρηματοδοτικό κονδύλιο των εν λόγω γραμμών προϋπολογισμού έως το 2020. </w:t>
      </w:r>
    </w:p>
    <w:p>
      <w:pPr>
        <w:jc w:val="right"/>
        <w:rPr>
          <w:noProof/>
          <w:sz w:val="20"/>
        </w:rPr>
      </w:pPr>
      <w:r>
        <w:rPr>
          <w:noProof/>
          <w:sz w:val="20"/>
        </w:rPr>
        <w:t>Σε εκατ. EUR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rPr>
            </w:pPr>
            <w:r>
              <w:rPr>
                <w:noProof/>
                <w:sz w:val="22"/>
              </w:rPr>
              <w:t>Αριθμός 1Α</w:t>
            </w:r>
          </w:p>
        </w:tc>
        <w:tc>
          <w:tcPr>
            <w:tcW w:w="7817" w:type="dxa"/>
            <w:vAlign w:val="center"/>
          </w:tcPr>
          <w:p>
            <w:pPr>
              <w:spacing w:before="60" w:after="60"/>
              <w:rPr>
                <w:noProof/>
              </w:rPr>
            </w:pPr>
            <w:r>
              <w:rPr>
                <w:noProof/>
                <w:sz w:val="22"/>
              </w:rPr>
              <w:t>Τομέας 1A – Ανταγωνιστικότητα για την ανάπτυξη και την απασχόληση</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ΓΔ: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2018</w:t>
            </w: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 xml:space="preserve">ΣΥΝΟΛΟ 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47"/>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ΣΥΝΟΛΟ πιστώσεων</w:t>
            </w:r>
            <w:r>
              <w:rPr>
                <w:noProof/>
                <w:sz w:val="22"/>
              </w:rPr>
              <w:br/>
            </w:r>
            <w:r>
              <w:rPr>
                <w:b/>
                <w:noProof/>
                <w:sz w:val="22"/>
              </w:rPr>
              <w:t xml:space="preserve">για τη ΓΔ </w:t>
            </w:r>
            <w:r>
              <w:rPr>
                <w:noProof/>
                <w:sz w:val="22"/>
              </w:rPr>
              <w:t>&lt;ENER&gt;</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του ΤΟΜΕΑ &lt;1A.&gt;</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rPr>
      </w:pPr>
      <w:r>
        <w:rPr>
          <w:noProof/>
          <w:sz w:val="20"/>
        </w:rPr>
        <w:t>Σε εκατ. EUR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Βιώσιμη ανάπτυξη: Φυσικοί πόροι</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ΓΔ: &lt;</w:t>
            </w:r>
            <w:r>
              <w:rPr>
                <w:noProof/>
              </w:rPr>
              <w:t xml:space="preserve"> 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2018</w:t>
            </w: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 xml:space="preserve">2018+2019+2020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γραμμή του προϋπολογισμού 34 02 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12"/>
              </w:num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4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sz w:val="22"/>
              </w:rPr>
              <w:t>ΣΥΝΟΛΟ πιστώσεων</w:t>
            </w:r>
            <w:r>
              <w:rPr>
                <w:noProof/>
                <w:sz w:val="22"/>
              </w:rPr>
              <w:br/>
            </w:r>
            <w:r>
              <w:rPr>
                <w:b/>
                <w:noProof/>
                <w:sz w:val="22"/>
              </w:rPr>
              <w:t xml:space="preserve">για τη ΓΔ </w:t>
            </w:r>
            <w:r>
              <w:rPr>
                <w:noProof/>
                <w:sz w:val="22"/>
              </w:rPr>
              <w:t>&lt;</w:t>
            </w:r>
            <w:r>
              <w:rPr>
                <w:noProof/>
              </w:rPr>
              <w:t xml:space="preserve"> CLIMA</w:t>
            </w:r>
            <w:r>
              <w:rPr>
                <w:noProof/>
                <w:sz w:val="22"/>
              </w:rPr>
              <w:t xml:space="preserve"> &gt;</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=1α +1β</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=2α + 2β</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(4α)</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(5α)</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(6α)</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ΣΥΝΟΛΟ πιστώσεων</w:t>
            </w:r>
          </w:p>
          <w:p>
            <w:pPr>
              <w:jc w:val="center"/>
              <w:rPr>
                <w:b/>
                <w:noProof/>
                <w:sz w:val="22"/>
              </w:rPr>
            </w:pPr>
            <w:r>
              <w:rPr>
                <w:b/>
                <w:noProof/>
                <w:sz w:val="22"/>
              </w:rPr>
              <w:t>του ΤΟΜΕΑ &lt;2&gt;</w:t>
            </w:r>
          </w:p>
          <w:p>
            <w:pPr>
              <w:jc w:val="center"/>
              <w:rPr>
                <w:noProof/>
                <w:sz w:val="20"/>
              </w:rPr>
            </w:pPr>
            <w:r>
              <w:rPr>
                <w:noProof/>
                <w:sz w:val="20"/>
              </w:rPr>
              <w:t>του πολυετούς δημοσιονομικού πλαισίου</w:t>
            </w:r>
          </w:p>
        </w:tc>
        <w:tc>
          <w:tcPr>
            <w:tcW w:w="1440" w:type="dxa"/>
          </w:tcPr>
          <w:p>
            <w:pPr>
              <w:rPr>
                <w:noProof/>
                <w:sz w:val="18"/>
                <w:szCs w:val="18"/>
              </w:rPr>
            </w:pPr>
            <w:r>
              <w:rPr>
                <w:noProof/>
                <w:sz w:val="18"/>
              </w:rPr>
              <w:t>Αναλήψεις υποχρεώσεων</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Πληρωμές</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spacing w:after="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FF0000"/>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ΣΥΝΟΛΟ πιστώσεων </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Πληρωμές</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«Διοικητικές δαπάνες»</w:t>
            </w:r>
          </w:p>
        </w:tc>
      </w:tr>
    </w:tbl>
    <w:p>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2018</w:t>
            </w: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 xml:space="preserve">2018+2019+2020 </w:t>
            </w:r>
          </w:p>
        </w:tc>
      </w:tr>
      <w:tr>
        <w:trPr>
          <w:gridAfter w:val="10"/>
          <w:wAfter w:w="9947" w:type="dxa"/>
        </w:trPr>
        <w:tc>
          <w:tcPr>
            <w:tcW w:w="3960" w:type="dxa"/>
            <w:vAlign w:val="center"/>
          </w:tcPr>
          <w:p>
            <w:pPr>
              <w:spacing w:before="60" w:after="60"/>
              <w:jc w:val="center"/>
              <w:rPr>
                <w:noProof/>
                <w:sz w:val="22"/>
              </w:rPr>
            </w:pPr>
            <w:r>
              <w:rPr>
                <w:noProof/>
                <w:sz w:val="22"/>
              </w:rPr>
              <w:t>ΓΔ: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Ανθρώπινοι πόροι </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 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 xml:space="preserve">ΣΥΝΟΛΟ ΓΔ </w:t>
            </w:r>
            <w:r>
              <w:rPr>
                <w:noProof/>
                <w:sz w:val="22"/>
              </w:rPr>
              <w:t>&lt;ENER, CLIMA&gt;</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 xml:space="preserve"> 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ΣΥΝΟΛΟ πιστώσεων</w:t>
            </w:r>
            <w:r>
              <w:rPr>
                <w:noProof/>
                <w:sz w:val="22"/>
              </w:rPr>
              <w:br/>
            </w:r>
            <w:r>
              <w:rPr>
                <w:b/>
                <w:noProof/>
                <w:sz w:val="22"/>
              </w:rPr>
              <w:t>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sz w:val="22"/>
              </w:rPr>
            </w:pPr>
            <w:r>
              <w:rPr>
                <w:noProof/>
                <w:sz w:val="18"/>
              </w:rPr>
              <w:t>(Σύνολο πιστώσεων ανάληψης υποχρεώσεων = Σύνολο πληρωμών)</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 908</w:t>
            </w:r>
          </w:p>
        </w:tc>
      </w:tr>
    </w:tbl>
    <w:p>
      <w:pPr>
        <w:jc w:val="right"/>
        <w:rPr>
          <w:noProof/>
          <w:sz w:val="20"/>
        </w:rPr>
      </w:pPr>
      <w:r>
        <w:rPr>
          <w:noProof/>
          <w:sz w:val="20"/>
        </w:rPr>
        <w:t>Σε εκατ. EUR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2018</w:t>
            </w: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2018+2019+2020)</w:t>
            </w:r>
          </w:p>
        </w:tc>
      </w:tr>
      <w:tr>
        <w:tc>
          <w:tcPr>
            <w:tcW w:w="3960" w:type="dxa"/>
            <w:vMerge w:val="restart"/>
            <w:shd w:val="clear" w:color="auto" w:fill="C0C0C0"/>
            <w:vAlign w:val="center"/>
          </w:tcPr>
          <w:p>
            <w:pPr>
              <w:jc w:val="center"/>
              <w:rPr>
                <w:b/>
                <w:noProof/>
                <w:sz w:val="22"/>
              </w:rPr>
            </w:pPr>
            <w:r>
              <w:rPr>
                <w:b/>
                <w:noProof/>
                <w:sz w:val="22"/>
              </w:rPr>
              <w:t xml:space="preserve">ΣΥΝΟΛΟ πιστώσεων </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Εκτιμώμενες επιπτώσεις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FE"/>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Έτος</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Έτος</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Έτος</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Να εγγραφούν όσα έτη απαιτούνται, ώστε να εμφαίνεται η διάρκεια των επιπτώσεων (βλ. σημείο 1.6)</w:t>
            </w:r>
          </w:p>
        </w:tc>
        <w:tc>
          <w:tcPr>
            <w:tcW w:w="1620" w:type="dxa"/>
            <w:gridSpan w:val="2"/>
            <w:tcBorders>
              <w:left w:val="nil"/>
              <w:bottom w:val="nil"/>
            </w:tcBorders>
            <w:vAlign w:val="center"/>
          </w:tcPr>
          <w:p>
            <w:pPr>
              <w:ind w:right="-29"/>
              <w:jc w:val="center"/>
              <w:rPr>
                <w:b/>
                <w:noProof/>
                <w:sz w:val="18"/>
              </w:rPr>
            </w:pPr>
            <w:r>
              <w:rPr>
                <w:b/>
                <w:noProof/>
                <w:sz w:val="18"/>
              </w:rPr>
              <w:t>ΣΥΝΟΛΟ</w:t>
            </w:r>
          </w:p>
          <w:p>
            <w:pPr>
              <w:ind w:right="-29"/>
              <w:jc w:val="center"/>
              <w:rPr>
                <w:noProof/>
                <w:sz w:val="18"/>
                <w:szCs w:val="18"/>
              </w:rPr>
            </w:pPr>
            <w:r>
              <w:rPr>
                <w:b/>
                <w:noProof/>
                <w:sz w:val="20"/>
              </w:rPr>
              <w:t xml:space="preserve">2018+2019+2020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ΑΠΟΤΕΛΕΣΜΑΤΑ</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Είδος</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t>- Τεχνική συνδρομή για την παρακολούθηση της προόδου των κρατών μελών από την Επιτροπή</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t>- Ανάπτυξη και διαχείριση βάσης δεδομένων</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997"/>
          <w:jc w:val="center"/>
        </w:trPr>
        <w:tc>
          <w:tcPr>
            <w:tcW w:w="1423" w:type="dxa"/>
          </w:tcPr>
          <w:p>
            <w:pPr>
              <w:ind w:right="-29"/>
              <w:jc w:val="center"/>
              <w:rPr>
                <w:noProof/>
                <w:sz w:val="18"/>
                <w:szCs w:val="18"/>
              </w:rPr>
            </w:pPr>
            <w:r>
              <w:rPr>
                <w:noProof/>
                <w:sz w:val="18"/>
              </w:rPr>
              <w:t>- Σύμβαση παροχής υπηρεσιών για την υποστήριξη των καθηκόντων παρακολούθησης από τη ΓΔ CLIMA</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E"/>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Έτος</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Έτος</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Έτος</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c>
          <w:tcPr>
            <w:tcW w:w="1080" w:type="dxa"/>
            <w:vAlign w:val="center"/>
          </w:tcPr>
          <w:p>
            <w:pPr>
              <w:spacing w:before="60" w:after="60" w:line="200" w:lineRule="exact"/>
              <w:jc w:val="center"/>
              <w:rPr>
                <w:b/>
                <w:noProof/>
                <w:sz w:val="16"/>
              </w:rPr>
            </w:pPr>
            <w:r>
              <w:rPr>
                <w:b/>
                <w:noProof/>
                <w:sz w:val="16"/>
              </w:rPr>
              <w:t>ΣΥΝΟΛΟ</w:t>
            </w:r>
          </w:p>
          <w:p>
            <w:pPr>
              <w:spacing w:before="60" w:after="60" w:line="200" w:lineRule="exact"/>
              <w:jc w:val="center"/>
              <w:rPr>
                <w:b/>
                <w:noProof/>
                <w:sz w:val="16"/>
                <w:szCs w:val="16"/>
              </w:rPr>
            </w:pPr>
            <w:r>
              <w:rPr>
                <w:b/>
                <w:noProof/>
                <w:sz w:val="20"/>
              </w:rPr>
              <w:t xml:space="preserve">2018+2019+2020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20" w:after="20"/>
              <w:jc w:val="right"/>
              <w:rPr>
                <w:noProof/>
                <w:sz w:val="16"/>
              </w:rPr>
            </w:pPr>
            <w:r>
              <w:rPr>
                <w:noProof/>
                <w:sz w:val="16"/>
              </w:rPr>
              <w:t xml:space="preserve">1,686+ 0,670 </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52"/>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ΓΕΝΙΚΟ 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ManualHeading4"/>
        <w:rPr>
          <w:bCs/>
          <w:noProof/>
          <w:szCs w:val="24"/>
        </w:rPr>
      </w:pPr>
      <w:r>
        <w:rPr>
          <w:noProof/>
        </w:rPr>
        <w:t>3.2.3.2.</w:t>
      </w:r>
      <w:r>
        <w:rPr>
          <w:noProof/>
        </w:rPr>
        <w:tab/>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E"/>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Έτος</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Έτος</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Έτος</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Θέσεις εργασίας στον πίνακα προσωπικού (θέσεις μόνιμων και έκτακτων υπαλλήλων)</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ΧΧ 01 01 01 (έδρα και γραφεία αντιπροσωπείας της Επιτροπής)</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18" w:type="pct"/>
            <w:shd w:val="clear" w:color="auto" w:fill="auto"/>
            <w:vAlign w:val="center"/>
          </w:tcPr>
          <w:p>
            <w:pPr>
              <w:spacing w:beforeLines="20" w:before="48" w:afterLines="20" w:after="48"/>
              <w:jc w:val="center"/>
              <w:rPr>
                <w:noProof/>
                <w:sz w:val="16"/>
                <w:szCs w:val="16"/>
              </w:rPr>
            </w:pPr>
            <w:r>
              <w:rPr>
                <w:noProof/>
                <w:sz w:val="16"/>
              </w:rPr>
              <w:t>12+5</w:t>
            </w:r>
          </w:p>
        </w:tc>
        <w:tc>
          <w:tcPr>
            <w:tcW w:w="375" w:type="pct"/>
            <w:shd w:val="clear" w:color="auto" w:fill="auto"/>
            <w:vAlign w:val="center"/>
          </w:tcPr>
          <w:p>
            <w:pPr>
              <w:spacing w:beforeLines="20" w:before="48" w:afterLines="20" w:after="48"/>
              <w:jc w:val="center"/>
              <w:rPr>
                <w:noProof/>
                <w:sz w:val="16"/>
                <w:szCs w:val="16"/>
              </w:rPr>
            </w:pPr>
            <w:r>
              <w:rPr>
                <w:noProof/>
                <w:sz w:val="16"/>
              </w:rPr>
              <w:t>12+5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(σε αντιπροσωπείες)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ΙΠΑ)</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32 είναι ο σχετικός τομέας πολιτικής ή τίτλος του προϋπολογισμού (ΓΔ ENER)</w:t>
      </w:r>
    </w:p>
    <w:p>
      <w:pPr>
        <w:pStyle w:val="Text1"/>
        <w:spacing w:before="60" w:after="60"/>
        <w:ind w:left="851"/>
        <w:rPr>
          <w:noProof/>
          <w:sz w:val="18"/>
          <w:szCs w:val="18"/>
        </w:rPr>
      </w:pPr>
      <w:r>
        <w:rPr>
          <w:noProof/>
          <w:sz w:val="18"/>
        </w:rPr>
        <w:t>34 είναι ο σχετικός τομέας πολιτικής (ΓΔ CLIMA)</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ή/και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sz w:val="20"/>
              </w:rPr>
              <w:t xml:space="preserve">12 (ENER) + 5 (CLIMA) </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r>
              <w:rPr>
                <w:noProof/>
                <w:sz w:val="20"/>
              </w:rPr>
              <w:t xml:space="preserve">1 (ENER) </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Συμβατότητα με το ισχύον πολυετές δημοσιονομικό πλαίσιο </w:t>
      </w:r>
    </w:p>
    <w:p>
      <w:pPr>
        <w:pStyle w:val="ListDash1"/>
        <w:rPr>
          <w:noProof/>
        </w:rPr>
      </w:pPr>
      <w:r>
        <w:rPr>
          <w:noProof/>
        </w:rPr>
        <w:sym w:font="Wingdings" w:char="F0FE"/>
      </w:r>
      <w:r>
        <w:rPr>
          <w:noProof/>
        </w:rPr>
        <w:tab/>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γραμμές του προϋπολογισμού και τα αντίστοιχα ποσά.</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Συμμετοχή τρίτων μερών στη χρηματοδότηση </w:t>
      </w:r>
    </w:p>
    <w:p>
      <w:pPr>
        <w:pStyle w:val="ListDash1"/>
        <w:rPr>
          <w:noProof/>
        </w:rPr>
      </w:pPr>
      <w:r>
        <w:rPr>
          <w:noProof/>
        </w:rPr>
        <w:t xml:space="preserve">Η πρόταση/πρωτοβουλία δεν προβλέπει συγχρηματοδότηση από τρίτα μέρη. </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EUR (με 3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sz w:val="22"/>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Εκτιμώμενες επιπτώσεις στα έσοδα </w:t>
      </w:r>
    </w:p>
    <w:p>
      <w:pPr>
        <w:pStyle w:val="ListDash1"/>
        <w:rPr>
          <w:noProof/>
        </w:rPr>
      </w:pPr>
      <w:r>
        <w:rPr>
          <w:noProof/>
        </w:rPr>
        <w:sym w:font="Wingdings" w:char="F0FE"/>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διάφορα έσοδα </w:t>
      </w:r>
    </w:p>
    <w:p>
      <w:pPr>
        <w:jc w:val="right"/>
        <w:rPr>
          <w:i/>
          <w:noProof/>
          <w:sz w:val="20"/>
        </w:rPr>
      </w:pPr>
      <w:r>
        <w:rPr>
          <w:noProof/>
        </w:rPr>
        <w:t>Σε εκατ. EUR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Για τα διάφορα έσοδα «για ειδικό προορισμό», να προσδιοριστεί/-ούν η/οι γραμμή/-ές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Νομοθετικό δημοσιονομικό δελτίο «Οργανισμοί»</w:t>
      </w:r>
    </w:p>
    <w:p>
      <w:pPr>
        <w:pStyle w:val="NormalCentered"/>
        <w:rPr>
          <w:b/>
          <w:noProof/>
        </w:rPr>
      </w:pPr>
      <w:r>
        <w:rPr>
          <w:b/>
          <w:noProof/>
        </w:rPr>
        <w:t>Ευρωπαϊκός Οργανισμός Περιβάλλοντος</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Σχετικός/-οί τομέας/-είς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Στόχος/-οι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δημοσιονομικός αντίκτυπος </w:t>
      </w:r>
    </w:p>
    <w:p>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παρατυπιών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πιστώσεις [του οργανισμού] </w:t>
      </w:r>
    </w:p>
    <w:p>
      <w:pPr>
        <w:pStyle w:val="ManualHeading3"/>
        <w:rPr>
          <w:noProof/>
        </w:rPr>
      </w:pPr>
      <w:r>
        <w:rPr>
          <w:noProof/>
        </w:rPr>
        <w:tab/>
        <w:t>3.2.3.</w:t>
      </w:r>
      <w:r>
        <w:rPr>
          <w:noProof/>
        </w:rPr>
        <w:tab/>
        <w:t>Εκτιμώμενες επιπτώσεις στους ανθρώπινους πόρους του [οργανισμού]</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pPr>
      <w:r>
        <w:rPr>
          <w:noProof/>
        </w:rPr>
        <w:tab/>
      </w:r>
      <w:r>
        <w:rPr>
          <w:b w:val="0"/>
          <w:noProof/>
        </w:rPr>
        <w:t>3.3.</w:t>
      </w:r>
      <w:r>
        <w:rPr>
          <w:noProof/>
        </w:rPr>
        <w:tab/>
      </w:r>
      <w:r>
        <w:rPr>
          <w:b w:val="0"/>
          <w:noProof/>
        </w:rPr>
        <w:t>Εκτιμώμενες επιπτώσεις στα έσοδα</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ΚΑΝΟΝΙΣΜΟΣ (ΕΕ) ΤΟΥ ΕΥΡΩΠΑΪΚΟΥ ΚΟΙΝΟΒΟΥΛΙΟΥ ΚΑΙ ΤΟΥ ΣΥΜΒΟΥΛΙΟΥ για τη διακυβέρνηση της Ενεργειακής Ένωσης</w:t>
      </w:r>
    </w:p>
    <w:p>
      <w:pPr>
        <w:pStyle w:val="ManualHeading2"/>
        <w:rPr>
          <w:noProof/>
          <w:szCs w:val="24"/>
        </w:rPr>
      </w:pPr>
      <w:r>
        <w:rPr>
          <w:noProof/>
        </w:rPr>
        <w:t>1.2.</w:t>
      </w:r>
      <w:r>
        <w:rPr>
          <w:noProof/>
        </w:rPr>
        <w:tab/>
        <w:t xml:space="preserve">Σχετικός/-οί τομέας/-είς πολιτικής στη δομή ΔΒΔ/ΠΒΔ </w:t>
      </w:r>
      <w:r>
        <w:rPr>
          <w:noProof/>
        </w:rPr>
        <w:br/>
      </w:r>
      <w:r>
        <w:rPr>
          <w:rStyle w:val="FootnoteReference"/>
          <w:noProof/>
        </w:rPr>
        <w:footnoteReference w:id="5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32: Ενέργεια</w:t>
      </w:r>
    </w:p>
    <w:p>
      <w:pPr>
        <w:pStyle w:val="Text1"/>
        <w:pBdr>
          <w:top w:val="single" w:sz="4" w:space="1" w:color="auto"/>
          <w:left w:val="single" w:sz="4" w:space="4" w:color="auto"/>
          <w:bottom w:val="single" w:sz="4" w:space="1" w:color="auto"/>
          <w:right w:val="single" w:sz="4" w:space="4" w:color="auto"/>
        </w:pBdr>
        <w:rPr>
          <w:noProof/>
        </w:rPr>
      </w:pPr>
      <w:r>
        <w:rPr>
          <w:noProof/>
        </w:rPr>
        <w:t>34: Δράση για το κλίμα</w:t>
      </w:r>
      <w:r>
        <w:rPr>
          <w:noProof/>
          <w:highlight w:val="yellow"/>
        </w:rPr>
        <w:t xml:space="preserve"> </w:t>
      </w:r>
    </w:p>
    <w:p>
      <w:pPr>
        <w:pStyle w:val="ManualHeading2"/>
        <w:rPr>
          <w:bCs/>
          <w:noProof/>
          <w:szCs w:val="24"/>
        </w:rPr>
      </w:pPr>
      <w:r>
        <w:rPr>
          <w:noProof/>
        </w:rPr>
        <w:t>1.3.</w:t>
      </w:r>
      <w:r>
        <w:rPr>
          <w:noProof/>
        </w:rPr>
        <w:tab/>
        <w:t xml:space="preserve">Χαρακτήρας της πρότασης/πρωτοβουλίας </w:t>
      </w:r>
    </w:p>
    <w:p>
      <w:pPr>
        <w:pStyle w:val="Text1"/>
        <w:rPr>
          <w:b/>
          <w:noProof/>
          <w:sz w:val="22"/>
        </w:rPr>
      </w:pPr>
      <w:r>
        <w:rPr>
          <w:noProof/>
          <w:sz w:val="22"/>
        </w:rPr>
        <w:sym w:font="Wingdings" w:char="F0FE"/>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noProof/>
        </w:rPr>
        <w:t xml:space="preserve"> Η πρόταση/πρωτοβουλία αφορά </w:t>
      </w:r>
      <w:r>
        <w:rPr>
          <w:b/>
          <w:noProof/>
        </w:rPr>
        <w:t>νέα δράση μετά από πιλοτικό έργο/προπαρασκευαστική δράση</w:t>
      </w:r>
      <w:r>
        <w:rPr>
          <w:rStyle w:val="FootnoteReference"/>
          <w:b/>
          <w:noProof/>
        </w:rPr>
        <w:footnoteReference w:id="5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rPr>
        <w:t xml:space="preserve"> </w:t>
      </w: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r>
        <w:rPr>
          <w:noProof/>
        </w:rPr>
        <w:t>1.4.</w:t>
      </w:r>
      <w:r>
        <w:rPr>
          <w:noProof/>
        </w:rPr>
        <w:tab/>
        <w:t>Στόχος/-οι</w:t>
      </w:r>
    </w:p>
    <w:p>
      <w:pPr>
        <w:pStyle w:val="ManualHeading3"/>
        <w:rPr>
          <w:noProof/>
        </w:rPr>
      </w:pPr>
      <w:r>
        <w:rPr>
          <w:noProof/>
        </w:rPr>
        <w:t>1.4.1.</w:t>
      </w:r>
      <w:r>
        <w:rPr>
          <w:noProof/>
        </w:rPr>
        <w:tab/>
        <w:t xml:space="preserve">Πολυετής/-είς στρατηγικός/-οί στόχος/-οι της Επιτροπής που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Στόχος του προτεινόμενου κανονισμού είναι η διασφάλιση της συντονισμένης και κοινής εφαρμογής της στρατηγικής της Ενεργειακής Ένωσης στις πέντε διαστάσεις της, καθώς και η συλλογική επίτευξη των στόχων της Ενεργειακής Ένωσης μέσω  συνδυασμού ενωσιακών και εθνικών μέτρων βάσει υποχρεώσεων εξορθολογισμένου σχεδιασμού, υποβολής εκθέσεων και παρακολούθησης και λειτουργικής διαδικασίας διακυβέρνησης μεταξύ της Επιτροπής και των κρατών μελών. </w:t>
      </w:r>
    </w:p>
    <w:p>
      <w:pPr>
        <w:pStyle w:val="Text1"/>
        <w:pBdr>
          <w:top w:val="single" w:sz="4" w:space="1" w:color="auto"/>
          <w:left w:val="single" w:sz="4" w:space="4" w:color="auto"/>
          <w:bottom w:val="single" w:sz="4" w:space="1" w:color="auto"/>
          <w:right w:val="single" w:sz="4" w:space="4" w:color="auto"/>
        </w:pBdr>
        <w:rPr>
          <w:noProof/>
        </w:rPr>
      </w:pPr>
      <w:r>
        <w:rPr>
          <w:noProof/>
        </w:rPr>
        <w:t>Η δημιουργία Ενεργειακής Ένωσης αποτελεί μέρος των δέκα πολιτικών προτεραιοτήτων της Επιτροπής και η παρούσα πρόταση είναι σημαντικό στοιχείο του στρατηγικού πλαισίου για την Ενεργειακή Ένωση.</w:t>
      </w:r>
    </w:p>
    <w:p>
      <w:pPr>
        <w:pStyle w:val="Text1"/>
        <w:pBdr>
          <w:top w:val="single" w:sz="4" w:space="1" w:color="auto"/>
          <w:left w:val="single" w:sz="4" w:space="4" w:color="auto"/>
          <w:bottom w:val="single" w:sz="4" w:space="1" w:color="auto"/>
          <w:right w:val="single" w:sz="4" w:space="4" w:color="auto"/>
        </w:pBdr>
        <w:rPr>
          <w:noProof/>
        </w:rPr>
      </w:pPr>
      <w:r>
        <w:rPr>
          <w:noProof/>
        </w:rPr>
        <w:t>Η πρόταση συντάχθηκε από κοινού από τη ΓΔ Ενέργειας και τη ΓΔ Δράσης για το Κλίμα</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1.4.2.</w:t>
      </w:r>
      <w:r>
        <w:rPr>
          <w:noProof/>
        </w:rPr>
        <w:tab/>
        <w:t xml:space="preserve">Ειδικός/-οί στόχος/-οι και σχετική/-ές δραστηριότητα/-ες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w:t>
      </w:r>
    </w:p>
    <w:p>
      <w:pPr>
        <w:pStyle w:val="Text1"/>
        <w:pBdr>
          <w:top w:val="single" w:sz="4" w:space="1" w:color="auto"/>
          <w:left w:val="single" w:sz="4" w:space="4" w:color="auto"/>
          <w:bottom w:val="single" w:sz="4" w:space="1" w:color="auto"/>
          <w:right w:val="single" w:sz="4" w:space="4" w:color="auto"/>
        </w:pBdr>
        <w:rPr>
          <w:noProof/>
        </w:rPr>
      </w:pPr>
      <w:r>
        <w:rPr>
          <w:noProof/>
        </w:rPr>
        <w:t>Για τη ΓΔ Ενέργειας: Ειδικός στόχος 6: Εφαρμογή και παρακολούθηση της συνολικής στρατηγικής της Ενεργειακής Ένωσης.</w:t>
      </w:r>
    </w:p>
    <w:p>
      <w:pPr>
        <w:pStyle w:val="Text1"/>
        <w:pBdr>
          <w:top w:val="single" w:sz="4" w:space="1" w:color="auto"/>
          <w:left w:val="single" w:sz="4" w:space="4" w:color="auto"/>
          <w:bottom w:val="single" w:sz="4" w:space="1" w:color="auto"/>
          <w:right w:val="single" w:sz="4" w:space="4" w:color="auto"/>
        </w:pBdr>
        <w:rPr>
          <w:noProof/>
        </w:rPr>
      </w:pPr>
      <w:r>
        <w:rPr>
          <w:noProof/>
        </w:rPr>
        <w:t>Για τη ΓΔ Δράσης για το Κλίμα: Για τη ΓΔ Δράσης για το Κλίμα: Ειδικός στόχος 6: Εφαρμογή της στρατηγικής της Ενεργειακής Ένωσης για την ενίσχυση του μηχανισμού διακυβέρνησης σχετικά με το κλίμα και την ενέργεια, συμπεριλαμβανομένου του εξορθολογισμού της υποβολής εκθέσεων και του σχεδιασμού μετά το 2020 (συντονισμός με τη ΓΔ ENER).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Σχετική/-ές δραστηριότητα/-ες ΔΒΔ/ΠΒΔ</w:t>
      </w:r>
    </w:p>
    <w:p>
      <w:pPr>
        <w:pStyle w:val="Text1"/>
        <w:pBdr>
          <w:top w:val="single" w:sz="4" w:space="1" w:color="auto"/>
          <w:left w:val="single" w:sz="4" w:space="4" w:color="auto"/>
          <w:bottom w:val="single" w:sz="4" w:space="1" w:color="auto"/>
          <w:right w:val="single" w:sz="4" w:space="4" w:color="auto"/>
        </w:pBdr>
        <w:rPr>
          <w:noProof/>
        </w:rPr>
      </w:pPr>
      <w:r>
        <w:rPr>
          <w:noProof/>
        </w:rPr>
        <w:t>Οι δαπάνες της ΓΔ Ενέργειας υλοποιούνται μέσω της δραστηριότητας ΠΒΔ «32.02 Συμβατική ενέργεια και ενέργεια από ανανεώσιμες πηγές» (ή ΠΒΔ1: Συμβατική ενέργεια και ενέργεια από ανανεώσιμες πηγές).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 σχέδιο διαχείρισης για το 2016 και σύμφωνα με τη νέα δομή των ειδικών στόχων που ορίστηκαν ως αποτέλεσμα της Ενεργειακής Ένωσης, η ΠΒΔ1 συμβάλλει στην επίτευξη και των 6 ειδικών στόχων, συμπεριλαμβανομένων των πτυχών ανταγωνιστικότητας του ειδικού στόχου 5.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Για τη ΓΔ CLIMA, οι στόχοι ορίζονται στη δραστηριότητα ΔΒΔ 34 02 – «Δράση για το κλίμα σε ενωσιακό και διεθνές επίπεδο.» </w:t>
      </w:r>
    </w:p>
    <w:p>
      <w:pPr>
        <w:pStyle w:val="Text1"/>
        <w:pBdr>
          <w:top w:val="single" w:sz="4" w:space="1" w:color="auto"/>
          <w:left w:val="single" w:sz="4" w:space="4" w:color="auto"/>
          <w:bottom w:val="single" w:sz="4" w:space="1" w:color="auto"/>
          <w:right w:val="single" w:sz="4" w:space="4" w:color="auto"/>
        </w:pBdr>
        <w:rPr>
          <w:noProof/>
        </w:rPr>
      </w:pPr>
      <w:r>
        <w:rPr>
          <w:noProof/>
        </w:rPr>
        <w:t>Η πρόταση σχετίζεται επίσης με τον στρατηγικό τομέα 1.3 του πολυετούς προγράμματος εργασίας του Ευρωπαϊκού Οργανισμού Περιβάλλοντος: «Ενημέρωση για την εφαρμογή της πολιτικής σχετικά με τον μετριασμό της κλιματικής αλλαγής και την ενέργεια», καθώς και τον στρατηγικό τομέα 3.2 «Ανάπτυξη τεχνικών συστημάτων».</w:t>
      </w:r>
    </w:p>
    <w:p>
      <w:pPr>
        <w:pStyle w:val="ManualHeading3"/>
        <w:rPr>
          <w:noProof/>
        </w:rPr>
      </w:pPr>
      <w:r>
        <w:rPr>
          <w:noProof/>
        </w:rPr>
        <w:t>1.4.3.</w:t>
      </w:r>
      <w:r>
        <w:rPr>
          <w:noProof/>
        </w:rPr>
        <w:tab/>
        <w:t>Αναμενόμενο/-α αποτέλεσμα/-τα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Τα ενοποιημένα εθνικά σχέδια για την ενέργεια και το κλίμα και οι αντίστοιχες εκθέσεις προόδου θα πρέπει να ελαχιστοποιήσουν τον διοικητικό φόρτο των κρατών μελών και της Επιτροπής, βελτιώνοντας παράλληλα την ποιότητα των πληροφοριών και τη διαφάνεια, εξασφαλίζοντας έγκαιρη εφαρμογή και παρακολούθηση των στόχων της Ενεργειακής Ένωσης, καθώς και βελτιώνοντας τις διασυνδέσεις και τις συνέργειες μεταξύ των τομέων για την ενέργεια και το κλίμα.</w:t>
      </w:r>
    </w:p>
    <w:p>
      <w:pPr>
        <w:pStyle w:val="Text1"/>
        <w:pBdr>
          <w:top w:val="single" w:sz="4" w:space="1" w:color="auto"/>
          <w:left w:val="single" w:sz="4" w:space="4" w:color="auto"/>
          <w:bottom w:val="single" w:sz="4" w:space="1" w:color="auto"/>
          <w:right w:val="single" w:sz="4" w:space="4" w:color="auto"/>
        </w:pBdr>
        <w:rPr>
          <w:noProof/>
        </w:rPr>
      </w:pPr>
      <w:r>
        <w:rPr>
          <w:noProof/>
        </w:rPr>
        <w:t>Ο εξορθολογισμός των υφισταμένων υποχρεώσεων σχεδιασμού και υποβολής εκθέσεων των κρατών μελών και οι υποχρεώσεις παρακολούθησης της Επιτροπής θα βελτιώσουν την κατάσταση για όλα τα ενδιαφερόμενα μέρη σύμφωνα με τις εξής αρχές βελτίωσης της νομοθεσίας: τις αρχές της αποτελεσματικότητας, της αποδοτικότητας, της ευρωπαϊκής προστιθέμενης αξίας, της συνάφειας και της συνοχής.</w:t>
      </w:r>
    </w:p>
    <w:p>
      <w:pPr>
        <w:pStyle w:val="Text1"/>
        <w:pBdr>
          <w:top w:val="single" w:sz="4" w:space="1" w:color="auto"/>
          <w:left w:val="single" w:sz="4" w:space="4" w:color="auto"/>
          <w:bottom w:val="single" w:sz="4" w:space="1" w:color="auto"/>
          <w:right w:val="single" w:sz="4" w:space="4" w:color="auto"/>
        </w:pBdr>
        <w:rPr>
          <w:noProof/>
        </w:rPr>
      </w:pPr>
      <w:r>
        <w:rPr>
          <w:noProof/>
        </w:rPr>
        <w:t>Περαιτέρω, η παρούσα πρόταση θα καθορίσει το περιεχόμενο και την επαρκή περιοδικότητα των εθνικών σχεδίων, των εκθέσεων προόδου και της ενιαίας παρακολούθησης από την Επιτροπή, καθώς και τη σχετική διαδικασία διακυβέρνησης μεταξύ των κρατών μελών και της Επιτροπής, συμπεριλαμβανομένου του περιφερειακού συντονισμού. Στόχος της είναι ο συγχρονισμός με τους πενταετείς κύκλους επανεξέτασης της συμφωνίας του Παρισιού για το κλίμα.</w:t>
      </w:r>
    </w:p>
    <w:p>
      <w:pPr>
        <w:pStyle w:val="ManualHeading3"/>
        <w:rPr>
          <w:bCs/>
          <w:noProof/>
          <w:szCs w:val="24"/>
        </w:rPr>
      </w:pPr>
      <w:r>
        <w:rPr>
          <w:noProof/>
        </w:rPr>
        <w:t>1.4.4.</w:t>
      </w:r>
      <w:r>
        <w:rPr>
          <w:noProof/>
        </w:rPr>
        <w:tab/>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Η εφαρμογή της πρότασης πρέπει να διασφαλίζει τη διαφανή πληροφόρηση σχετικά με τη συλλογική πρόοδο των κρατών μελών και της ΕΕ για την επίτευξη των στόχων της Ενεργειακής Ένωσης για το 2030 και μετέπειτα και να παρέχει πλαίσιο διακυβέρνησης κατάλληλο για την εφαρμογή της στρατηγικής της Ενεργειακής Ένωσης.</w:t>
      </w:r>
    </w:p>
    <w:p>
      <w:pPr>
        <w:pStyle w:val="Text1"/>
        <w:pBdr>
          <w:top w:val="single" w:sz="4" w:space="1" w:color="auto"/>
          <w:left w:val="single" w:sz="4" w:space="4" w:color="auto"/>
          <w:bottom w:val="single" w:sz="4" w:space="1" w:color="auto"/>
          <w:right w:val="single" w:sz="4" w:space="4" w:color="auto"/>
        </w:pBdr>
        <w:rPr>
          <w:noProof/>
        </w:rPr>
      </w:pPr>
      <w:r>
        <w:rPr>
          <w:noProof/>
        </w:rPr>
        <w:t>Ο δείκτης για την υλοποίηση της πρότασης είναι ο εξής: Ο αριθμός των κρατών μελών που παρέχουν ενοποιημένα σχέδια, εκθέσεις προόδου ανά διετία και ετήσιες εκθέσεις εγκαίρως (σύμφωνα με τις διατάξεις του κανονισμού).</w:t>
      </w:r>
    </w:p>
    <w:p>
      <w:pPr>
        <w:pStyle w:val="ManualHeading2"/>
        <w:rPr>
          <w:bCs/>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κράτη μέλη θα είχαν την υποχρέωση να υποβάλλουν λιγότερα εθνικά σχέδια και εκθέσεις δυνάμει των διατάξεων διάφορων τομεακών νομοθετικών πράξεων, εντούτοις θα πρέπει να υποβάλλουν ενοποιημένα σχέδια και εκθέσεις στην Επιτροπή ανά τακτά χρονικά διαστήματα. Βάσει των πληροφοριών που παρέχονται από τα κράτη μέλη, η Επιτροπή θα πρέπει να συντάξει τις απαιτούμενες εκθέσεις παρακολούθησης.  </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1.5.2.</w:t>
      </w:r>
      <w:r>
        <w:rPr>
          <w:noProof/>
        </w:rPr>
        <w:tab/>
        <w:t>Προστιθέμενη αξία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Πρώτον, δεδομένου ότι διάφορα στοιχεία της στρατηγικής της Ενεργειακής Ένωσης σχετίζονται με στόχους που έχουν τεθεί σε επίπεδο ΕΕ, είναι απαραίτητη η δράση σε  επίπεδο ΕΕ για τη διασφάλιση της υλοποίησης αυτών των στόχων, καθώς και της συνοχής των πολιτικών για την ενέργεια και το κλίμα στην ΕΕ και στα κράτη μέλη της, με παράλληλη διατήρηση της ευελιξίας για τα κράτη μέλη. </w:t>
      </w:r>
    </w:p>
    <w:p>
      <w:pPr>
        <w:pStyle w:val="Text1"/>
        <w:pBdr>
          <w:top w:val="single" w:sz="4" w:space="1" w:color="auto"/>
          <w:left w:val="single" w:sz="4" w:space="4" w:color="auto"/>
          <w:bottom w:val="single" w:sz="4" w:space="1" w:color="auto"/>
          <w:right w:val="single" w:sz="4" w:space="4" w:color="auto"/>
        </w:pBdr>
        <w:rPr>
          <w:noProof/>
        </w:rPr>
      </w:pPr>
      <w:r>
        <w:rPr>
          <w:noProof/>
        </w:rPr>
        <w:t>Επιπλέον, η πλειοψηφία των προκλήσεων σε σχέση με την ενέργεια που αντιμετωπίζει η Ένωση δεν μπορούν επιλυθούν χωρίς συντονισμένη δράση σε εθνικό επίπεδο. Το ίδιο ισχύει και για την κλιματική αλλαγή, η οποία αποτελεί εκ φύσεως ένα διασυνοριακό πρόβλημα και δεν δύναται να επιλυθεί μόνο με εθνικές ή τοπικές δράσεις. Επομένως, είναι απαραίτητος ο συντονισμός της δράσης για το κλίμα τόσο σε ευρωπαϊκό όσο και σε διεθνές επίπεδο. Κατά συνέπεια, η δράση της ΕΕ είναι δικαιολογημένη για την παρακολούθηση της προόδου υλοποίησης των πολιτικών για την ενέργεια και το κλίμα στην ΕΕ σύμφωνα με τους στόχους της Ενεργειακής Ένωσης, καθώς και τη λειτουργία της εσωτερικής αγοράς ενέργειας.</w:t>
      </w:r>
    </w:p>
    <w:p>
      <w:pPr>
        <w:pStyle w:val="Text1"/>
        <w:pBdr>
          <w:top w:val="single" w:sz="4" w:space="1" w:color="auto"/>
          <w:left w:val="single" w:sz="4" w:space="4" w:color="auto"/>
          <w:bottom w:val="single" w:sz="4" w:space="1" w:color="auto"/>
          <w:right w:val="single" w:sz="4" w:space="4" w:color="auto"/>
        </w:pBdr>
        <w:rPr>
          <w:noProof/>
        </w:rPr>
      </w:pPr>
      <w:r>
        <w:rPr>
          <w:noProof/>
        </w:rPr>
        <w:t>Δεύτερον, λόγω της διασυνοριακής συνάφειας κάθε διάστασης της Ενεργειακής Ένωσης, η δράση της ΕΕ είναι απαραίτητη για την περαιτέρω προώθηση της ενίσχυσης της συνεργασίας μεταξύ των κρατών μελών. Καμία από τις διαστάσεις της Ενεργειακής Ένωσης δεν θα μπορούσε να υλοποιηθεί αποτελεσματικά απουσία μιας διαδικασίας ευρωπαϊκής διακυβέρνησης μεταξύ των κρατών μελών και της Επιτροπής, η οποία θα διασφαλίσει επίσης μια πιο περιφερειακή προσέγγιση της πολιτικής για την ενέργεια και το κλίμα. Είναι επίσης απαραίτητη η δημιουργία του πλαισίου διευκόλυνσης, προκειμένου να διασφαλιστεί ότι η ΕΕ είναι έτοιμη να συμμετάσχει πλήρως στις διαδικασίες επανεξέτασης δυνάμει της συμφωνίας του Παρισιού, εξασφαλίζοντας μέγιστο συγχρονισμό και συνέργειες.</w:t>
      </w:r>
    </w:p>
    <w:p>
      <w:pPr>
        <w:pStyle w:val="Text1"/>
        <w:pBdr>
          <w:top w:val="single" w:sz="4" w:space="1" w:color="auto"/>
          <w:left w:val="single" w:sz="4" w:space="4" w:color="auto"/>
          <w:bottom w:val="single" w:sz="4" w:space="1" w:color="auto"/>
          <w:right w:val="single" w:sz="4" w:space="4" w:color="auto"/>
        </w:pBdr>
        <w:rPr>
          <w:noProof/>
        </w:rPr>
      </w:pPr>
      <w:r>
        <w:rPr>
          <w:noProof/>
        </w:rPr>
        <w:t>Τρίτον, η δράση της ΕΕ δικαιολογείται από τον στόχο του εξορθολογισμού των υφισταμένων υποχρεώσεων σχεδιασμού, υποβολής εκθέσεων και παρακολούθησης που θέτει η πρωτοβουλία, καθώς η υφιστάμενη νομοθεσία της ΕΕ σχετικά με το ενεργειακό κεκτημένο και ο κανονισμός για τον μηχανισμό παρακολούθησης δύνανται να τροποποιηθούν μόνο μέσω νομοθετικών προτάσεων με σκοπό τη μείωση του διοικητικού φόρτου των κρατών μελών και της Επιτροπής και την ενίσχυση της συνοχής των ενεργειών σχεδιασμού και υποβολής εκθέσεων, καθώς και τη διασφάλιση της συγκρισιμότητας των εθνικών σχεδίων και των εκθέσεων προόδου.</w:t>
      </w:r>
    </w:p>
    <w:p>
      <w:pPr>
        <w:pStyle w:val="ManualHeading3"/>
        <w:rPr>
          <w:bCs/>
          <w:noProof/>
          <w:szCs w:val="24"/>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περισσότερες από τις τρέχουσες υποχρεώσεις σχεδιασμού, υποβολής εκθέσεων και παρακολούθησης παρέχουν οφέλη με τη μορφή χρήσιμων πληροφοριών για συγκεκριμένους τομείς πολιτικής και υποστηρίζουν την υλοποίηση συγκεκριμένων στόχων πολιτικής οι οποίο ορίζονται στην τομεακή νομοθεσία. Οι τρέχουσες υποχρεώσεις υποβολής εκθέσεων στην Επιτροπή διασφαλίζουν ότι η Επιτροπή ενημερώνει το Ευρωπαϊκό Κοινοβούλιο, το Συμβούλιο και το ευρύ κοινό σχετικά με τα αποτελέσματα που επιτυγχάνονται από τη νομοθεσία της ΕΕ και την πρόοδο που σημειώνουν η ΕΕ και τα κράτη μέλη της σχετικά με την εκπλήρωση των υποχρεώσεών τους δυνάμει των διεθνών δεσμεύσεων που έχουν αναλάβει στο πλαίσιο της UNFCCC. </w:t>
      </w:r>
    </w:p>
    <w:p>
      <w:pPr>
        <w:pStyle w:val="Text1"/>
        <w:pBdr>
          <w:top w:val="single" w:sz="4" w:space="1" w:color="auto"/>
          <w:left w:val="single" w:sz="4" w:space="4" w:color="auto"/>
          <w:bottom w:val="single" w:sz="4" w:space="1" w:color="auto"/>
          <w:right w:val="single" w:sz="4" w:space="4" w:color="auto"/>
        </w:pBdr>
        <w:rPr>
          <w:noProof/>
        </w:rPr>
      </w:pPr>
      <w:r>
        <w:rPr>
          <w:noProof/>
        </w:rPr>
        <w:t>Ωστόσο, το ισχύον πλαίσιο δεν είναι κατάλληλο για τους στόχους για το 2030 για την ενέργεια και το κλίμα και τους στόχους της Ενεργειακής Ένωσης, καθώς δεν διασφαλίζει τη συνεκτική πολιτική ως προς τις υποχρεώσεις στον τομέα της ενέργειας και τη συνέπεια μεταξύ των τομέων της ενέργειας και του κλίματος. Περαιτέρω, ορισμένα από τα τρέχοντα σχέδια και ορισμένες εκθέσεις φαίνεται να έχουν υψηλό κόστος διαχείρισης.</w:t>
      </w:r>
    </w:p>
    <w:p>
      <w:pPr>
        <w:pStyle w:val="ManualHeading3"/>
        <w:rPr>
          <w:noProof/>
        </w:rPr>
      </w:pPr>
      <w:r>
        <w:rPr>
          <w:noProof/>
        </w:rPr>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πρόταση είναι συνεπής με την επανεξέταση της οδηγίας 2009/28/ΕΚ (οδηγία για την ενέργεια από ανανεώσιμες πηγές), της οδηγίας 2010/31/ΕΕ (οδηγία για την ενεργειακή απόδοση των κτηρίων), της οδηγίας 2012/27/ΕΕ (οδηγία για την ενεργειακή απόδοση) και με την πρωτοβουλία για τον σχεδιασμό της αγοράς. </w:t>
      </w:r>
    </w:p>
    <w:p>
      <w:pPr>
        <w:pStyle w:val="Text1"/>
        <w:pBdr>
          <w:top w:val="single" w:sz="4" w:space="1" w:color="auto"/>
          <w:left w:val="single" w:sz="4" w:space="4" w:color="auto"/>
          <w:bottom w:val="single" w:sz="4" w:space="1" w:color="auto"/>
          <w:right w:val="single" w:sz="4" w:space="4" w:color="auto"/>
        </w:pBdr>
        <w:rPr>
          <w:noProof/>
        </w:rPr>
      </w:pPr>
      <w:r>
        <w:rPr>
          <w:noProof/>
        </w:rPr>
        <w:t>Συνάδει επίσης με την απόφαση 406/2009 ΕΚ (απόφαση επιμερισμού των προσπαθειών, με ισχύ από 2013 έως 20), η προτεινόμενη διάδοχη απόφαση για την περίοδο 2021-30, COM(2016) 482 final – 2016/0231 (COD) (πρόταση κανονισμού για τη θέσπιση δεσμευτικών ετήσιων μειώσεων των εκπομπών αερίων θερμοκηπίου από τα κράτη μέλη από το 2021 έως το 2030 για μια ανθεκτική Ενεργειακή Ένωση και για την τήρηση των υποχρεώσεων που απορρέουν από τη συμφωνία του Παρισιού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 καθώς και της πρότασης LULUCF, COM(2016) 479 final – 2016/0230 (COD) (πρόταση κανονισμού για τη συμπερίληψη των εκπομπών αερίων θερμοκηπίου και των απορροφήσεων από δραστηριότητες χρήσης γης, αλλαγής χρήσης γης και δασοπονίας εντός του πλαισίου για το κλίμα και την ενέργεια έως το 2030 και για την τροποποίηση του κανονισμού αριθ. 525/2013 του Ευρωπαϊκού Κοινοβουλίου και του Συμβουλίου για μηχανισμό παρακολούθησης και υποβολής εκθέσεων σχετικά με τις εκπομπές αερίων θερμοκηπίου και άλλων πληροφοριών που αφορούν την κλιματική αλλαγή). Στόχος αυτών των πρωτοβουλιών είναι η δημιουργία ειδικού νομικού πλαισίου κατά τομέα μετά το 2020, ενώ η παρούσα πρόταση θα ορίζει το συνολικό πλαίσιο διακυβέρνησης για την επίτευξη των στόχων της Ενεργειακής Ένωσης.</w:t>
      </w:r>
    </w:p>
    <w:p>
      <w:pPr>
        <w:pStyle w:val="Text1"/>
        <w:pBdr>
          <w:top w:val="single" w:sz="4" w:space="1" w:color="auto"/>
          <w:left w:val="single" w:sz="4" w:space="4" w:color="auto"/>
          <w:bottom w:val="single" w:sz="4" w:space="1" w:color="auto"/>
          <w:right w:val="single" w:sz="4" w:space="4" w:color="auto"/>
        </w:pBdr>
        <w:rPr>
          <w:noProof/>
        </w:rPr>
      </w:pPr>
      <w:r>
        <w:rPr>
          <w:noProof/>
        </w:rPr>
        <w:t>Είναι επίσης συνεπής με την οδηγία 2009/31/EΚ σχετικά με την αποθήκευση διοξειδίου του άνθρακα σε γεωλογικούς σχηματισμούς.</w:t>
      </w:r>
    </w:p>
    <w:p>
      <w:pPr>
        <w:pStyle w:val="ManualHeading2"/>
        <w:rPr>
          <w:bCs/>
          <w:noProof/>
          <w:szCs w:val="24"/>
        </w:rPr>
      </w:pPr>
      <w:r>
        <w:rPr>
          <w:noProof/>
        </w:rPr>
        <w:br w:type="page"/>
        <w:t>1.6.</w:t>
      </w:r>
      <w:r>
        <w:rPr>
          <w:noProof/>
        </w:rPr>
        <w:tab/>
        <w:t xml:space="preserve">Διάρκεια και δημοσιονομικός αντίκτυπος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την [ΗΗ/MM]ΕΕΕΕ μέχρι την [ΗΗ/MM]ΕΕΕΕ </w:t>
      </w:r>
    </w:p>
    <w:p>
      <w:pPr>
        <w:pStyle w:val="ListDash2"/>
        <w:rPr>
          <w:noProof/>
        </w:rPr>
      </w:pPr>
      <w:r>
        <w:rPr>
          <w:noProof/>
        </w:rPr>
        <w:sym w:font="Wingdings" w:char="F0A8"/>
      </w:r>
      <w:r>
        <w:rPr>
          <w:noProof/>
        </w:rPr>
        <w:tab/>
        <w:t xml:space="preserve">Δημοσιονομικός αντίκτυπος από το ΕΕΕΕ μέχρι το ΕΕΕΕ </w:t>
      </w:r>
    </w:p>
    <w:p>
      <w:pPr>
        <w:pStyle w:val="Text1"/>
        <w:rPr>
          <w:noProof/>
        </w:rPr>
      </w:pPr>
      <w:r>
        <w:rPr>
          <w:noProof/>
        </w:rPr>
        <w:sym w:font="Wingdings" w:char="F0FE"/>
      </w:r>
      <w:r>
        <w:rPr>
          <w:b/>
          <w:i/>
          <w:noProof/>
        </w:rPr>
        <w:t xml:space="preserve"> </w:t>
      </w:r>
      <w:r>
        <w:rPr>
          <w:noProof/>
        </w:rPr>
        <w:t xml:space="preserve">Πρόταση/πρωτοβουλία </w:t>
      </w:r>
      <w:r>
        <w:rPr>
          <w:b/>
          <w:noProof/>
        </w:rPr>
        <w:t>απεριόριστης διάρκειας</w:t>
      </w:r>
    </w:p>
    <w:p>
      <w:pPr>
        <w:pStyle w:val="ListDash1"/>
        <w:rPr>
          <w:noProof/>
        </w:rPr>
      </w:pPr>
      <w:r>
        <w:rPr>
          <w:noProof/>
        </w:rPr>
        <w:t>Περίοδος σταδιακής εφαρμογής από το 2018 με απεριόριστη διάρκεια</w:t>
      </w:r>
    </w:p>
    <w:p>
      <w:pPr>
        <w:pStyle w:val="ListDash1"/>
        <w:rPr>
          <w:noProof/>
        </w:rPr>
      </w:pPr>
      <w:r>
        <w:rPr>
          <w:noProof/>
        </w:rPr>
        <w:t>και στη συνέχεια πλήρης εφαρμογή.</w:t>
      </w:r>
    </w:p>
    <w:p>
      <w:pPr>
        <w:pStyle w:val="ManualHeading2"/>
        <w:rPr>
          <w:bCs/>
          <w:noProof/>
          <w:szCs w:val="24"/>
        </w:rPr>
      </w:pPr>
      <w:r>
        <w:rPr>
          <w:noProof/>
        </w:rPr>
        <w:t>1.7.</w:t>
      </w:r>
      <w:r>
        <w:rPr>
          <w:noProof/>
        </w:rPr>
        <w:tab/>
        <w:t>Προβλεπόμενος/-οι τρόπος/-οι διαχείρισης</w:t>
      </w:r>
      <w:r>
        <w:rPr>
          <w:rStyle w:val="FootnoteReference"/>
          <w:noProof/>
        </w:rPr>
        <w:footnoteReference w:id="58"/>
      </w:r>
      <w:r>
        <w:rPr>
          <w:rStyle w:val="FootnoteReference"/>
          <w:noProof/>
        </w:rPr>
        <w:t xml:space="preserve"> </w:t>
      </w:r>
    </w:p>
    <w:p>
      <w:pPr>
        <w:pStyle w:val="Text1"/>
        <w:rPr>
          <w:noProof/>
        </w:rPr>
      </w:pPr>
      <w:r>
        <w:rPr>
          <w:noProof/>
        </w:rPr>
        <w:sym w:font="Wingdings" w:char="F0FE"/>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FE"/>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t>x</w:t>
      </w:r>
      <w:r>
        <w:rPr>
          <w:i/>
          <w:noProof/>
        </w:rPr>
        <w:t xml:space="preserve"> </w:t>
      </w:r>
      <w:r>
        <w:rPr>
          <w:b/>
          <w:noProof/>
        </w:rPr>
        <w:t>Έμμεση διαχείριση</w:t>
      </w:r>
      <w:r>
        <w:rPr>
          <w:noProof/>
        </w:rPr>
        <w:t xml:space="preserve"> με ανάθεση καθηκόντων εκτέλεσης του προϋπολογισμού σε:</w:t>
      </w:r>
    </w:p>
    <w:p>
      <w:pPr>
        <w:pStyle w:val="ListDash2"/>
        <w:rPr>
          <w:noProof/>
        </w:rPr>
      </w:pPr>
      <w:r>
        <w:rPr>
          <w:noProof/>
        </w:rPr>
        <w:sym w:font="Wingdings" w:char="F0A8"/>
      </w:r>
      <w:r>
        <w:rPr>
          <w:noProof/>
        </w:rPr>
        <w:t xml:space="preserve"> τρίτες χώρες ή οργανισμούς που αυτές έχουν ορίσει·</w:t>
      </w:r>
    </w:p>
    <w:p>
      <w:pPr>
        <w:pStyle w:val="ListDash2"/>
        <w:rPr>
          <w:noProof/>
        </w:rPr>
      </w:pPr>
      <w:r>
        <w:rPr>
          <w:noProof/>
        </w:rPr>
        <w:sym w:font="Wingdings" w:char="F0A8"/>
      </w:r>
      <w:r>
        <w:rPr>
          <w:noProof/>
        </w:rPr>
        <w:t xml:space="preserve"> διεθνείς οργανισμούς και τις οργανώσεις τους (να προσδιοριστούν)·</w:t>
      </w:r>
    </w:p>
    <w:p>
      <w:pPr>
        <w:pStyle w:val="ListDash2"/>
        <w:rPr>
          <w:noProof/>
        </w:rPr>
      </w:pPr>
      <w:r>
        <w:rPr>
          <w:noProof/>
        </w:rPr>
        <w:sym w:font="Wingdings" w:char="F0A8"/>
      </w:r>
      <w:r>
        <w:rPr>
          <w:noProof/>
        </w:rPr>
        <w:t xml:space="preserve"> την ΕΤΕπ και το Ευρωπαϊκό Ταμείο Επενδύσεων·</w:t>
      </w:r>
    </w:p>
    <w:p>
      <w:pPr>
        <w:pStyle w:val="ListDash2"/>
        <w:rPr>
          <w:noProof/>
        </w:rPr>
      </w:pPr>
      <w:r>
        <w:rPr>
          <w:noProof/>
        </w:rPr>
        <w:t>x 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οργανισμούς δημοσίου δικαίου·</w:t>
      </w:r>
    </w:p>
    <w:p>
      <w:pPr>
        <w:pStyle w:val="ListDash2"/>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pPr>
        <w:pStyle w:val="ListDash2"/>
        <w:rPr>
          <w:noProof/>
        </w:rPr>
      </w:pPr>
      <w:r>
        <w:rPr>
          <w:noProof/>
        </w:rPr>
        <w:sym w:font="Wingdings" w:char="F0A8"/>
      </w:r>
      <w:r>
        <w:rPr>
          <w:noProof/>
        </w:rPr>
        <w:t xml:space="preserve"> 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pStyle w:val="ListDash2"/>
        <w:rPr>
          <w:noProof/>
        </w:rPr>
      </w:pPr>
      <w:r>
        <w:rPr>
          <w:noProof/>
        </w:rPr>
        <w:sym w:font="Wingdings" w:char="F0A8"/>
      </w:r>
      <w:r>
        <w:rPr>
          <w:noProof/>
        </w:rPr>
        <w:t xml:space="preserve"> πρόσωπα επιφορτισμένα με την εκτέλεση συγκεκριμένων δράσεων στην ΚΕΠΠΑ δυνάμει του τίτλου V της ΣΕΕ και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 xml:space="preserve">Η συμμετοχή του ΕΟΠ είναι απαραίτητη για την υλοποίηση των απαιτήσεων του παρόντος κανονισμού.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Διατάξεις στον τομέα της παρακολούθησης και της υποβολής εκθέσεων </w:t>
      </w:r>
    </w:p>
    <w:p>
      <w:pPr>
        <w:pStyle w:val="Text1"/>
        <w:rPr>
          <w:i/>
          <w:noProof/>
          <w:sz w:val="20"/>
          <w:u w:val="single"/>
        </w:rPr>
      </w:pPr>
      <w:r>
        <w:rPr>
          <w:i/>
          <w:noProof/>
          <w:sz w:val="20"/>
        </w:rPr>
        <w:t>Να προσδιοριστούν η συχνότητα και οι όροι των διατάξεων αυτών.</w:t>
      </w:r>
    </w:p>
    <w:p>
      <w:pPr>
        <w:pStyle w:val="Text1"/>
        <w:pBdr>
          <w:top w:val="single" w:sz="4" w:space="1" w:color="auto"/>
          <w:left w:val="single" w:sz="4" w:space="4" w:color="auto"/>
          <w:bottom w:val="single" w:sz="4" w:space="1" w:color="auto"/>
          <w:right w:val="single" w:sz="4" w:space="4" w:color="auto"/>
        </w:pBdr>
        <w:rPr>
          <w:noProof/>
        </w:rPr>
      </w:pPr>
      <w:r>
        <w:rPr>
          <w:noProof/>
        </w:rPr>
        <w:t>Ο κανονισμός ορίζει την περιοδικότητα και τους όρους για τον σχεδιασμό, την υποβολή εκθέσεων και την παρακολούθηση από τα κράτη μέλη και την Επιτροπή. Απαιτείται εξωτερική τεχνική υποστήριξη από ανάδοχο για τα καθήκοντα παρακολούθησης της Επιτροπής. Περαιτέρω, ο σχεδιασμός προβλέπει τη δημιουργία νέου εργαλείου επικοινωνίας, συμπεριλαμβανομένης διαδικτυακής πλατφόρμας και δημόσιου ιστοτόπου για την ανταλλαγή πληροφοριών και βέλτιστων πρακτικών και την κοινοποίησή τους στο ευρύ κοινό.</w:t>
      </w:r>
    </w:p>
    <w:p>
      <w:pPr>
        <w:pStyle w:val="ManualHeading2"/>
        <w:rPr>
          <w:bCs/>
          <w:noProof/>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Κίνδυνος/-οι που έχει/-ουν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Καθυστέρηση εκπλήρωσης των υποχρεώσεων σχεδιασμού και υποβολής εκθέσεων από τα κράτη μέλη. Για αυτόν τον λόγο επίσης, θα δημιουργηθεί διαδικτυακή βάση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κίνδυνοι που συνδέονται με τη λειτουργία της διαδικτυακής πλατφόρμας αφορούν κυρίως προβλήματα πληροφορικής, όπως την ενδεχόμενη βλάβη και θέματα εμπιστευτικών πληροφοριών. </w:t>
      </w:r>
    </w:p>
    <w:p>
      <w:pPr>
        <w:pStyle w:val="ManualHeading3"/>
        <w:rPr>
          <w:bCs/>
          <w:noProof/>
          <w:szCs w:val="24"/>
        </w:rPr>
      </w:pPr>
      <w:r>
        <w:rPr>
          <w:noProof/>
        </w:rPr>
        <w:t>2.2.2.</w:t>
      </w:r>
      <w:r>
        <w:rPr>
          <w:noProof/>
        </w:rPr>
        <w:tab/>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προβλεπόμενες μέθοδοι ελέγχου καθορίζονται στον δημοσιονομικό κανονισμό και τους κανόνες εφαρμογής του. </w:t>
      </w: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Α/A</w:t>
      </w:r>
    </w:p>
    <w:p>
      <w:pPr>
        <w:pStyle w:val="ManualHeading2"/>
        <w:rPr>
          <w:bCs/>
          <w:noProof/>
          <w:szCs w:val="24"/>
        </w:rPr>
      </w:pPr>
      <w:r>
        <w:rPr>
          <w:noProof/>
        </w:rPr>
        <w:t>2.3.</w:t>
      </w:r>
      <w:r>
        <w:rPr>
          <w:noProof/>
        </w:rPr>
        <w:tab/>
        <w:t xml:space="preserve">Μέτρα για την πρόληψη περιπτώσεων απάτης και παρατυπιών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Δεν έχουν προβλεφθεί ειδικά μέτρα πέραν της εφαρμογής του δημοσιονομικού κανονισμού.</w:t>
      </w:r>
    </w:p>
    <w:p>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bCs/>
          <w:noProof/>
          <w:szCs w:val="24"/>
        </w:rPr>
      </w:pPr>
      <w:r>
        <w:rPr>
          <w:noProof/>
        </w:rPr>
        <w:t>3.1.</w:t>
      </w:r>
      <w:r>
        <w:rPr>
          <w:noProof/>
        </w:rPr>
        <w:tab/>
        <w:t xml:space="preserve">Τομέας/-είς του πολυετούς δημοσιονομικού πλαισίου και γραμμή/-ές δαπανών του προϋπολογισμού που επηρεάζονται </w:t>
      </w:r>
    </w:p>
    <w:p>
      <w:pPr>
        <w:pStyle w:val="ListBullet1"/>
        <w:numPr>
          <w:ilvl w:val="0"/>
          <w:numId w:val="14"/>
        </w:numPr>
        <w:rPr>
          <w:noProof/>
        </w:rPr>
      </w:pPr>
      <w:r>
        <w:rPr>
          <w:noProof/>
        </w:rPr>
        <w:t xml:space="preserve">Υφιστάμενες γραμμές του προϋπολογισμού </w:t>
      </w:r>
    </w:p>
    <w:p>
      <w:pPr>
        <w:pStyle w:val="Text1"/>
        <w:rPr>
          <w:noProof/>
        </w:rPr>
      </w:pPr>
      <w:r>
        <w:rPr>
          <w:noProof/>
          <w:u w:val="single"/>
        </w:rPr>
        <w:t>Κατά σειρά</w:t>
      </w:r>
      <w:r>
        <w:rPr>
          <w:noProof/>
        </w:rPr>
        <w:t xml:space="preserve"> τομέων του πολυετούς δημοσιονομικού πλαισίου και των γραμμών του προϋπολογισμού.</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προϋπολογισμού</w:t>
            </w:r>
          </w:p>
        </w:tc>
        <w:tc>
          <w:tcPr>
            <w:tcW w:w="1080" w:type="dxa"/>
            <w:vAlign w:val="center"/>
          </w:tcPr>
          <w:p>
            <w:pPr>
              <w:spacing w:before="60" w:after="60"/>
              <w:jc w:val="center"/>
              <w:rPr>
                <w:noProof/>
              </w:rPr>
            </w:pPr>
            <w:r>
              <w:rPr>
                <w:noProof/>
                <w:sz w:val="18"/>
              </w:rPr>
              <w:t>Είδος</w:t>
            </w:r>
            <w:r>
              <w:rPr>
                <w:noProof/>
                <w:sz w:val="22"/>
              </w:rPr>
              <w:br/>
            </w:r>
            <w:r>
              <w:rPr>
                <w:noProof/>
                <w:sz w:val="18"/>
              </w:rPr>
              <w:t>δαπάνης</w:t>
            </w:r>
          </w:p>
        </w:tc>
        <w:tc>
          <w:tcPr>
            <w:tcW w:w="4556" w:type="dxa"/>
            <w:gridSpan w:val="4"/>
            <w:vAlign w:val="center"/>
          </w:tcPr>
          <w:p>
            <w:pPr>
              <w:spacing w:before="60" w:after="60"/>
              <w:jc w:val="center"/>
              <w:rPr>
                <w:noProof/>
              </w:rPr>
            </w:pPr>
            <w:r>
              <w:rPr>
                <w:noProof/>
                <w:sz w:val="20"/>
              </w:rPr>
              <w:t xml:space="preserve">Συνεισφορά </w:t>
            </w:r>
          </w:p>
        </w:tc>
      </w:tr>
      <w:tr>
        <w:tc>
          <w:tcPr>
            <w:tcW w:w="1080" w:type="dxa"/>
            <w:vMerge/>
            <w:vAlign w:val="center"/>
          </w:tcPr>
          <w:p>
            <w:pPr>
              <w:rPr>
                <w:noProof/>
                <w:sz w:val="18"/>
              </w:rPr>
            </w:pPr>
          </w:p>
        </w:tc>
        <w:tc>
          <w:tcPr>
            <w:tcW w:w="3960" w:type="dxa"/>
            <w:vAlign w:val="center"/>
          </w:tcPr>
          <w:p>
            <w:pPr>
              <w:rPr>
                <w:noProof/>
              </w:rPr>
            </w:pPr>
            <w:r>
              <w:rPr>
                <w:noProof/>
                <w:sz w:val="20"/>
              </w:rPr>
              <w:t xml:space="preserve">Αριθμός </w:t>
            </w:r>
            <w:r>
              <w:rPr>
                <w:noProof/>
                <w:sz w:val="22"/>
              </w:rPr>
              <w:br/>
            </w:r>
            <w:r>
              <w:rPr>
                <w:noProof/>
                <w:sz w:val="20"/>
              </w:rPr>
              <w:t>[Τομέας………………………...…………]</w:t>
            </w:r>
          </w:p>
        </w:tc>
        <w:tc>
          <w:tcPr>
            <w:tcW w:w="1080" w:type="dxa"/>
            <w:vAlign w:val="center"/>
          </w:tcPr>
          <w:p>
            <w:pPr>
              <w:jc w:val="center"/>
              <w:rPr>
                <w:noProof/>
              </w:rPr>
            </w:pPr>
            <w:r>
              <w:rPr>
                <w:noProof/>
                <w:sz w:val="18"/>
              </w:rPr>
              <w:t>ΔΠ/ΜΔΠ</w:t>
            </w:r>
            <w:r>
              <w:rPr>
                <w:rStyle w:val="FootnoteReference"/>
                <w:noProof/>
                <w:sz w:val="18"/>
              </w:rPr>
              <w:footnoteReference w:id="59"/>
            </w:r>
            <w:r>
              <w:rPr>
                <w:noProof/>
              </w:rPr>
              <w:t>.</w:t>
            </w:r>
          </w:p>
        </w:tc>
        <w:tc>
          <w:tcPr>
            <w:tcW w:w="956" w:type="dxa"/>
            <w:vAlign w:val="center"/>
          </w:tcPr>
          <w:p>
            <w:pPr>
              <w:jc w:val="center"/>
              <w:rPr>
                <w:noProof/>
              </w:rPr>
            </w:pPr>
            <w:r>
              <w:rPr>
                <w:noProof/>
                <w:sz w:val="18"/>
              </w:rPr>
              <w:t>χωρών ΕΖΕΣ</w:t>
            </w:r>
            <w:r>
              <w:rPr>
                <w:rStyle w:val="FootnoteReference"/>
                <w:noProof/>
                <w:sz w:val="18"/>
              </w:rPr>
              <w:footnoteReference w:id="60"/>
            </w:r>
          </w:p>
        </w:tc>
        <w:tc>
          <w:tcPr>
            <w:tcW w:w="1080" w:type="dxa"/>
            <w:vAlign w:val="center"/>
          </w:tcPr>
          <w:p>
            <w:pPr>
              <w:jc w:val="center"/>
              <w:rPr>
                <w:noProof/>
                <w:sz w:val="18"/>
              </w:rPr>
            </w:pPr>
            <w:r>
              <w:rPr>
                <w:noProof/>
                <w:sz w:val="18"/>
              </w:rPr>
              <w:t>υποψηφίων για ένταξη χωρών</w:t>
            </w:r>
            <w:r>
              <w:rPr>
                <w:rStyle w:val="FootnoteReference"/>
                <w:noProof/>
                <w:sz w:val="18"/>
              </w:rPr>
              <w:footnoteReference w:id="61"/>
            </w:r>
          </w:p>
        </w:tc>
        <w:tc>
          <w:tcPr>
            <w:tcW w:w="956" w:type="dxa"/>
            <w:vAlign w:val="center"/>
          </w:tcPr>
          <w:p>
            <w:pPr>
              <w:jc w:val="center"/>
              <w:rPr>
                <w:noProof/>
                <w:sz w:val="18"/>
              </w:rPr>
            </w:pPr>
            <w:r>
              <w:rPr>
                <w:noProof/>
                <w:sz w:val="18"/>
              </w:rPr>
              <w:t>τρίτων χωρών</w:t>
            </w:r>
          </w:p>
        </w:tc>
        <w:tc>
          <w:tcPr>
            <w:tcW w:w="1564" w:type="dxa"/>
            <w:vAlign w:val="center"/>
          </w:tcPr>
          <w:p>
            <w:pPr>
              <w:jc w:val="center"/>
              <w:rPr>
                <w:noProof/>
                <w:sz w:val="16"/>
                <w:szCs w:val="16"/>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Μείωση των εκπομπών αερίων θερμοκηπίου (άμβλυνση)</w:t>
            </w:r>
          </w:p>
          <w:p>
            <w:pPr>
              <w:spacing w:after="60"/>
              <w:rPr>
                <w:noProof/>
              </w:rPr>
            </w:pPr>
          </w:p>
        </w:tc>
        <w:tc>
          <w:tcPr>
            <w:tcW w:w="1080" w:type="dxa"/>
          </w:tcPr>
          <w:p>
            <w:pPr>
              <w:rPr>
                <w:noProof/>
              </w:rPr>
            </w:pPr>
            <w:r>
              <w:rPr>
                <w:noProof/>
              </w:rPr>
              <w:t>ΔΠ</w:t>
            </w:r>
          </w:p>
        </w:tc>
        <w:tc>
          <w:tcPr>
            <w:tcW w:w="956" w:type="dxa"/>
          </w:tcPr>
          <w:p>
            <w:pPr>
              <w:rPr>
                <w:noProof/>
              </w:rPr>
            </w:pPr>
            <w:r>
              <w:rPr>
                <w:noProof/>
              </w:rPr>
              <w:t>ΟΧΙ</w:t>
            </w:r>
          </w:p>
        </w:tc>
        <w:tc>
          <w:tcPr>
            <w:tcW w:w="1080" w:type="dxa"/>
          </w:tcPr>
          <w:p>
            <w:pPr>
              <w:rPr>
                <w:noProof/>
              </w:rPr>
            </w:pPr>
            <w:r>
              <w:rPr>
                <w:noProof/>
              </w:rPr>
              <w:t>ΟΧΙ</w:t>
            </w:r>
          </w:p>
        </w:tc>
        <w:tc>
          <w:tcPr>
            <w:tcW w:w="956" w:type="dxa"/>
          </w:tcPr>
          <w:p>
            <w:pPr>
              <w:rPr>
                <w:noProof/>
              </w:rPr>
            </w:pPr>
            <w:r>
              <w:rPr>
                <w:noProof/>
              </w:rPr>
              <w:t>ΟΧΙ</w:t>
            </w:r>
          </w:p>
        </w:tc>
        <w:tc>
          <w:tcPr>
            <w:tcW w:w="1564" w:type="dxa"/>
          </w:tcPr>
          <w:p>
            <w:pPr>
              <w:rPr>
                <w:noProof/>
              </w:rPr>
            </w:pPr>
            <w:r>
              <w:rPr>
                <w:noProof/>
              </w:rPr>
              <w:t>ΟΧΙ</w:t>
            </w:r>
          </w:p>
        </w:tc>
      </w:tr>
      <w:tr>
        <w:tc>
          <w:tcPr>
            <w:tcW w:w="1080" w:type="dxa"/>
            <w:vAlign w:val="center"/>
          </w:tcPr>
          <w:p>
            <w:pPr>
              <w:jc w:val="center"/>
              <w:rPr>
                <w:noProof/>
              </w:rPr>
            </w:pPr>
          </w:p>
        </w:tc>
        <w:tc>
          <w:tcPr>
            <w:tcW w:w="3960" w:type="dxa"/>
            <w:vAlign w:val="center"/>
          </w:tcPr>
          <w:p>
            <w:pPr>
              <w:spacing w:before="60"/>
              <w:rPr>
                <w:noProof/>
              </w:rPr>
            </w:pPr>
            <w:r>
              <w:rPr>
                <w:noProof/>
              </w:rPr>
              <w:t>[07 02 06 : Ευρωπαϊκό Οργανισμό Περιβάλλοντος…]</w:t>
            </w:r>
          </w:p>
        </w:tc>
        <w:tc>
          <w:tcPr>
            <w:tcW w:w="1080" w:type="dxa"/>
          </w:tcPr>
          <w:p>
            <w:pPr>
              <w:rPr>
                <w:noProof/>
              </w:rPr>
            </w:pPr>
            <w:r>
              <w:rPr>
                <w:noProof/>
              </w:rPr>
              <w:t>ΜΔΠ</w:t>
            </w:r>
          </w:p>
        </w:tc>
        <w:tc>
          <w:tcPr>
            <w:tcW w:w="956" w:type="dxa"/>
          </w:tcPr>
          <w:p>
            <w:pPr>
              <w:rPr>
                <w:noProof/>
              </w:rPr>
            </w:pPr>
            <w:r>
              <w:rPr>
                <w:noProof/>
              </w:rPr>
              <w:t>ΝΑΙ</w:t>
            </w:r>
          </w:p>
        </w:tc>
        <w:tc>
          <w:tcPr>
            <w:tcW w:w="1080" w:type="dxa"/>
          </w:tcPr>
          <w:p>
            <w:pPr>
              <w:rPr>
                <w:noProof/>
              </w:rPr>
            </w:pPr>
            <w:r>
              <w:rPr>
                <w:noProof/>
              </w:rPr>
              <w:t>ΝΑΙ</w:t>
            </w:r>
          </w:p>
        </w:tc>
        <w:tc>
          <w:tcPr>
            <w:tcW w:w="956" w:type="dxa"/>
          </w:tcPr>
          <w:p>
            <w:pPr>
              <w:rPr>
                <w:noProof/>
              </w:rPr>
            </w:pPr>
            <w:r>
              <w:rPr>
                <w:noProof/>
              </w:rPr>
              <w:t>ΝΑΙ</w:t>
            </w:r>
          </w:p>
        </w:tc>
        <w:tc>
          <w:tcPr>
            <w:tcW w:w="1564" w:type="dxa"/>
          </w:tcPr>
          <w:p>
            <w:pPr>
              <w:rPr>
                <w:noProof/>
              </w:rPr>
            </w:pPr>
            <w:r>
              <w:rPr>
                <w:noProof/>
              </w:rPr>
              <w:t>ΟΧΙ</w:t>
            </w:r>
          </w:p>
        </w:tc>
      </w:tr>
    </w:tbl>
    <w:p>
      <w:pPr>
        <w:pStyle w:val="ListBullet1"/>
        <w:numPr>
          <w:ilvl w:val="0"/>
          <w:numId w:val="14"/>
        </w:numPr>
        <w:rPr>
          <w:noProof/>
        </w:rPr>
      </w:pPr>
      <w:r>
        <w:rPr>
          <w:noProof/>
        </w:rPr>
        <w:t xml:space="preserve">Νέες γραμμές του προϋπολογισμού των οποίων έχει ζητηθεί η δημιουργία </w:t>
      </w:r>
    </w:p>
    <w:p>
      <w:pPr>
        <w:pStyle w:val="Text1"/>
        <w:rPr>
          <w:i/>
          <w:noProof/>
          <w:sz w:val="20"/>
        </w:rPr>
      </w:pPr>
      <w:r>
        <w:rPr>
          <w:noProof/>
          <w:u w:val="single"/>
        </w:rPr>
        <w:t>Κατά σειρά</w:t>
      </w:r>
      <w:r>
        <w:rPr>
          <w:noProof/>
        </w:rPr>
        <w:t xml:space="preserve"> τομέων του πολυετούς δημοσιονομικού πλαισίου και των γραμμών του προϋπολογισμού.</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προϋπολογισμού</w:t>
            </w:r>
          </w:p>
        </w:tc>
        <w:tc>
          <w:tcPr>
            <w:tcW w:w="1080" w:type="dxa"/>
            <w:vAlign w:val="center"/>
          </w:tcPr>
          <w:p>
            <w:pPr>
              <w:spacing w:before="60" w:after="60"/>
              <w:jc w:val="center"/>
              <w:rPr>
                <w:noProof/>
              </w:rPr>
            </w:pPr>
            <w:r>
              <w:rPr>
                <w:noProof/>
                <w:sz w:val="18"/>
              </w:rPr>
              <w:t>Είδος</w:t>
            </w:r>
            <w:r>
              <w:rPr>
                <w:noProof/>
                <w:sz w:val="22"/>
              </w:rPr>
              <w:br/>
            </w:r>
            <w:r>
              <w:rPr>
                <w:noProof/>
                <w:sz w:val="18"/>
              </w:rPr>
              <w:t>δαπάνης</w:t>
            </w:r>
          </w:p>
        </w:tc>
        <w:tc>
          <w:tcPr>
            <w:tcW w:w="4556" w:type="dxa"/>
            <w:gridSpan w:val="4"/>
            <w:vAlign w:val="center"/>
          </w:tcPr>
          <w:p>
            <w:pPr>
              <w:spacing w:before="60" w:after="60"/>
              <w:jc w:val="center"/>
              <w:rPr>
                <w:noProof/>
              </w:rPr>
            </w:pPr>
            <w:r>
              <w:rPr>
                <w:noProof/>
                <w:sz w:val="20"/>
              </w:rPr>
              <w:t xml:space="preserve">Συνεισφορά </w:t>
            </w:r>
          </w:p>
        </w:tc>
      </w:tr>
      <w:tr>
        <w:tc>
          <w:tcPr>
            <w:tcW w:w="1080" w:type="dxa"/>
            <w:vMerge/>
            <w:vAlign w:val="center"/>
          </w:tcPr>
          <w:p>
            <w:pPr>
              <w:rPr>
                <w:noProof/>
              </w:rPr>
            </w:pPr>
          </w:p>
        </w:tc>
        <w:tc>
          <w:tcPr>
            <w:tcW w:w="3960" w:type="dxa"/>
            <w:vAlign w:val="center"/>
          </w:tcPr>
          <w:p>
            <w:pPr>
              <w:rPr>
                <w:noProof/>
              </w:rPr>
            </w:pPr>
            <w:r>
              <w:rPr>
                <w:noProof/>
                <w:sz w:val="20"/>
              </w:rPr>
              <w:t xml:space="preserve">Αριθμός </w:t>
            </w:r>
            <w:r>
              <w:rPr>
                <w:noProof/>
                <w:sz w:val="22"/>
              </w:rPr>
              <w:br/>
            </w:r>
            <w:r>
              <w:rPr>
                <w:noProof/>
                <w:sz w:val="20"/>
              </w:rPr>
              <w:t>[Τομέας………………………………………]</w:t>
            </w:r>
          </w:p>
        </w:tc>
        <w:tc>
          <w:tcPr>
            <w:tcW w:w="1080" w:type="dxa"/>
            <w:vAlign w:val="center"/>
          </w:tcPr>
          <w:p>
            <w:pPr>
              <w:jc w:val="center"/>
              <w:rPr>
                <w:noProof/>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564"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ΝΑΙ/ΟΧΙ</w:t>
            </w:r>
          </w:p>
        </w:tc>
        <w:tc>
          <w:tcPr>
            <w:tcW w:w="1080" w:type="dxa"/>
            <w:vAlign w:val="center"/>
          </w:tcPr>
          <w:p>
            <w:pPr>
              <w:jc w:val="center"/>
              <w:rPr>
                <w:noProof/>
                <w:color w:val="0000FF"/>
                <w:sz w:val="18"/>
              </w:rPr>
            </w:pPr>
            <w:r>
              <w:rPr>
                <w:noProof/>
              </w:rPr>
              <w:t>ΝΑΙ/ΟΧΙ</w:t>
            </w:r>
          </w:p>
        </w:tc>
        <w:tc>
          <w:tcPr>
            <w:tcW w:w="956" w:type="dxa"/>
            <w:vAlign w:val="center"/>
          </w:tcPr>
          <w:p>
            <w:pPr>
              <w:jc w:val="center"/>
              <w:rPr>
                <w:noProof/>
                <w:color w:val="0000FF"/>
                <w:sz w:val="18"/>
              </w:rPr>
            </w:pPr>
            <w:r>
              <w:rPr>
                <w:noProof/>
              </w:rPr>
              <w:t>ΝΑΙ/ΟΧΙ</w:t>
            </w:r>
          </w:p>
        </w:tc>
        <w:tc>
          <w:tcPr>
            <w:tcW w:w="1564" w:type="dxa"/>
            <w:vAlign w:val="center"/>
          </w:tcPr>
          <w:p>
            <w:pPr>
              <w:jc w:val="center"/>
              <w:rPr>
                <w:noProof/>
              </w:rPr>
            </w:pPr>
            <w:r>
              <w:rPr>
                <w:noProof/>
              </w:rPr>
              <w:t>ΝΑΙ/ΟΧΙ</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rPr>
          <w:noProof/>
        </w:rPr>
        <w:t>3.2.</w:t>
      </w:r>
      <w:r>
        <w:rPr>
          <w:noProof/>
        </w:rPr>
        <w:tab/>
        <w:t xml:space="preserve">Εκτιμώμενες επιπτώσεις στις δαπάνες </w:t>
      </w:r>
    </w:p>
    <w:p>
      <w:pPr>
        <w:pStyle w:val="ManualHeading3"/>
        <w:rPr>
          <w:bCs/>
          <w:noProof/>
          <w:szCs w:val="24"/>
        </w:rPr>
      </w:pPr>
      <w:r>
        <w:rPr>
          <w:noProof/>
        </w:rPr>
        <w:t>3.2.1.</w:t>
      </w:r>
      <w:r>
        <w:rPr>
          <w:noProof/>
        </w:rPr>
        <w:tab/>
        <w:t xml:space="preserve">Συνοπτική παρουσίαση των εκτιμώμενων επιπτώσεων στις δαπάνες </w:t>
      </w:r>
    </w:p>
    <w:p>
      <w:pPr>
        <w:jc w:val="right"/>
        <w:rPr>
          <w:noProof/>
          <w:sz w:val="20"/>
        </w:rPr>
      </w:pPr>
      <w:r>
        <w:rPr>
          <w:noProof/>
          <w:sz w:val="20"/>
        </w:rPr>
        <w:t>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Αριθμός</w:t>
            </w:r>
          </w:p>
          <w:p>
            <w:pPr>
              <w:spacing w:before="60" w:after="60"/>
              <w:jc w:val="center"/>
              <w:rPr>
                <w:noProof/>
              </w:rPr>
            </w:pPr>
            <w:r>
              <w:rPr>
                <w:noProof/>
                <w:sz w:val="22"/>
              </w:rPr>
              <w:t>2</w:t>
            </w:r>
          </w:p>
        </w:tc>
        <w:tc>
          <w:tcPr>
            <w:tcW w:w="7817" w:type="dxa"/>
            <w:vAlign w:val="center"/>
          </w:tcPr>
          <w:p>
            <w:pPr>
              <w:spacing w:before="60" w:after="60"/>
              <w:rPr>
                <w:noProof/>
              </w:rPr>
            </w:pPr>
            <w:r>
              <w:rPr>
                <w:noProof/>
              </w:rPr>
              <w:t>[Βιώσιμη ανάπτυξη: Φυσικοί πόροι.</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[Φορέας]: </w:t>
            </w:r>
            <w:r>
              <w:rPr>
                <w:noProof/>
              </w:rPr>
              <w:t>&lt;ΕΟΠ – Ευρωπαϊκός Οργανισμός Περιβάλλοντος…….&gt;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Έτος</w:t>
            </w:r>
            <w:r>
              <w:rPr>
                <w:noProof/>
                <w:sz w:val="22"/>
              </w:rPr>
              <w:br/>
            </w:r>
            <w:r>
              <w:rPr>
                <w:b/>
                <w:noProof/>
                <w:sz w:val="20"/>
              </w:rPr>
              <w:t>2018</w:t>
            </w: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ΣΥΝΟΛΟ</w:t>
            </w:r>
          </w:p>
          <w:p>
            <w:pPr>
              <w:jc w:val="center"/>
              <w:rPr>
                <w:b/>
                <w:noProof/>
                <w:sz w:val="20"/>
              </w:rPr>
            </w:pPr>
            <w:r>
              <w:rPr>
                <w:b/>
                <w:noProof/>
                <w:sz w:val="20"/>
              </w:rPr>
              <w:t xml:space="preserve"> 2018-2020</w:t>
            </w:r>
          </w:p>
        </w:tc>
      </w:tr>
      <w:tr>
        <w:trPr>
          <w:trHeight w:val="277"/>
        </w:trPr>
        <w:tc>
          <w:tcPr>
            <w:tcW w:w="3960" w:type="dxa"/>
            <w:vMerge w:val="restart"/>
            <w:vAlign w:val="center"/>
          </w:tcPr>
          <w:p>
            <w:pPr>
              <w:rPr>
                <w:noProof/>
              </w:rPr>
            </w:pPr>
            <w:r>
              <w:rPr>
                <w:noProof/>
                <w:sz w:val="20"/>
              </w:rPr>
              <w:t>Τίτλος 1:</w:t>
            </w:r>
            <w:r>
              <w:rPr>
                <w:noProof/>
              </w:rPr>
              <w:t xml:space="preserve"> </w:t>
            </w:r>
            <w:r>
              <w:rPr>
                <w:noProof/>
                <w:sz w:val="20"/>
              </w:rPr>
              <w:t>Δαπάνες προσωπικού</w:t>
            </w:r>
          </w:p>
        </w:tc>
        <w:tc>
          <w:tcPr>
            <w:tcW w:w="1362" w:type="dxa"/>
            <w:vAlign w:val="center"/>
          </w:tcPr>
          <w:p>
            <w:pPr>
              <w:spacing w:before="20" w:after="20"/>
              <w:rPr>
                <w:noProof/>
              </w:rPr>
            </w:pPr>
            <w:r>
              <w:rPr>
                <w:noProof/>
                <w:sz w:val="18"/>
              </w:rPr>
              <w:t>Αναλήψεις υποχρεώσεων</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Πληρωμές</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Τίτλος 2:</w:t>
            </w:r>
            <w:r>
              <w:rPr>
                <w:noProof/>
              </w:rPr>
              <w:t xml:space="preserve"> </w:t>
            </w:r>
            <w:r>
              <w:rPr>
                <w:noProof/>
                <w:sz w:val="20"/>
              </w:rPr>
              <w:t>Δαπάνες υποδομών και λειτουργίας</w:t>
            </w:r>
          </w:p>
        </w:tc>
        <w:tc>
          <w:tcPr>
            <w:tcW w:w="1362" w:type="dxa"/>
            <w:vAlign w:val="center"/>
          </w:tcPr>
          <w:p>
            <w:pPr>
              <w:spacing w:before="20" w:after="20"/>
              <w:rPr>
                <w:noProof/>
                <w:sz w:val="18"/>
              </w:rPr>
            </w:pPr>
            <w:r>
              <w:rPr>
                <w:noProof/>
                <w:sz w:val="18"/>
              </w:rPr>
              <w:t>Αναλήψεις υποχρεώσεων</w:t>
            </w:r>
          </w:p>
        </w:tc>
        <w:tc>
          <w:tcPr>
            <w:tcW w:w="732" w:type="dxa"/>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Πληρωμές</w:t>
            </w:r>
          </w:p>
        </w:tc>
        <w:tc>
          <w:tcPr>
            <w:tcW w:w="732" w:type="dxa"/>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Τίτλος 3:</w:t>
            </w:r>
            <w:r>
              <w:rPr>
                <w:noProof/>
              </w:rPr>
              <w:t xml:space="preserve"> </w:t>
            </w:r>
            <w:r>
              <w:rPr>
                <w:noProof/>
                <w:sz w:val="20"/>
              </w:rPr>
              <w:t>Επιχειρησιακές δαπάνες</w:t>
            </w:r>
          </w:p>
        </w:tc>
        <w:tc>
          <w:tcPr>
            <w:tcW w:w="1362" w:type="dxa"/>
            <w:vAlign w:val="center"/>
          </w:tcPr>
          <w:p>
            <w:pPr>
              <w:spacing w:before="40" w:after="40"/>
              <w:rPr>
                <w:noProof/>
                <w:sz w:val="18"/>
              </w:rPr>
            </w:pPr>
            <w:r>
              <w:rPr>
                <w:noProof/>
                <w:sz w:val="18"/>
              </w:rPr>
              <w:t>Αναλήψεις υποχρεώσεων</w:t>
            </w:r>
          </w:p>
        </w:tc>
        <w:tc>
          <w:tcPr>
            <w:tcW w:w="732" w:type="dxa"/>
            <w:vAlign w:val="center"/>
          </w:tcPr>
          <w:p>
            <w:pPr>
              <w:spacing w:before="40" w:after="40"/>
              <w:jc w:val="center"/>
              <w:rPr>
                <w:noProof/>
                <w:sz w:val="14"/>
              </w:rPr>
            </w:pPr>
            <w:r>
              <w:rPr>
                <w:noProof/>
                <w:sz w:val="14"/>
              </w:rPr>
              <w:t>(3α)</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Πληρωμές</w:t>
            </w:r>
          </w:p>
        </w:tc>
        <w:tc>
          <w:tcPr>
            <w:tcW w:w="732" w:type="dxa"/>
            <w:vAlign w:val="center"/>
          </w:tcPr>
          <w:p>
            <w:pPr>
              <w:spacing w:before="40" w:after="40"/>
              <w:jc w:val="center"/>
              <w:rPr>
                <w:noProof/>
                <w:sz w:val="14"/>
              </w:rPr>
            </w:pPr>
            <w:r>
              <w:rPr>
                <w:noProof/>
                <w:sz w:val="14"/>
              </w:rPr>
              <w:t>(3β)</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ΣΥΝΟΛΟ πιστώσεων</w:t>
            </w:r>
            <w:r>
              <w:rPr>
                <w:noProof/>
                <w:sz w:val="22"/>
              </w:rPr>
              <w:br/>
            </w:r>
            <w:r>
              <w:rPr>
                <w:b/>
                <w:noProof/>
                <w:sz w:val="22"/>
              </w:rPr>
              <w:t xml:space="preserve">για [φορέας] </w:t>
            </w:r>
            <w:r>
              <w:rPr>
                <w:noProof/>
              </w:rPr>
              <w:t>&lt;ΕΟΠ…….&gt;</w:t>
            </w:r>
          </w:p>
        </w:tc>
        <w:tc>
          <w:tcPr>
            <w:tcW w:w="1362" w:type="dxa"/>
            <w:vAlign w:val="center"/>
          </w:tcPr>
          <w:p>
            <w:pPr>
              <w:rPr>
                <w:noProof/>
                <w:sz w:val="18"/>
              </w:rPr>
            </w:pPr>
            <w:r>
              <w:rPr>
                <w:noProof/>
                <w:sz w:val="18"/>
              </w:rPr>
              <w:t>Αναλήψεις υποχρεώσεων</w:t>
            </w:r>
          </w:p>
        </w:tc>
        <w:tc>
          <w:tcPr>
            <w:tcW w:w="732" w:type="dxa"/>
            <w:vAlign w:val="center"/>
          </w:tcPr>
          <w:p>
            <w:pPr>
              <w:jc w:val="center"/>
              <w:rPr>
                <w:noProof/>
                <w:sz w:val="14"/>
              </w:rPr>
            </w:pPr>
            <w:r>
              <w:rPr>
                <w:noProof/>
                <w:sz w:val="14"/>
              </w:rPr>
              <w:t>=1+1α +3α</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Πληρωμές</w:t>
            </w:r>
          </w:p>
        </w:tc>
        <w:tc>
          <w:tcPr>
            <w:tcW w:w="732" w:type="dxa"/>
            <w:vAlign w:val="center"/>
          </w:tcPr>
          <w:p>
            <w:pPr>
              <w:jc w:val="center"/>
              <w:rPr>
                <w:noProof/>
                <w:sz w:val="14"/>
              </w:rPr>
            </w:pPr>
            <w:r>
              <w:rPr>
                <w:noProof/>
                <w:sz w:val="14"/>
              </w:rPr>
              <w:t>=2+2α</w:t>
            </w:r>
          </w:p>
          <w:p>
            <w:pPr>
              <w:jc w:val="center"/>
              <w:rPr>
                <w:noProof/>
                <w:sz w:val="14"/>
              </w:rPr>
            </w:pPr>
            <w:r>
              <w:rPr>
                <w:noProof/>
                <w:sz w:val="14"/>
              </w:rPr>
              <w:t>+3b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bCs/>
          <w:noProof/>
          <w:szCs w:val="24"/>
        </w:rPr>
      </w:pPr>
      <w:r>
        <w:rPr>
          <w:noProof/>
        </w:rPr>
        <w:t>3.2.2.</w:t>
      </w:r>
      <w:r>
        <w:rPr>
          <w:noProof/>
        </w:rPr>
        <w:tab/>
        <w:t xml:space="preserve">Εκτιμώμενες επιπτώσεις στις πιστώσεις [του οργανισμού] </w:t>
      </w:r>
    </w:p>
    <w:p>
      <w:pPr>
        <w:pStyle w:val="ListDash1"/>
        <w:numPr>
          <w:ilvl w:val="0"/>
          <w:numId w:val="15"/>
        </w:numPr>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numPr>
          <w:ilvl w:val="0"/>
          <w:numId w:val="15"/>
        </w:numPr>
        <w:rPr>
          <w:noProof/>
        </w:rPr>
      </w:pPr>
      <w:r>
        <w:rPr>
          <w:noProof/>
        </w:rPr>
        <w:sym w:font="Wingdings" w:char="F0A8"/>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Να προσδιοριστούν οι στόχοι και τα αποτελέσματα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Έτος</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Έτος</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Έτος</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Έτος</w:t>
            </w:r>
            <w:r>
              <w:rPr>
                <w:noProof/>
                <w:sz w:val="22"/>
              </w:rPr>
              <w:br/>
            </w:r>
            <w:r>
              <w:rPr>
                <w:b/>
                <w:noProof/>
                <w:sz w:val="18"/>
              </w:rPr>
              <w:t>2020</w:t>
            </w:r>
          </w:p>
        </w:tc>
        <w:tc>
          <w:tcPr>
            <w:tcW w:w="3600" w:type="dxa"/>
            <w:gridSpan w:val="6"/>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620" w:type="dxa"/>
            <w:gridSpan w:val="2"/>
            <w:tcBorders>
              <w:left w:val="nil"/>
              <w:bottom w:val="nil"/>
            </w:tcBorders>
            <w:vAlign w:val="center"/>
          </w:tcPr>
          <w:p>
            <w:pPr>
              <w:ind w:right="-29"/>
              <w:jc w:val="center"/>
              <w:rPr>
                <w:noProof/>
                <w:sz w:val="18"/>
              </w:rPr>
            </w:pPr>
            <w:r>
              <w:rPr>
                <w:b/>
                <w:noProof/>
                <w:sz w:val="18"/>
              </w:rPr>
              <w:t>ΣΥΝΟΛΟ</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ΑΠΟΤΕΛΕΣΜΑΤΑ</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Είδος</w:t>
            </w:r>
            <w:r>
              <w:rPr>
                <w:rStyle w:val="FootnoteReference"/>
                <w:noProof/>
                <w:sz w:val="18"/>
              </w:rPr>
              <w:footnoteReference w:id="63"/>
            </w:r>
          </w:p>
        </w:tc>
        <w:tc>
          <w:tcPr>
            <w:tcW w:w="701" w:type="dxa"/>
            <w:vAlign w:val="center"/>
          </w:tcPr>
          <w:p>
            <w:pPr>
              <w:jc w:val="center"/>
              <w:rPr>
                <w:noProof/>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rPr>
            </w:pPr>
            <w:r>
              <w:rPr>
                <w:noProof/>
                <w:sz w:val="18"/>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648" w:type="dxa"/>
            <w:tcBorders>
              <w:left w:val="dashSmallGap" w:sz="4" w:space="0" w:color="auto"/>
            </w:tcBorders>
            <w:shd w:val="pct10" w:color="auto" w:fill="auto"/>
            <w:vAlign w:val="center"/>
          </w:tcPr>
          <w:p>
            <w:pPr>
              <w:jc w:val="center"/>
              <w:rPr>
                <w:noProof/>
                <w:sz w:val="18"/>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rPr>
            </w:pPr>
            <w:r>
              <w:rPr>
                <w:noProof/>
                <w:sz w:val="18"/>
              </w:rPr>
              <w:t>Συνολικός αριθμός</w:t>
            </w:r>
          </w:p>
        </w:tc>
        <w:tc>
          <w:tcPr>
            <w:tcW w:w="900" w:type="dxa"/>
            <w:tcBorders>
              <w:left w:val="dashSmallGap" w:sz="4" w:space="0" w:color="auto"/>
            </w:tcBorders>
            <w:shd w:val="pct10" w:color="auto" w:fill="auto"/>
            <w:vAlign w:val="center"/>
          </w:tcPr>
          <w:p>
            <w:pPr>
              <w:jc w:val="center"/>
              <w:rPr>
                <w:noProof/>
              </w:rPr>
            </w:pPr>
            <w:r>
              <w:rPr>
                <w:noProof/>
                <w:sz w:val="18"/>
              </w:rPr>
              <w:t>Συνολικό κόστος</w:t>
            </w:r>
          </w:p>
        </w:tc>
      </w:tr>
      <w:tr>
        <w:trPr>
          <w:jc w:val="center"/>
        </w:trPr>
        <w:tc>
          <w:tcPr>
            <w:tcW w:w="2844" w:type="dxa"/>
            <w:gridSpan w:val="3"/>
            <w:vAlign w:val="center"/>
          </w:tcPr>
          <w:p>
            <w:pPr>
              <w:spacing w:before="60" w:after="60"/>
              <w:ind w:right="-29"/>
              <w:jc w:val="center"/>
              <w:rPr>
                <w:noProof/>
                <w:sz w:val="18"/>
              </w:rPr>
            </w:pPr>
            <w:r>
              <w:rPr>
                <w:noProof/>
                <w:sz w:val="18"/>
              </w:rPr>
              <w:t>ΕΙΔΙΚΟΣ ΣΤΟΧΟΣ αριθ.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Δημιουργία πλατφόρμας υποβολής εκθέσεων</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852"/>
          <w:jc w:val="center"/>
        </w:trPr>
        <w:tc>
          <w:tcPr>
            <w:tcW w:w="1423" w:type="dxa"/>
          </w:tcPr>
          <w:p>
            <w:pPr>
              <w:ind w:right="-29"/>
              <w:jc w:val="center"/>
              <w:rPr>
                <w:noProof/>
                <w:sz w:val="18"/>
              </w:rPr>
            </w:pPr>
            <w:r>
              <w:rPr>
                <w:noProof/>
                <w:sz w:val="18"/>
              </w:rPr>
              <w:t>Συνδρομή ελέγχου/διαχείρισης ποιότητας - υποβολή εκθέσεων κρατών μελών</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t>- Αποτέλεσμα</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Αποτέλεσμα</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t>3.2.3.</w:t>
      </w:r>
      <w:r>
        <w:rPr>
          <w:noProof/>
        </w:rPr>
        <w:tab/>
        <w:t xml:space="preserve">Εκτιμώμενες επιπτώσεις στο ανθρώπινο δυναμικό του ΕΟΠ </w:t>
      </w:r>
    </w:p>
    <w:p>
      <w:pPr>
        <w:pStyle w:val="ManualHeading4"/>
        <w:rPr>
          <w:bCs/>
          <w:noProof/>
          <w:szCs w:val="24"/>
        </w:rPr>
      </w:pPr>
      <w:r>
        <w:rPr>
          <w:noProof/>
        </w:rPr>
        <w:t>3.2.3.1.</w:t>
      </w:r>
      <w:r>
        <w:rPr>
          <w:noProof/>
        </w:rPr>
        <w:tab/>
        <w:t xml:space="preserve">Συνοπτική παρουσίαση </w:t>
      </w:r>
    </w:p>
    <w:p>
      <w:pPr>
        <w:pStyle w:val="ListDash1"/>
        <w:numPr>
          <w:ilvl w:val="0"/>
          <w:numId w:val="15"/>
        </w:numPr>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numPr>
          <w:ilvl w:val="0"/>
          <w:numId w:val="15"/>
        </w:numPr>
        <w:rPr>
          <w:noProof/>
        </w:rPr>
      </w:pPr>
      <w:r>
        <w:rPr>
          <w:noProof/>
        </w:rPr>
        <w:t>x</w:t>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p>
      <w:pPr>
        <w:rPr>
          <w:noProof/>
        </w:rPr>
      </w:pPr>
    </w:p>
    <w:p>
      <w:pPr>
        <w:rPr>
          <w:noProof/>
          <w:u w:val="single"/>
        </w:rPr>
      </w:pPr>
      <w:r>
        <w:rPr>
          <w:noProof/>
          <w:u w:val="single"/>
        </w:rPr>
        <w:t>Εκτιμώμενες επιπτώσεις στο προσωπικό (επιπλέον προσωπικό) – εξωτερικό προσωπικό</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Συμβασιούχοι υπάλληλοι</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Να εγγραφούν όσα έτη απαιτούνται, ώστε να εμφαίνεται η διάρκεια των επιπτώσεων (βλ. σημείο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Ομάδα καθηκόντων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ΠΑΥ</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ΠΑΥ</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ΠΑΥ</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Απεριόριστη χρονική διάρκεια</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Ομάδα καθηκόντων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Ομάδα καθηκόντων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Ομάδα καθηκόντων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Σύνολο</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ΠΑΥ</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ΠΑΥ</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ΠΑΥ</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Πέραν και πλέον των 9 έκτακτων υπαλλήλων (4 AD + 5 AST) που επί του παρόντος εργάζονται στον ΕΟΧ σε καθήκοντα που σχετίζονται με τον παρόντα κανονισμό, ο Οργανισμός χρειάζεται 3 επιπλέον συμβασιούχους υπαλλήλους, ώστε να καλύψει τα ακόλουθα:</w:t>
      </w:r>
    </w:p>
    <w:p>
      <w:pPr>
        <w:pStyle w:val="Bullet1"/>
        <w:numPr>
          <w:ilvl w:val="0"/>
          <w:numId w:val="16"/>
        </w:numPr>
        <w:rPr>
          <w:noProof/>
        </w:rPr>
      </w:pPr>
      <w:r>
        <w:rPr>
          <w:noProof/>
        </w:rPr>
        <w:t>τον μετριασμό της κλιματικής αλλαγής και ανανεώσιμες ενέργειες, που περιλαμβάνει αξιολόγηση των πληροφοριών σχετικά με τις προβλέψεις/την πορεία, τις πολιτικές και τα μέτρα και τη βιομάζα σε εθνικό επίπεδο,</w:t>
      </w:r>
    </w:p>
    <w:p>
      <w:pPr>
        <w:pStyle w:val="Bullet1"/>
        <w:rPr>
          <w:noProof/>
        </w:rPr>
      </w:pPr>
      <w:r>
        <w:rPr>
          <w:noProof/>
        </w:rPr>
        <w:t xml:space="preserve">τον μετριασμό της κλιματικής αλλαγής και ενεργειακή απόδοση, που περιλαμβάνει αξιολόγηση των πληροφοριών σχετικά με τις προβλέψεις/την πορεία, τις πολιτικές και τα μέτρα σε εθνικό επίπεδο και </w:t>
      </w:r>
    </w:p>
    <w:p>
      <w:pPr>
        <w:pStyle w:val="Bullet1"/>
        <w:rPr>
          <w:noProof/>
        </w:rPr>
      </w:pPr>
      <w:r>
        <w:rPr>
          <w:noProof/>
        </w:rPr>
        <w:t>την υποβολή ενοποιημένων εκθέσεων για το κλίμα και την ενέργεια·</w:t>
      </w:r>
    </w:p>
    <w:p>
      <w:pPr>
        <w:pStyle w:val="Bullet1"/>
        <w:rPr>
          <w:noProof/>
        </w:rPr>
      </w:pPr>
      <w:r>
        <w:rPr>
          <w:noProof/>
        </w:rPr>
        <w:t>Τη δημιουργία, τη διαχείριση και τη διατήρηση νέων υποδομών ροής υποβολής εκθέσεων και ηλεκτρονικής υποβολής εκθέσεων αναφορικά με τις ροές δεδομένων υπό την αρμοδιότητά του.</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 xml:space="preserve">Η περιγραφή του υπολογισμού του κόστους των θέσεων που εκφράζονται σε μονάδες πλήρους απασχόλησης πρέπει να περιλαμβάνεται στο τμήμα 3 του παραρτήματος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rPr>
          <w:noProof/>
        </w:rPr>
        <w:t>3.2.4.</w:t>
      </w:r>
      <w:r>
        <w:rPr>
          <w:noProof/>
        </w:rPr>
        <w:tab/>
        <w:t xml:space="preserve">Συμβατότητα με το ισχύον πολυετές δημοσιονομικό πλαίσιο </w:t>
      </w:r>
    </w:p>
    <w:p>
      <w:pPr>
        <w:pStyle w:val="ListDash1"/>
        <w:numPr>
          <w:ilvl w:val="0"/>
          <w:numId w:val="15"/>
        </w:numPr>
        <w:rPr>
          <w:noProof/>
        </w:rPr>
      </w:pPr>
      <w:r>
        <w:rPr>
          <w:noProof/>
        </w:rPr>
        <w:t>x</w:t>
      </w:r>
      <w:r>
        <w:rPr>
          <w:noProof/>
        </w:rPr>
        <w:tab/>
        <w:t>Η πρόταση/πρωτοβουλία είναι συμβατή με τον ισχύον πολυετές δημοσιονομικό πλαίσιο.</w:t>
      </w:r>
    </w:p>
    <w:p>
      <w:pPr>
        <w:pStyle w:val="ListDash1"/>
        <w:numPr>
          <w:ilvl w:val="0"/>
          <w:numId w:val="15"/>
        </w:numPr>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15"/>
        </w:numPr>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γραμμές του προϋπολογισμού και τα αντίστοιχα ποσά.</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Συμμετοχή τρίτων μερών στη χρηματοδότηση </w:t>
      </w:r>
    </w:p>
    <w:p>
      <w:pPr>
        <w:pStyle w:val="ListDash1"/>
        <w:numPr>
          <w:ilvl w:val="0"/>
          <w:numId w:val="15"/>
        </w:numPr>
        <w:rPr>
          <w:noProof/>
        </w:rPr>
      </w:pPr>
      <w:r>
        <w:rPr>
          <w:noProof/>
        </w:rPr>
        <w:t xml:space="preserve">Η πρόταση/πρωτοβουλία δεν προβλέπει συγχρηματοδότηση από τρίτα μέρη. </w:t>
      </w:r>
    </w:p>
    <w:p>
      <w:pPr>
        <w:pStyle w:val="ListDash1"/>
        <w:numPr>
          <w:ilvl w:val="0"/>
          <w:numId w:val="15"/>
        </w:numPr>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Σε εκατ. EUR (με 3 δεκαδικά ψηφία)</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Εκτιμώμενες επιπτώσεις στα έσοδα </w:t>
      </w:r>
    </w:p>
    <w:p>
      <w:pPr>
        <w:pStyle w:val="ListDash1"/>
        <w:numPr>
          <w:ilvl w:val="0"/>
          <w:numId w:val="15"/>
        </w:numPr>
        <w:rPr>
          <w:noProof/>
        </w:rPr>
      </w:pPr>
      <w:r>
        <w:rPr>
          <w:noProof/>
        </w:rPr>
        <w:sym w:font="Wingdings" w:char="F0A8"/>
      </w:r>
      <w:r>
        <w:rPr>
          <w:noProof/>
        </w:rPr>
        <w:tab/>
        <w:t>Η πρόταση/πρωτοβουλία δεν έχει δημοσιονομικές επιπτώσεις στα έσοδα.</w:t>
      </w:r>
    </w:p>
    <w:p>
      <w:pPr>
        <w:pStyle w:val="ListDash1"/>
        <w:numPr>
          <w:ilvl w:val="0"/>
          <w:numId w:val="15"/>
        </w:numPr>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numPr>
          <w:ilvl w:val="2"/>
          <w:numId w:val="13"/>
        </w:numPr>
        <w:rPr>
          <w:noProof/>
        </w:rPr>
      </w:pPr>
      <w:r>
        <w:rPr>
          <w:noProof/>
        </w:rPr>
        <w:sym w:font="Wingdings" w:char="F0A8"/>
      </w:r>
      <w:r>
        <w:rPr>
          <w:noProof/>
        </w:rPr>
        <w:tab/>
        <w:t xml:space="preserve">στους ιδίους πόρους </w:t>
      </w:r>
    </w:p>
    <w:p>
      <w:pPr>
        <w:pStyle w:val="ListNumberLevel3"/>
        <w:numPr>
          <w:ilvl w:val="2"/>
          <w:numId w:val="13"/>
        </w:numPr>
        <w:rPr>
          <w:noProof/>
        </w:rPr>
      </w:pPr>
      <w:r>
        <w:rPr>
          <w:noProof/>
        </w:rPr>
        <w:sym w:font="Wingdings" w:char="F0A8"/>
      </w:r>
      <w:r>
        <w:rPr>
          <w:noProof/>
        </w:rPr>
        <w:tab/>
        <w:t xml:space="preserve">στα διάφορα έσοδα </w:t>
      </w:r>
    </w:p>
    <w:p>
      <w:pPr>
        <w:jc w:val="right"/>
        <w:rPr>
          <w:i/>
          <w:noProof/>
          <w:sz w:val="20"/>
        </w:rPr>
      </w:pPr>
      <w:r>
        <w:rPr>
          <w:noProof/>
          <w:sz w:val="20"/>
        </w:rPr>
        <w:t>Σε εκατ. EUR (με 3 δεκαδικά ψηφία)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Για τα διάφορα έσοδα «για ειδικό προορισμό», να προσδιοριστεί/-ούν η/οι γραμμή/-ές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64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Υιοθετήθηκαν κατά την 21</w:t>
      </w:r>
      <w:r>
        <w:rPr>
          <w:vertAlign w:val="superscript"/>
        </w:rPr>
        <w:t>η</w:t>
      </w:r>
      <w:r>
        <w:t xml:space="preserve"> διάσκεψη των μερών της σύμβασης-πλαισίου των Ηνωμένων Εθνών για την κλιματική αλλαγή (UNFCCC) τον Δεκέμβριο του 2015.</w:t>
      </w:r>
    </w:p>
  </w:footnote>
  <w:footnote w:id="3">
    <w:p>
      <w:pPr>
        <w:pStyle w:val="FootnoteText"/>
      </w:pPr>
      <w:r>
        <w:rPr>
          <w:rStyle w:val="FootnoteReference"/>
        </w:rPr>
        <w:footnoteRef/>
      </w:r>
      <w:r>
        <w:tab/>
        <w:t>Με βάση κλιματικό στόχο εγχώριας μείωσης των εκπομπών αερίων του θερμοκηπίου κατά τουλάχιστον 40 % έως το 2030 σε σχέση με το 1990 σε όλους τους τομείς της οικονομίας, δεσμευτικό στόχο σε επίπεδο ΕΕ για μερίδιο ενέργειας από ανανεώσιμες πηγές που καταναλώνεται στην ΕΕ τουλάχιστον 27 % έως το 2030, ενδεικτικό στόχο σε επίπεδο ΕΕ για τη βελτίωση της ενεργειακής απόδοσης κατά τουλάχιστον 27 % έως το 2030 και στόχο επίτευξης ποσοστού διασυνδέσεων 15 %. Στα συμπεράσματα δηλώνεται, επίσης, ότι οι στόχοι ενεργειακής απόδοσης θα αναθεωρηθούν το 2020 και θα ανέλθουν σε ποσοστό ύψους 30 % σε επίπεδο ΕΕ.</w:t>
      </w:r>
    </w:p>
  </w:footnote>
  <w:footnote w:id="4">
    <w:p>
      <w:pPr>
        <w:pStyle w:val="FootnoteText"/>
      </w:pPr>
      <w:r>
        <w:rPr>
          <w:rStyle w:val="FootnoteReference"/>
        </w:rPr>
        <w:footnoteRef/>
      </w:r>
      <w:r>
        <w:tab/>
        <w:t>Ανακοίνωση της Επιτροπής της 22</w:t>
      </w:r>
      <w:r>
        <w:rPr>
          <w:vertAlign w:val="superscript"/>
        </w:rPr>
        <w:t>ας</w:t>
      </w:r>
      <w:r>
        <w:t xml:space="preserve"> Ιανουαρίου 2014 με τίτλο «Πλαίσιο πολιτικής για το κλίμα και την ενέργεια κατά την περίοδο από το 2020 έως το 2030» (COM/2014/015 final).</w:t>
      </w:r>
    </w:p>
  </w:footnote>
  <w:footnote w:id="5">
    <w:p>
      <w:pPr>
        <w:pStyle w:val="FootnoteText"/>
      </w:pPr>
      <w:r>
        <w:rPr>
          <w:rStyle w:val="FootnoteReference"/>
        </w:rPr>
        <w:footnoteRef/>
      </w:r>
      <w:r>
        <w:tab/>
        <w:t>Συνοπτική παρουσίαση της εκτίμησης επιπτώσεων που συνοδεύει το έγγραφο Πρόταση κανονισμού του Ευρωπαϊκού Κοινοβουλίου και του Συμβουλίου σχετικά με τη διακυβέρνηση της Ενεργειακής Ένωσης, που τροποποιεί την οδηγία 94/22/ΕΚ, την οδηγία 98/70/ΕΚ, την οδηγία 2009/31/ΕΚ, τον κανονισμό (ΕΚ) αριθ. 663/2009, τον κανονισμό (ΕΚ) αριθ. 715/2009, την οδηγία 2009/73/ΕΚ, την οδηγία 2009/119/ΕΚ του Συμβουλίου, την οδηγία 2010/31/ΕΕ, την οδηγία 2012/27/ΕΕ, την οδηγία 2013/30/ΕΕ και την οδηγία (ΕΕ) 2015/652 του Συμβουλίου και την κατάργηση του κανονισμού (ΕΕ) αριθ. 525/2013 (έγγραφο εργασίας των υπηρεσιών της Επιτροπής).</w:t>
      </w:r>
    </w:p>
  </w:footnote>
  <w:footnote w:id="6">
    <w:p>
      <w:pPr>
        <w:pStyle w:val="FootnoteText"/>
      </w:pPr>
      <w:r>
        <w:rPr>
          <w:rStyle w:val="FootnoteReference"/>
        </w:rPr>
        <w:footnoteRef/>
      </w:r>
      <w:r>
        <w:tab/>
        <w:t>Γνωμοδότηση της επιτροπής ρυθμιστικού ελέγχου που συνοδεύει το έγγραφο Πρόταση κανονισμού του Ευρωπαϊκού Κοινοβουλίου και του Συμβουλίου σχετικά με τη διακυβέρνηση της Ενεργειακής Ένωσης, που τροποποιεί την οδηγία 94/22/ΕΚ, την οδηγία 98/70/ΕΚ, την οδηγία 2009/31/ΕΚ, τον κανονισμό 663/2009/ΕΚ, τον κανονισμό 715/2009/ΕΚ, την οδηγία 2009/73/ΕΚ, την οδηγία 2009/119/ΕΚ του Συμβουλίου, την οδηγία 2010/31/ΕΕ, την οδηγία 2012/27/ΕΕ, την οδηγία 2013/30/ΕΕ και την οδηγία (ΕΕ) 2015/652 του Συμβουλίου και την κατάργηση του κανονισμού (ΕΕ) αριθ. 525/2013.</w:t>
      </w:r>
    </w:p>
  </w:footnote>
  <w:footnote w:id="7">
    <w:p>
      <w:pPr>
        <w:pStyle w:val="FootnoteText"/>
      </w:pPr>
      <w:r>
        <w:rPr>
          <w:rStyle w:val="FootnoteReference"/>
        </w:rPr>
        <w:footnoteRef/>
      </w:r>
      <w:r>
        <w:tab/>
        <w:t>Η διαβούλευση εστίασε στα εξής θέματα: i) πώς οι υφιστάμενες υποχρεώσεις σχεδιασμού και υποβολής εκθέσεων στον τομέα της ενέργειας και του κλίματος μπορούν να εξορθολογιστούν, ώστε να εξυπηρετούν καλύτερα τους στόχους της Ενεργειακής Ένωσης, ii) ποιος είναι ο καλύτερος τρόπος να προχωρήσουμε στην ανάπτυξη ενοποιημένων εργαλείων σχεδιασμού, υποβολής εκθέσεων και παρακολούθησης και iii) πώς να καθορίσουμε διαδικασία διακυβέρνησης που θα ευνοεί την επίτευξη των στόχων της Ενεργειακής Ένωσης.</w:t>
      </w:r>
    </w:p>
  </w:footnote>
  <w:footnote w:id="8">
    <w:p>
      <w:pPr>
        <w:pStyle w:val="FootnoteText"/>
      </w:pPr>
      <w:r>
        <w:rPr>
          <w:rStyle w:val="FootnoteReference"/>
        </w:rPr>
        <w:footnoteRef/>
      </w:r>
      <w:r>
        <w:tab/>
        <w:t>Βέλγιο, Κύπρος, Τσεχική Δημοκρατία, Δανία, Εσθονία, Φινλανδία, Γερμανία, Ουγγαρία, Λετονία, Λιθουανία, Μάλτα, Κάτω Χώρες, Πολωνία, Σλοβακία και Σουηδία.</w:t>
      </w:r>
    </w:p>
  </w:footnote>
  <w:footnote w:id="9">
    <w:p>
      <w:pPr>
        <w:pStyle w:val="FootnoteText"/>
      </w:pPr>
      <w:r>
        <w:rPr>
          <w:rStyle w:val="FootnoteReference"/>
        </w:rPr>
        <w:footnoteRef/>
      </w:r>
      <w:r>
        <w:tab/>
        <w:t>Δηλ. τα εθνικά σχέδια δράσης για τις ανανεώσιμες πηγές ενέργειας (NREAP), τα εθνικά σχέδια δράσης για την ενεργειακή απόδοση (NEEAP) και οι απαιτήσεις κλιματικού σχεδιασμού.</w:t>
      </w:r>
    </w:p>
  </w:footnote>
  <w:footnote w:id="10">
    <w:p>
      <w:pPr>
        <w:pStyle w:val="FootnoteText"/>
        <w:rPr>
          <w:lang w:val="pt-PT"/>
        </w:rPr>
      </w:pPr>
      <w:r>
        <w:rPr>
          <w:rStyle w:val="FootnoteReference"/>
        </w:rPr>
        <w:footnoteRef/>
      </w:r>
      <w:r>
        <w:rPr>
          <w:lang w:val="pt-PT"/>
        </w:rPr>
        <w:tab/>
        <w:t xml:space="preserve">COM/2016/0482 final - 2016/0231 (COD). </w:t>
      </w:r>
    </w:p>
  </w:footnote>
  <w:footnote w:id="11">
    <w:p>
      <w:pPr>
        <w:pStyle w:val="FootnoteText"/>
        <w:rPr>
          <w:lang w:val="pt-PT"/>
        </w:rPr>
      </w:pPr>
      <w:r>
        <w:rPr>
          <w:rStyle w:val="FootnoteReference"/>
        </w:rPr>
        <w:footnoteRef/>
      </w:r>
      <w:r>
        <w:rPr>
          <w:lang w:val="pt-PT"/>
        </w:rPr>
        <w:tab/>
        <w:t>COM/2016/0479 final - 2016/0230 (COD).</w:t>
      </w:r>
    </w:p>
  </w:footnote>
  <w:footnote w:id="12">
    <w:p>
      <w:pPr>
        <w:pStyle w:val="FootnoteText"/>
      </w:pPr>
      <w:r>
        <w:rPr>
          <w:rStyle w:val="FootnoteReference"/>
        </w:rPr>
        <w:footnoteRef/>
      </w:r>
      <w:r>
        <w:tab/>
        <w:t>ΕΕ C της , σ. .</w:t>
      </w:r>
    </w:p>
  </w:footnote>
  <w:footnote w:id="13">
    <w:p>
      <w:pPr>
        <w:pStyle w:val="FootnoteText"/>
      </w:pPr>
      <w:r>
        <w:rPr>
          <w:rStyle w:val="FootnoteReference"/>
        </w:rPr>
        <w:footnoteRef/>
      </w:r>
      <w:r>
        <w:tab/>
        <w:t>ΕΕ C της , σ. .</w:t>
      </w:r>
    </w:p>
  </w:footnote>
  <w:footnote w:id="14">
    <w:p>
      <w:pPr>
        <w:pStyle w:val="FootnoteText"/>
      </w:pPr>
      <w:r>
        <w:rPr>
          <w:rStyle w:val="FootnoteReference"/>
        </w:rPr>
        <w:footnoteRef/>
      </w:r>
      <w:r>
        <w:tab/>
        <w:t>Απόφαση (ΕΕ) 2016/1841 του Συμβουλίου, της 5</w:t>
      </w:r>
      <w:r>
        <w:rPr>
          <w:vertAlign w:val="superscript"/>
        </w:rPr>
        <w:t>ης</w:t>
      </w:r>
      <w:r>
        <w:t xml:space="preserve"> Οκτωβρίου 2016, για τη σύναψη, εξ ονόματος της Ευρωπαϊκής Ένωσης, της συμφωνίας του Παρισιού που εγκρίθηκε στο πλαίσιο της σύμβασης-πλαισίου των Ηνωμένων Εθνών για την κλιματική αλλαγή, ΕΕ L 282 της 19.10.2016, σ. 1.</w:t>
      </w:r>
    </w:p>
  </w:footnote>
  <w:footnote w:id="15">
    <w:p>
      <w:pPr>
        <w:pStyle w:val="FootnoteText"/>
      </w:pPr>
      <w:r>
        <w:rPr>
          <w:rStyle w:val="FootnoteReference"/>
        </w:rPr>
        <w:footnoteRef/>
      </w:r>
      <w:r>
        <w:tab/>
        <w:t>Συμπεράσματα του Ευρωπαϊκού Συμβουλίου της 23</w:t>
      </w:r>
      <w:r>
        <w:rPr>
          <w:vertAlign w:val="superscript"/>
        </w:rPr>
        <w:t>ης</w:t>
      </w:r>
      <w:r>
        <w:t>-24</w:t>
      </w:r>
      <w:r>
        <w:rPr>
          <w:vertAlign w:val="superscript"/>
        </w:rPr>
        <w:t>ης</w:t>
      </w:r>
      <w:r>
        <w:t xml:space="preserve"> Οκτωβρίου 2014 (EUCO 169/14).</w:t>
      </w:r>
    </w:p>
  </w:footnote>
  <w:footnote w:id="16">
    <w:p>
      <w:pPr>
        <w:pStyle w:val="FootnoteText"/>
      </w:pPr>
      <w:r>
        <w:rPr>
          <w:rStyle w:val="FootnoteReference"/>
        </w:rPr>
        <w:footnoteRef/>
      </w:r>
      <w:r>
        <w:tab/>
        <w:t>Ανακοίνωση σχετικά με την κατάσταση της Ενεργειακής Ένωσης 2015</w:t>
      </w:r>
      <w:r>
        <w:rPr>
          <w:b/>
        </w:rPr>
        <w:t xml:space="preserve"> </w:t>
      </w:r>
      <w:r>
        <w:t xml:space="preserve">της 18.11.2015, COM(2015)572 final, </w:t>
      </w:r>
    </w:p>
  </w:footnote>
  <w:footnote w:id="17">
    <w:p>
      <w:pPr>
        <w:pStyle w:val="FootnoteText"/>
      </w:pPr>
      <w:r>
        <w:rPr>
          <w:rStyle w:val="FootnoteReference"/>
        </w:rPr>
        <w:footnoteRef/>
      </w:r>
      <w:r>
        <w:tab/>
        <w:t>Συμπεράσματα του Συμβουλίου της 26</w:t>
      </w:r>
      <w:r>
        <w:rPr>
          <w:vertAlign w:val="superscript"/>
        </w:rPr>
        <w:t>ης</w:t>
      </w:r>
      <w:r>
        <w:t xml:space="preserve"> Νοεμβρίου 2015 (14632/15).</w:t>
      </w:r>
    </w:p>
  </w:footnote>
  <w:footnote w:id="18">
    <w:p>
      <w:pPr>
        <w:pStyle w:val="FootnoteText"/>
      </w:pPr>
      <w:r>
        <w:rPr>
          <w:rStyle w:val="FootnoteReference"/>
        </w:rPr>
        <w:footnoteRef/>
      </w:r>
      <w:r>
        <w:tab/>
        <w:t>Ψήφισμα του Ευρωπαϊκού Κοινοβουλίου της 15</w:t>
      </w:r>
      <w:r>
        <w:rPr>
          <w:vertAlign w:val="superscript"/>
        </w:rPr>
        <w:t>ης</w:t>
      </w:r>
      <w:r>
        <w:t xml:space="preserve"> Δεκεμβρίου 2015 για την «Πορεία προς μια Ευρωπαϊκή Ενεργειακή Ένωση» [2015/2113(INI)].</w:t>
      </w:r>
    </w:p>
  </w:footnote>
  <w:footnote w:id="19">
    <w:p>
      <w:pPr>
        <w:pStyle w:val="FootnoteText"/>
      </w:pPr>
      <w:r>
        <w:rPr>
          <w:rStyle w:val="FootnoteReference"/>
        </w:rPr>
        <w:footnoteRef/>
      </w:r>
      <w:r>
        <w:tab/>
        <w:t>Οδηγία 2001/81/ΕΚ του Ευρωπαϊκού Κοινοβουλίου και του Συμβουλίου σχετικά με εθνικά ανώτατα όρια εκπομπών για ορισμένους ατμοσφαιρικούς ρύπους (ΕΕ L 309 της 27.11.2001, σ. 22).</w:t>
      </w:r>
    </w:p>
  </w:footnote>
  <w:footnote w:id="20">
    <w:p>
      <w:pPr>
        <w:pStyle w:val="FootnoteText"/>
        <w:rPr>
          <w:bCs/>
        </w:rPr>
      </w:pPr>
      <w:r>
        <w:rPr>
          <w:rStyle w:val="FootnoteReference"/>
        </w:rPr>
        <w:footnoteRef/>
      </w:r>
      <w:r>
        <w:tab/>
        <w:t>Κανονισμός (ΕΕ) αριθ. 525/2013 του Ευρωπαϊκού Κοινοβουλίου και του Συμβουλίου, της 21</w:t>
      </w:r>
      <w:r>
        <w:rPr>
          <w:vertAlign w:val="superscript"/>
        </w:rPr>
        <w:t>ης</w:t>
      </w:r>
      <w:r>
        <w:t xml:space="preserve"> Μαΐου 2013, σχετικά με μηχανισμό παρακολούθησης και υποβολής εκθέσεων για τις εκπομπές αερίων του θερμοκηπίου και άλλων πληροφοριών σε εθνικό και ενωσιακό επίπεδο που αφορούν την αλλαγή του κλίματος και την κατάργηση της απόφασης αριθ. 280/2004/ΕΚ (ΕΕ L 165 της 18.6.2013, σ. 13).</w:t>
      </w:r>
    </w:p>
  </w:footnote>
  <w:footnote w:id="21">
    <w:p>
      <w:pPr>
        <w:pStyle w:val="FootnoteText"/>
      </w:pPr>
      <w:r>
        <w:rPr>
          <w:rStyle w:val="FootnoteReference"/>
        </w:rPr>
        <w:footnoteRef/>
      </w:r>
      <w:r>
        <w:tab/>
        <w:t>Οδηγία 2003/87/ΕΚ του Ευρωπαϊκού Κοινοβουλίου και του Συμβουλίου, της 13</w:t>
      </w:r>
      <w:r>
        <w:rPr>
          <w:vertAlign w:val="superscript"/>
        </w:rPr>
        <w:t>ης</w:t>
      </w:r>
      <w:r>
        <w:t xml:space="preserve"> Οκτωβρίου 2003, σχετικά με τη θέσπιση συστήματος εμπορίας δικαιωμάτων εκπομπής αερίων θερμοκηπίου εντός της Κοινότητας (ΕΕ L 275 της 25.10.2003, σ. 32).</w:t>
      </w:r>
    </w:p>
  </w:footnote>
  <w:footnote w:id="22">
    <w:p>
      <w:pPr>
        <w:pStyle w:val="FootnoteText"/>
      </w:pPr>
      <w:r>
        <w:rPr>
          <w:rStyle w:val="FootnoteReference"/>
        </w:rPr>
        <w:footnoteRef/>
      </w:r>
      <w:r>
        <w:tab/>
        <w:t>Κανονισμός (ΕΚ) αριθ. 166/2006 του Ευρωπαϊκού Κοινοβουλίου και του Συμβουλίου, της 18</w:t>
      </w:r>
      <w:r>
        <w:rPr>
          <w:vertAlign w:val="superscript"/>
        </w:rPr>
        <w:t>ης</w:t>
      </w:r>
      <w:r>
        <w:t xml:space="preserve"> Ιανουαρίου 2006, για τη σύσταση ευρωπαϊκού μητρώου έκλυσης και μεταφοράς ρύπων (ΕΕ L 33 της 4.2.2006, σ. 1).</w:t>
      </w:r>
    </w:p>
  </w:footnote>
  <w:footnote w:id="23">
    <w:p>
      <w:pPr>
        <w:pStyle w:val="FootnoteText"/>
      </w:pPr>
      <w:r>
        <w:rPr>
          <w:rStyle w:val="FootnoteReference"/>
        </w:rPr>
        <w:footnoteRef/>
      </w:r>
      <w:r>
        <w:tab/>
        <w:t>Κανονισμός (ΕΚ) αριθ. 517/2014 του Ευρωπαϊκού Κοινοβουλίου και του Συμβουλίου, της 17</w:t>
      </w:r>
      <w:r>
        <w:rPr>
          <w:vertAlign w:val="superscript"/>
        </w:rPr>
        <w:t>ης</w:t>
      </w:r>
      <w:r>
        <w:t xml:space="preserve"> Μαΐου 2006, για ορισμένα φθοριούχα αέρια θερμοκηπίου (ΕΕ L 150 της 20.5.2014, σ. 195).</w:t>
      </w:r>
    </w:p>
  </w:footnote>
  <w:footnote w:id="24">
    <w:p>
      <w:pPr>
        <w:pStyle w:val="FootnoteText"/>
      </w:pPr>
      <w:r>
        <w:rPr>
          <w:rStyle w:val="FootnoteReference"/>
        </w:rPr>
        <w:footnoteRef/>
      </w:r>
      <w:r>
        <w:tab/>
        <w:t>Κανονισμός (ΕΚ) αριθ. 1099/2008 του Ευρωπαϊκού Κοινοβουλίου και του Συμβουλίου, της 22</w:t>
      </w:r>
      <w:r>
        <w:rPr>
          <w:vertAlign w:val="superscript"/>
        </w:rPr>
        <w:t>ας</w:t>
      </w:r>
      <w:r>
        <w:t xml:space="preserve"> Οκτωβρίου 2008, για τις στατιστικές ενέργειας (ΕΕ L 304 της 14.11.2008, σ. 1).</w:t>
      </w:r>
    </w:p>
  </w:footnote>
  <w:footnote w:id="25">
    <w:p>
      <w:pPr>
        <w:pStyle w:val="FootnoteText"/>
      </w:pPr>
      <w:r>
        <w:rPr>
          <w:rStyle w:val="FootnoteReference"/>
        </w:rPr>
        <w:footnoteRef/>
      </w:r>
      <w:r>
        <w:tab/>
        <w:t>Οδηγία 2001/42/ΕΚ του Ευρωπαϊκού Κοινοβουλίου και του Συμβουλίου, της 27</w:t>
      </w:r>
      <w:r>
        <w:rPr>
          <w:vertAlign w:val="superscript"/>
        </w:rPr>
        <w:t>ης</w:t>
      </w:r>
      <w:r>
        <w:t xml:space="preserve"> Ιουνίου 2001, σχετικά με την εκτίμηση των περιβαλλοντικών επιπτώσεων ορισμένων σχεδίων και προγραμμάτων (ΕΕ L 197 της 21.7.2001, σ. 30).</w:t>
      </w:r>
    </w:p>
  </w:footnote>
  <w:footnote w:id="26">
    <w:p>
      <w:pPr>
        <w:pStyle w:val="FootnoteText"/>
      </w:pPr>
      <w:r>
        <w:rPr>
          <w:rStyle w:val="FootnoteReference"/>
        </w:rPr>
        <w:footnoteRef/>
      </w:r>
      <w:r>
        <w:tab/>
        <w:t xml:space="preserve">EE L […] της […], σ. […].  </w:t>
      </w:r>
    </w:p>
  </w:footnote>
  <w:footnote w:id="27">
    <w:p>
      <w:pPr>
        <w:pStyle w:val="FootnoteText"/>
      </w:pPr>
      <w:r>
        <w:rPr>
          <w:rStyle w:val="FootnoteReference"/>
        </w:rPr>
        <w:footnoteRef/>
      </w:r>
      <w:r>
        <w:tab/>
        <w:t xml:space="preserve">EE L […] της […], σ. […].  </w:t>
      </w:r>
    </w:p>
  </w:footnote>
  <w:footnote w:id="28">
    <w:p>
      <w:pPr>
        <w:pStyle w:val="FootnoteText"/>
      </w:pPr>
      <w:r>
        <w:rPr>
          <w:rStyle w:val="FootnoteReference"/>
        </w:rPr>
        <w:footnoteRef/>
      </w:r>
      <w:r>
        <w:tab/>
        <w:t>Κανονισμός (ΕΚ) αριθ. 223/2009 του Ευρωπαϊκού Κοινοβουλίου και του Συμβουλίου, της 11ης Μαρτίου 2009, σχετικά με τις ευρωπαϊκές στατιστικές και την κατάργηση του κανονισμού (ΕΚ, Ευρατόμ) αριθ. 1101/2008 του Ευρωπαϊκού Κοινοβουλίου και του Συμβουλίου σχετικά με τη διαβίβαση στη Στατιστική Υπηρεσία των Ευρωπαϊκών Κοινοτήτων πληροφοριών που καλύπτονται από το στατιστικό απόρρητο, του κανονισμού (ΕΚ) αριθ. 322/97 του Συμβουλίου σχετικά με τις κοινοτικές στατιστικές και της απόφασης 89/382/ΕΟΚ, Ευρατόμ του Συμβουλίου για τη σύσταση επιτροπής του στατιστικού προγράμματος των Ευρωπαϊκών Κοινοτήτων (ΕΕ L 87 της 31.3.2009, σ. 164)</w:t>
      </w:r>
      <w:r>
        <w:rPr>
          <w:i/>
        </w:rPr>
        <w:t>.</w:t>
      </w:r>
      <w:r>
        <w:t xml:space="preserve"> </w:t>
      </w:r>
    </w:p>
  </w:footnote>
  <w:footnote w:id="29">
    <w:p>
      <w:pPr>
        <w:ind w:left="720" w:hanging="720"/>
        <w:rPr>
          <w:lang w:val="mt-MT"/>
        </w:rPr>
      </w:pPr>
      <w:r>
        <w:rPr>
          <w:rStyle w:val="FootnoteReference"/>
        </w:rPr>
        <w:footnoteRef/>
      </w:r>
      <w:r>
        <w:tab/>
        <w:t>Απόφαση αριθ. 406/2009/ΕΚ του Ευρωπαϊκού Κοινοβουλίου και του Συμβουλίου, της 23</w:t>
      </w:r>
      <w:r>
        <w:rPr>
          <w:vertAlign w:val="superscript"/>
        </w:rPr>
        <w:t>ης</w:t>
      </w:r>
      <w:r>
        <w:t xml:space="preserve"> Απριλίου 2009, περί των προσπαθειών των κρατών μελών να μειώσουν τις οικείες εκπομπές αερίων θερμοκηπίου, ώστε να τηρηθούν οι δεσμεύσεις της Κοινότητας για μείωση των εκπομπών αυτών μέχρι το 2020 (ΕΕ L 140 της 5.6.2009, σ. 136).</w:t>
      </w:r>
    </w:p>
  </w:footnote>
  <w:footnote w:id="30">
    <w:p>
      <w:pPr>
        <w:pStyle w:val="FootnoteText"/>
      </w:pPr>
      <w:r>
        <w:rPr>
          <w:rStyle w:val="FootnoteReference"/>
        </w:rPr>
        <w:footnoteRef/>
      </w:r>
      <w:r>
        <w:tab/>
        <w:t>Οδηγία 94/22/ΕΚ του Ευρωπαϊκού Κοινοβουλίου και του Συμβουλίου της 30</w:t>
      </w:r>
      <w:r>
        <w:rPr>
          <w:vertAlign w:val="superscript"/>
        </w:rPr>
        <w:t>ής</w:t>
      </w:r>
      <w:r>
        <w:t xml:space="preserve"> Μαΐου 1994 για τους όρους χορήγησης και χρήσης των αδειών αναζήτησης, εξερεύνησης και παραγωγής υδρογονανθράκων (ΕΕ L 164 της 30.6.1994, σ. 3).</w:t>
      </w:r>
    </w:p>
  </w:footnote>
  <w:footnote w:id="31">
    <w:p>
      <w:pPr>
        <w:pStyle w:val="FootnoteText"/>
      </w:pPr>
      <w:r>
        <w:rPr>
          <w:rStyle w:val="FootnoteReference"/>
        </w:rPr>
        <w:footnoteRef/>
      </w:r>
      <w:r>
        <w:tab/>
        <w:t>Οδηγία 98/70/ΕΚ του Ευρωπαϊκού Κοινοβουλίου και του Συμβουλίου, της 13</w:t>
      </w:r>
      <w:r>
        <w:rPr>
          <w:vertAlign w:val="superscript"/>
        </w:rPr>
        <w:t>ης</w:t>
      </w:r>
      <w:r>
        <w:t xml:space="preserve"> Οκτωβρίου 1998, σχετικά με την ποιότητα των καυσίμων βενζίνης και ντίζελ και την τροποποίηση της οδηγίας 93/12/ΕΟΚ του Συμβουλίου (ΕΕ L 350 της 28.12.1998, σ. 58).</w:t>
      </w:r>
    </w:p>
  </w:footnote>
  <w:footnote w:id="32">
    <w:p>
      <w:pPr>
        <w:pStyle w:val="FootnoteText"/>
      </w:pPr>
      <w:r>
        <w:rPr>
          <w:rStyle w:val="FootnoteReference"/>
        </w:rPr>
        <w:footnoteRef/>
      </w:r>
      <w:r>
        <w:tab/>
        <w:t>Οδηγία 2009/31/ΕΚ του Ευρωπαϊκού Κοινοβουλίου και του Συμβουλίου, της 23</w:t>
      </w:r>
      <w:r>
        <w:rPr>
          <w:vertAlign w:val="superscript"/>
        </w:rPr>
        <w:t>ης</w:t>
      </w:r>
      <w:r>
        <w:t xml:space="preserve"> Απριλίου 2009, σχετικά με την αποθήκευση διοξειδίου του άνθρακα σε γεωλογικούς σχηματισμούς και για την τροποποίηση της οδηγίας 85/337/ΕΟΚ του Συμβουλίου, των οδηγιών του Ευρωπαϊκού Κοινοβουλίου και του Συμβουλίου 2000/60/ΕΚ, 2001/80/ΕΚ, 2004/35/ΕΚ, 2006/12/ΕΚ και 2008/1/ΕΚ, και του κανονισμού (ΕΚ) αριθ. 1013/2006 (ΕΕ L 140 της 5.6.2009, σ. 114).</w:t>
      </w:r>
    </w:p>
  </w:footnote>
  <w:footnote w:id="33">
    <w:p>
      <w:pPr>
        <w:pStyle w:val="FootnoteText"/>
      </w:pPr>
      <w:r>
        <w:rPr>
          <w:rStyle w:val="FootnoteReference"/>
        </w:rPr>
        <w:footnoteRef/>
      </w:r>
      <w:r>
        <w:tab/>
        <w:t>Κανονισμός 663/2009/ΕΚ του Ευρωπαϊκού Κοινοβουλίου και του Συμβουλίου, της 13</w:t>
      </w:r>
      <w:r>
        <w:rPr>
          <w:vertAlign w:val="superscript"/>
        </w:rPr>
        <w:t>ης</w:t>
      </w:r>
      <w:r>
        <w:t xml:space="preserve"> Ιουλίου 2009, για τη θέσπιση προγράμματος ενίσχυσης της οικονομικής ανάκαμψης με τη χορήγηση κοινοτικής χρηματοδοτικής συνδρομής για έργα στον τομέα της ενέργειας (ΕΕ L 200 της 31.7.2009, σ. 31).</w:t>
      </w:r>
    </w:p>
  </w:footnote>
  <w:footnote w:id="34">
    <w:p>
      <w:pPr>
        <w:pStyle w:val="FootnoteText"/>
      </w:pPr>
      <w:r>
        <w:rPr>
          <w:rStyle w:val="FootnoteReference"/>
        </w:rPr>
        <w:footnoteRef/>
      </w:r>
      <w:r>
        <w:tab/>
        <w:t>Κανονισμός (ΕΚ) αριθ. 715/2009 του Ευρωπαϊκού Κοινοβουλίου και του Συμβουλίου, της 13</w:t>
      </w:r>
      <w:r>
        <w:rPr>
          <w:vertAlign w:val="superscript"/>
        </w:rPr>
        <w:t>ης</w:t>
      </w:r>
      <w:r>
        <w:t xml:space="preserve"> Ιουλίου 2009, σχετικά με τους όρους πρόσβασης στα δίκτυα μεταφοράς φυσικού αερίου και την κατάργηση του κανονισμού (ΕΚ) αριθ. 1775/2005 (ΕΕ L 211, 14.8.2009, σ. 36).</w:t>
      </w:r>
    </w:p>
  </w:footnote>
  <w:footnote w:id="35">
    <w:p>
      <w:pPr>
        <w:pStyle w:val="FootnoteText"/>
      </w:pPr>
      <w:r>
        <w:rPr>
          <w:rStyle w:val="FootnoteReference"/>
        </w:rPr>
        <w:footnoteRef/>
      </w:r>
      <w:r>
        <w:tab/>
        <w:t>Οδηγία 2009/73/ΕΚ του Ευρωπαϊκού Κοινοβουλίου και του Συμβουλίου, της 13ης Ιουλίου 2009, σχετικά με τους κοινούς κανόνες για την εσωτερική αγορά φυσικού αερίου και την κατάργηση της οδηγίας 2003/55/ΕΚ (ΕΕ L 211 της 14.8.2009, σ. 94).</w:t>
      </w:r>
    </w:p>
  </w:footnote>
  <w:footnote w:id="36">
    <w:p>
      <w:pPr>
        <w:pStyle w:val="FootnoteText"/>
        <w:rPr>
          <w:rStyle w:val="FootnoteReference"/>
        </w:rPr>
      </w:pPr>
      <w:r>
        <w:rPr>
          <w:rStyle w:val="FootnoteReference"/>
        </w:rPr>
        <w:footnoteRef/>
      </w:r>
      <w:r>
        <w:tab/>
        <w:t>Οδηγία 2009/119/ΕΚ του Συμβουλίου, της 14ης Σεπτεμβρίου 2009 , σχετικά με υποχρέωση διατήρησης ενός ελάχιστου επιπέδου αποθεμάτων αργού πετρελαίου ή/και προϊόντων πετρελαίου από τα κράτη μέλη (ΕΕ L 265 της 9.10.2009, σ. 9).</w:t>
      </w:r>
    </w:p>
  </w:footnote>
  <w:footnote w:id="37">
    <w:p>
      <w:pPr>
        <w:pStyle w:val="FootnoteText"/>
      </w:pPr>
      <w:r>
        <w:rPr>
          <w:rStyle w:val="FootnoteReference"/>
        </w:rPr>
        <w:footnoteRef/>
      </w:r>
      <w:r>
        <w:tab/>
        <w:t>Οδηγία 2010/31/ΕΕ του Ευρωπαϊκού Κοινοβουλίου και του Συμβουλίου, της 19</w:t>
      </w:r>
      <w:r>
        <w:rPr>
          <w:vertAlign w:val="superscript"/>
        </w:rPr>
        <w:t>ης</w:t>
      </w:r>
      <w:r>
        <w:t xml:space="preserve"> Μαΐου 2010, για την ενεργειακή απόδοση των κτιρίων (ΕΕ L 153 της 18.6.2010, σ. 13).</w:t>
      </w:r>
    </w:p>
  </w:footnote>
  <w:footnote w:id="38">
    <w:p>
      <w:pPr>
        <w:pStyle w:val="FootnoteText"/>
      </w:pPr>
      <w:r>
        <w:rPr>
          <w:rStyle w:val="FootnoteReference"/>
        </w:rPr>
        <w:footnoteRef/>
      </w:r>
      <w:r>
        <w:tab/>
        <w:t>Οδηγία της 25</w:t>
      </w:r>
      <w:r>
        <w:rPr>
          <w:vertAlign w:val="superscript"/>
        </w:rPr>
        <w:t>ης</w:t>
      </w:r>
      <w:r>
        <w:t xml:space="preserve"> Οκτωβρίου 2012 για την ενεργειακή απόδοση, την τροποποίηση των οδηγιών 2009/125/ΕΚ και 2010/30/ΕΕ και την κατάργηση των οδηγιών 2004/8/ΕΚ και 2006/32/ΕΚ (ΕΕ L 315 της 14.11.2012, σ. 1).</w:t>
      </w:r>
    </w:p>
  </w:footnote>
  <w:footnote w:id="39">
    <w:p>
      <w:pPr>
        <w:pStyle w:val="FootnoteText"/>
      </w:pPr>
      <w:r>
        <w:rPr>
          <w:rStyle w:val="FootnoteReference"/>
        </w:rPr>
        <w:footnoteRef/>
      </w:r>
      <w:r>
        <w:tab/>
        <w:t>Οδηγία 2013/30/ΕΕ της 12</w:t>
      </w:r>
      <w:r>
        <w:rPr>
          <w:vertAlign w:val="superscript"/>
        </w:rPr>
        <w:t>ης</w:t>
      </w:r>
      <w:r>
        <w:t xml:space="preserve"> Ιουνίου 2013 για την ασφάλεια των υπεράκτιων εργασιών πετρελαίου και φυσικού αερίου και την τροποποίηση της οδηγίας 2004/35/ΕΚ (</w:t>
      </w:r>
      <w:r>
        <w:rPr>
          <w:color w:val="1F497D"/>
        </w:rPr>
        <w:t>ΕΕ L 178 της 28.6.2013, σ. 66)</w:t>
      </w:r>
      <w:r>
        <w:t>.</w:t>
      </w:r>
    </w:p>
  </w:footnote>
  <w:footnote w:id="40">
    <w:p>
      <w:pPr>
        <w:pStyle w:val="FootnoteText"/>
      </w:pPr>
      <w:r>
        <w:rPr>
          <w:rStyle w:val="FootnoteReference"/>
        </w:rPr>
        <w:footnoteRef/>
      </w:r>
      <w:r>
        <w:tab/>
        <w:t>Οδηγία (ΕΕ) 2015/652 του Συμβουλίου, της 20ής Απριλίου 2015, για τον καθορισμό των μεθόδων υπολογισμού και των απαιτήσεων υποβολής εκθέσεων σύμφωνα με την οδηγία 98/70/ΕΚ του Ευρωπαϊκού Κοινοβουλίου και του Συμβουλίου σχετικά με την ποιότητα των καυσίμων βενζίνης και ντίζελ (ΕΕ L 107, 25.4.2015, σ. 26).</w:t>
      </w:r>
    </w:p>
  </w:footnote>
  <w:footnote w:id="41">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42">
    <w:p>
      <w:pPr>
        <w:pStyle w:val="FootnoteText"/>
        <w:rPr>
          <w:szCs w:val="24"/>
        </w:rPr>
      </w:pPr>
      <w:r>
        <w:rPr>
          <w:rStyle w:val="FootnoteReference"/>
        </w:rPr>
        <w:footnoteRef/>
      </w:r>
      <w:r>
        <w:tab/>
        <w:t>Όπως αναφέρεται στο άρθρο 54 παράγραφος 2 στοιχείο α) ή β) του δημοσιονομικού κανονισμού.</w:t>
      </w:r>
    </w:p>
  </w:footnote>
  <w:footnote w:id="43">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1">
        <w:r>
          <w:rPr>
            <w:rStyle w:val="Hyperlink"/>
            <w:sz w:val="18"/>
          </w:rPr>
          <w:t>http://www.cc.cec/budg/man/budgmanag/budgmanag_en.html</w:t>
        </w:r>
      </w:hyperlink>
    </w:p>
  </w:footnote>
  <w:footnote w:id="44">
    <w:p>
      <w:pPr>
        <w:pStyle w:val="FootnoteText"/>
        <w:rPr>
          <w:szCs w:val="24"/>
        </w:rPr>
      </w:pPr>
      <w:r>
        <w:rPr>
          <w:rStyle w:val="FootnoteReference"/>
        </w:rPr>
        <w:footnoteRef/>
      </w:r>
      <w:r>
        <w:tab/>
        <w:t>ΔΠ = Διαχωριζόμενες πιστώσεις / ΜΔΠ = Μη διαχωριζόμενες πιστώσεις.</w:t>
      </w:r>
    </w:p>
  </w:footnote>
  <w:footnote w:id="45">
    <w:p>
      <w:pPr>
        <w:pStyle w:val="FootnoteText"/>
        <w:rPr>
          <w:szCs w:val="24"/>
        </w:rPr>
      </w:pPr>
      <w:r>
        <w:rPr>
          <w:rStyle w:val="FootnoteReference"/>
        </w:rPr>
        <w:footnoteRef/>
      </w:r>
      <w:r>
        <w:tab/>
        <w:t xml:space="preserve">ΕΖΕΣ: Ευρωπαϊκή Ζώνη Ελεύθερων Συναλλαγών. </w:t>
      </w:r>
    </w:p>
  </w:footnote>
  <w:footnote w:id="46">
    <w:p>
      <w:pPr>
        <w:pStyle w:val="FootnoteText"/>
        <w:rPr>
          <w:szCs w:val="24"/>
        </w:rPr>
      </w:pPr>
      <w:r>
        <w:rPr>
          <w:rStyle w:val="FootnoteReference"/>
        </w:rPr>
        <w:footnoteRef/>
      </w:r>
      <w:r>
        <w:tab/>
        <w:t>Υποψήφιες χώρες και, κατά περίπτωση, δυνάμει υποψήφιες χώρες των Δυτικών Βαλκανίων.</w:t>
      </w:r>
    </w:p>
  </w:footnote>
  <w:footnote w:id="47">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8">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9">
    <w:p>
      <w:pPr>
        <w:pStyle w:val="FootnoteText"/>
        <w:rPr>
          <w:szCs w:val="24"/>
        </w:rPr>
      </w:pPr>
      <w:r>
        <w:rPr>
          <w:rStyle w:val="FootnoteReference"/>
        </w:rPr>
        <w:footnoteRef/>
      </w:r>
      <w:r>
        <w:tab/>
        <w:t>Τα αποτελέσματα αφορούν τα προϊόντα και τις υπηρεσίες που θα παρασχεθούν (παράδειγμα: αριθμός ανταλλαγών σπουδαστών που χρηματοδοτήθηκαν, αριθμός χλμ. οδών που κατασκευάστηκαν κ.λπ.).</w:t>
      </w:r>
    </w:p>
  </w:footnote>
  <w:footnote w:id="50">
    <w:p>
      <w:pPr>
        <w:pStyle w:val="FootnoteText"/>
        <w:rPr>
          <w:szCs w:val="24"/>
        </w:rPr>
      </w:pPr>
      <w:r>
        <w:rPr>
          <w:rStyle w:val="FootnoteReference"/>
        </w:rPr>
        <w:footnoteRef/>
      </w:r>
      <w:r>
        <w:tab/>
        <w:t xml:space="preserve">Όπως περιγράφεται στο σημείο 1.4.2. «Ειδικός/-οί στόχος/-οι…». </w:t>
      </w:r>
    </w:p>
  </w:footnote>
  <w:footnote w:id="51">
    <w:p>
      <w:pPr>
        <w:pStyle w:val="FootnoteText"/>
      </w:pPr>
      <w:r>
        <w:rPr>
          <w:rStyle w:val="FootnoteReference"/>
        </w:rPr>
        <w:footnoteRef/>
      </w:r>
      <w:r>
        <w:tab/>
        <w:t xml:space="preserve">Η εν λόγω  συνδρομή θα πρέπει να καλύπτει την αξιολόγηση των εκθέσεων, συνεντεύξεις με ενδιαφερόμενους, τη διοργάνωση σεμιναρίων και συνεδρίων κ.λπ. </w:t>
      </w:r>
    </w:p>
  </w:footnote>
  <w:footnote w:id="52">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53">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νέος εμπειρογνώμονας σε αντιπροσωπεία. </w:t>
      </w:r>
    </w:p>
  </w:footnote>
  <w:footnote w:id="54">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55">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 w:id="56">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57">
    <w:p>
      <w:pPr>
        <w:pStyle w:val="FootnoteText"/>
        <w:rPr>
          <w:szCs w:val="24"/>
        </w:rPr>
      </w:pPr>
      <w:r>
        <w:rPr>
          <w:rStyle w:val="FootnoteReference"/>
        </w:rPr>
        <w:footnoteRef/>
      </w:r>
      <w:r>
        <w:tab/>
        <w:t>Όπως αναφέρεται στο άρθρο 54 παράγραφος 2 στοιχείο α) ή β) του δημοσιονομικού κανονισμού.</w:t>
      </w:r>
    </w:p>
  </w:footnote>
  <w:footnote w:id="58">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ΔΠ = Διαχωριζόμενες πιστώσεις / ΜΔΠ = Μη διαχωριζόμενες πιστώσεις.</w:t>
      </w:r>
    </w:p>
  </w:footnote>
  <w:footnote w:id="60">
    <w:p>
      <w:pPr>
        <w:pStyle w:val="FootnoteText"/>
        <w:rPr>
          <w:szCs w:val="24"/>
        </w:rPr>
      </w:pPr>
      <w:r>
        <w:rPr>
          <w:rStyle w:val="FootnoteReference"/>
        </w:rPr>
        <w:footnoteRef/>
      </w:r>
      <w:r>
        <w:tab/>
        <w:t xml:space="preserve">ΕΖΕΣ: Ευρωπαϊκή Ζώνη Ελεύθερων Συναλλαγών. </w:t>
      </w:r>
    </w:p>
  </w:footnote>
  <w:footnote w:id="61">
    <w:p>
      <w:pPr>
        <w:pStyle w:val="FootnoteText"/>
        <w:rPr>
          <w:szCs w:val="24"/>
        </w:rPr>
      </w:pPr>
      <w:r>
        <w:rPr>
          <w:rStyle w:val="FootnoteReference"/>
        </w:rPr>
        <w:footnoteRef/>
      </w:r>
      <w:r>
        <w:tab/>
        <w:t>Υποψήφιες χώρες και, κατά περίπτωση, δυνητικά υποψήφιες χώρες των Δυτικών Βαλκανίων.</w:t>
      </w:r>
    </w:p>
  </w:footnote>
  <w:footnote w:id="62">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63">
    <w:p>
      <w:pPr>
        <w:pStyle w:val="FootnoteText"/>
        <w:rPr>
          <w:szCs w:val="24"/>
        </w:rPr>
      </w:pPr>
      <w:r>
        <w:rPr>
          <w:rStyle w:val="FootnoteReference"/>
        </w:rPr>
        <w:footnoteRef/>
      </w:r>
      <w:r>
        <w:tab/>
        <w:t>Τα αποτελέσματα αφορούν τα προϊόντα και τις υπηρεσίες που θα παρασχεθούν (παράδειγμα: αριθμός ανταλλαγών σπουδαστών που χρηματοδοτήθηκαν, αριθμός χλμ. οδών που κατασκευάστηκαν κ.λπ.).</w:t>
      </w:r>
    </w:p>
  </w:footnote>
  <w:footnote w:id="64">
    <w:p>
      <w:pPr>
        <w:pStyle w:val="FootnoteText"/>
        <w:rPr>
          <w:szCs w:val="24"/>
        </w:rPr>
      </w:pPr>
      <w:r>
        <w:rPr>
          <w:rStyle w:val="FootnoteReference"/>
        </w:rPr>
        <w:footnoteRef/>
      </w:r>
      <w:r>
        <w:tab/>
        <w:t>Όπως περιγράφεται στο σημείο 1.4.2. «Ειδικός/-οί στόχος/-οι…».</w:t>
      </w:r>
    </w:p>
  </w:footnote>
  <w:footnote w:id="65">
    <w:p>
      <w:pPr>
        <w:pStyle w:val="FootnoteText"/>
        <w:rPr>
          <w:szCs w:val="24"/>
        </w:rPr>
      </w:pPr>
      <w:r>
        <w:rPr>
          <w:rStyle w:val="FootnoteReference"/>
        </w:rPr>
        <w:footnoteRef/>
      </w:r>
      <w:r>
        <w:tab/>
        <w:t>Βλ. άρθρα 11 και 17 του κανονισμού (ΕΕ, Ευρατόμ) αριθ. 1311/2013 του Συμβουλίου για τον καθορισμό του πολυετούς δημοσιονομικού πλαισίου για την περίοδο 2014-2020.</w:t>
      </w:r>
    </w:p>
  </w:footnote>
  <w:footnote w:id="66">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3"/>
  </w:num>
  <w:num w:numId="9">
    <w:abstractNumId w:val="2"/>
  </w:num>
  <w:num w:numId="10">
    <w:abstractNumId w:val="1"/>
  </w:num>
  <w:num w:numId="11">
    <w:abstractNumId w:val="0"/>
  </w:num>
  <w:num w:numId="12">
    <w:abstractNumId w:val="8"/>
  </w:num>
  <w:num w:numId="13">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7"/>
    <w:lvlOverride w:ilvl="0">
      <w:startOverride w:val="1"/>
    </w:lvlOverride>
  </w:num>
  <w:num w:numId="17">
    <w:abstractNumId w:val="19"/>
  </w:num>
  <w:num w:numId="18">
    <w:abstractNumId w:val="11"/>
  </w:num>
  <w:num w:numId="19">
    <w:abstractNumId w:val="24"/>
  </w:num>
  <w:num w:numId="20">
    <w:abstractNumId w:val="10"/>
  </w:num>
  <w:num w:numId="21">
    <w:abstractNumId w:val="12"/>
  </w:num>
  <w:num w:numId="22">
    <w:abstractNumId w:val="7"/>
  </w:num>
  <w:num w:numId="23">
    <w:abstractNumId w:val="23"/>
  </w:num>
  <w:num w:numId="24">
    <w:abstractNumId w:val="6"/>
  </w:num>
  <w:num w:numId="25">
    <w:abstractNumId w:val="13"/>
  </w:num>
  <w:num w:numId="26">
    <w:abstractNumId w:val="17"/>
  </w:num>
  <w:num w:numId="27">
    <w:abstractNumId w:val="18"/>
  </w:num>
  <w:num w:numId="28">
    <w:abstractNumId w:val="9"/>
  </w:num>
  <w:num w:numId="29">
    <w:abstractNumId w:val="16"/>
  </w:num>
  <w:num w:numId="30">
    <w:abstractNumId w:val="28"/>
  </w:num>
  <w:num w:numId="31">
    <w:abstractNumId w:val="19"/>
  </w:num>
  <w:num w:numId="32">
    <w:abstractNumId w:val="11"/>
  </w:num>
  <w:num w:numId="33">
    <w:abstractNumId w:val="24"/>
  </w:num>
  <w:num w:numId="34">
    <w:abstractNumId w:val="10"/>
  </w:num>
  <w:num w:numId="35">
    <w:abstractNumId w:val="12"/>
  </w:num>
  <w:num w:numId="36">
    <w:abstractNumId w:val="7"/>
  </w:num>
  <w:num w:numId="37">
    <w:abstractNumId w:val="23"/>
  </w:num>
  <w:num w:numId="38">
    <w:abstractNumId w:val="6"/>
  </w:num>
  <w:num w:numId="39">
    <w:abstractNumId w:val="13"/>
  </w:num>
  <w:num w:numId="40">
    <w:abstractNumId w:val="17"/>
  </w:num>
  <w:num w:numId="41">
    <w:abstractNumId w:val="18"/>
  </w:num>
  <w:num w:numId="42">
    <w:abstractNumId w:val="9"/>
  </w:num>
  <w:num w:numId="43">
    <w:abstractNumId w:val="16"/>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7-01-09 15:24: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D47BB3DCF21448D493143C04AF7CE495"/>
    <w:docVar w:name="LW_CROSSREFERENCE" w:val="{SWD(2016) 394 final}_x000b_{SWD(2016) 395 final}_x000b_{SWD(2016) 396 final}_x000b_{SWD(2016) 397 final}"/>
    <w:docVar w:name="LW_DocType" w:val="COM"/>
    <w:docVar w:name="LW_EMISSION" w:val="30.11.2016"/>
    <w:docVar w:name="LW_EMISSION_ISODATE" w:val="2016-11-30"/>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u928?\u961?\u972?\u964?\u945?\u963?\u951?"/>
    <w:docVar w:name="LW_SUPERTITRE" w:val="&lt;UNUSED&gt;"/>
    <w:docVar w:name="LW_TITRE.OBJ.CP" w:val="\u947?\u953?\u945? \u964?\u951? \u948?\u953?\u945?\u954?\u965?\u946?\u941?\u961?\u957?\u951?\u963?\u951? \u964?\u951?\u962? \u917?\u957?\u949?\u961?\u947?\u949?\u953?\u945?\u954?\u942?\u962? \u904?\u957?\u969?\u963?\u951?\u962?,_x000b__x000b_\u954?\u945?\u953? \u947?\u953?\u945? \u964?\u951?\u957? \u964?\u961?\u959?\u960?\u959?\u960?\u959?\u943?\u951?\u963?\u951? \u964?\u951?\u962? \u959?\u948?\u951?\u947?\u943?\u945?\u962? 94/22/\u917?\u922?, \u964?\u951?\u962? \u959?\u948?\u951?\u947?\u943?\u945?\u962? 98/70/\u917?\u922?, \u964?\u951?\u962? \u959?\u948?\u951?\u947?\u943?\u945?\u962? 2009/31/\u917?\u922?, \u964?\u959?\u965? \u954?\u945?\u957?\u959?\u957?\u953?\u963?\u956?\u959?\u973? (\u917?\u922?) \u945?\u961?\u953?\u952?. 663/2009, \u964?\u959?\u965? \u954?\u945?\u957?\u959?\u957?\u953?\u963?\u956?\u959?\u973? (\u917?\u922?) \u945?\u961?\u953?\u952?. 715/2009, \u964?\u951?\u962? \u959?\u948?\u951?\u947?\u943?\u945?\u962? 2009/73/\u917?\u922?, \u964?\u951?\u962? \u959?\u948?\u951?\u947?\u943?\u945?\u962? 2009/119/\u917?\u922? \u964?\u959?\u965? \u931?\u965?\u956?\u946?\u959?\u965?\u955?\u943?\u959?\u965?, \u964?\u951?\u962? \u959?\u948?\u951?\u947?\u943?\u945?\u962? 2010/31/\u917?\u917?, _x000b_\u964?\u951?\u962? \u959?\u948?\u951?\u947?\u943?\u945?\u962? 2012/27/\u917?\u917?, \u964?\u951?\u962? \u959?\u948?\u951?\u947?\u943?\u945?\u962? 2013/30/\u917?\u917? \u954?\u945?\u953? \u964?\u951?\u962? \u959?\u948?\u951?\u947?\u943?\u945?\u962? (\u917?\u917?) 2015/652 \u964?\u959?\u965? \u931?\u965?\u956?\u946?\u959?\u965?\u955?\u943?\u959?\u965? \u954?\u945?\u953? \u964?\u951?\u957? \u954?\u945?\u964?\u940?\u961?\u947?\u951?\u963?\u951? \u964?\u959?\u965? \u954?\u945?\u957?\u959?\u957?\u953?\u963?\u956?\u959?\u973? (\u917?\u917?) \u945?\u961?\u953?\u952?. 525/2013"/>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l-G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l-GR"/>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el-GR"/>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l-G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l-G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l-GR"/>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ABFE-4FDE-4F36-8D2E-862A01FAC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0C5B8-3DCE-46AE-9C18-E8F4D971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103</Pages>
  <Words>30557</Words>
  <Characters>179376</Characters>
  <Application>Microsoft Office Word</Application>
  <DocSecurity>0</DocSecurity>
  <Lines>4848</Lines>
  <Paragraphs>1794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2016-11-29T10:27:00Z</cp:lastPrinted>
  <dcterms:created xsi:type="dcterms:W3CDTF">2016-12-20T13:53:00Z</dcterms:created>
  <dcterms:modified xsi:type="dcterms:W3CDTF">2017-01-09T14:24:00Z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