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9DA4996C236A4DB5B0E8E82A49652B3D" style="width:450.75pt;height:438.2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Typedudocument"/>
        <w:rPr>
          <w:noProof/>
        </w:rPr>
      </w:pPr>
      <w:bookmarkStart w:id="0" w:name="_GoBack"/>
      <w:bookmarkEnd w:id="0"/>
      <w:r>
        <w:rPr>
          <w:noProof/>
        </w:rPr>
        <w:lastRenderedPageBreak/>
        <w:t>MELLÉKLETEK</w:t>
      </w:r>
    </w:p>
    <w:p>
      <w:pPr>
        <w:pStyle w:val="Accompagnant"/>
        <w:rPr>
          <w:noProof/>
        </w:rPr>
      </w:pPr>
      <w:r>
        <w:rPr>
          <w:noProof/>
        </w:rPr>
        <w:t>a következőhöz:</w:t>
      </w:r>
    </w:p>
    <w:p>
      <w:pPr>
        <w:pStyle w:val="Typeacteprincipal"/>
        <w:rPr>
          <w:noProof/>
        </w:rPr>
      </w:pPr>
      <w:r>
        <w:rPr>
          <w:noProof/>
        </w:rPr>
        <w:t>Javaslat</w:t>
      </w:r>
      <w:r>
        <w:rPr>
          <w:noProof/>
        </w:rPr>
        <w:br/>
        <w:t>Az Európai Parlament és a Tanács rendelete</w:t>
      </w:r>
    </w:p>
    <w:p>
      <w:pPr>
        <w:pStyle w:val="Objetacteprincipal"/>
        <w:rPr>
          <w:noProof/>
        </w:rPr>
      </w:pPr>
      <w:r>
        <w:rPr>
          <w:noProof/>
        </w:rPr>
        <w:t>az Unió területére belépő, illetve az Unió területét elhagyó készpénz ellenőrzéséről és az 1889/2005/EK rendelet hatályon kívül helyezéséről</w:t>
      </w:r>
      <w:r>
        <w:rPr>
          <w:noProof/>
        </w:rPr>
        <w:br/>
      </w:r>
    </w:p>
    <w:p>
      <w:pPr>
        <w:pStyle w:val="Typedudocument"/>
        <w:rPr>
          <w:noProof/>
          <w:u w:val="single"/>
        </w:rPr>
      </w:pPr>
      <w:r>
        <w:rPr>
          <w:noProof/>
          <w:u w:val="single"/>
        </w:rPr>
        <w:t>I. MELLÉKLET</w:t>
      </w:r>
    </w:p>
    <w:p>
      <w:pPr>
        <w:pStyle w:val="Titreobjet"/>
        <w:rPr>
          <w:noProof/>
        </w:rPr>
      </w:pPr>
      <w:r>
        <w:rPr>
          <w:noProof/>
        </w:rPr>
        <w:t>A 2. cikk (1) bekezdése a) pontjának ii., iii. és iv. alpontjával összhangban készpénznek minősülő, bemutatóra szóló átruházható értékpapírok, könnyen készpénzzé tehető értékhordozóként használt áruk és előre fizetett kártyák</w:t>
      </w:r>
    </w:p>
    <w:p>
      <w:pPr>
        <w:autoSpaceDE w:val="0"/>
        <w:autoSpaceDN w:val="0"/>
        <w:adjustRightInd w:val="0"/>
        <w:ind w:left="720" w:hanging="720"/>
        <w:rPr>
          <w:i/>
          <w:noProof/>
        </w:rPr>
      </w:pPr>
      <w:r>
        <w:rPr>
          <w:rStyle w:val="Emphasis"/>
          <w:i w:val="0"/>
          <w:noProof/>
        </w:rPr>
        <w:t>1.</w:t>
      </w:r>
      <w:r>
        <w:rPr>
          <w:noProof/>
        </w:rPr>
        <w:tab/>
      </w:r>
      <w:r>
        <w:rPr>
          <w:rStyle w:val="Emphasis"/>
          <w:i w:val="0"/>
          <w:noProof/>
        </w:rPr>
        <w:t>A következő bemutatóra szóló átruházható értékpapírok a 2. cikk (1) bekezdése a) pontjának ii. alpontjával összhangban készpénznek minősülnek</w:t>
      </w:r>
      <w:r>
        <w:rPr>
          <w:noProof/>
        </w:rPr>
        <w:t>:</w:t>
      </w:r>
    </w:p>
    <w:p>
      <w:pPr>
        <w:autoSpaceDE w:val="0"/>
        <w:autoSpaceDN w:val="0"/>
        <w:adjustRightInd w:val="0"/>
        <w:ind w:left="1080" w:hanging="360"/>
        <w:rPr>
          <w:noProof/>
        </w:rPr>
      </w:pPr>
      <w:r>
        <w:rPr>
          <w:noProof/>
        </w:rPr>
        <w:t>a)</w:t>
      </w:r>
      <w:r>
        <w:rPr>
          <w:noProof/>
        </w:rPr>
        <w:tab/>
        <w:t>utazási csekkek;</w:t>
      </w:r>
    </w:p>
    <w:p>
      <w:pPr>
        <w:autoSpaceDE w:val="0"/>
        <w:autoSpaceDN w:val="0"/>
        <w:ind w:left="1080" w:hanging="360"/>
        <w:rPr>
          <w:i/>
          <w:iCs/>
          <w:noProof/>
        </w:rPr>
      </w:pPr>
      <w:r>
        <w:rPr>
          <w:noProof/>
        </w:rPr>
        <w:t>b)</w:t>
      </w:r>
      <w:r>
        <w:rPr>
          <w:noProof/>
        </w:rPr>
        <w:tab/>
        <w:t>csekkek, váltók vagy fizetési megbízások, amelyek vagy bemutatóra szólnak, vagy el vannak látva aláírással, de a kedvezményezett nevét nem jelzik, vagy üres forgatmány szerepel rajtuk, vagy fiktív kedvezményezett részére szólnak, vagy pedig egyébként olyan jellegűek, hogy az értékpapír tulajdonjoga az átadással kerül átruházásra.</w:t>
      </w:r>
    </w:p>
    <w:p>
      <w:pPr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</w:rPr>
        <w:t xml:space="preserve">2. </w:t>
      </w:r>
      <w:r>
        <w:rPr>
          <w:noProof/>
        </w:rPr>
        <w:tab/>
        <w:t>Az alábbi, könnyen készpénzzé tehető értékhordozóként használt áruk</w:t>
      </w:r>
      <w:r>
        <w:rPr>
          <w:rStyle w:val="Emphasis"/>
          <w:i w:val="0"/>
          <w:noProof/>
        </w:rPr>
        <w:t xml:space="preserve"> a 2. cikk (1) bekezdése a) pontjának iii. alpontjával összhangban  készpénznek minősülnek</w:t>
      </w:r>
      <w:r>
        <w:rPr>
          <w:noProof/>
        </w:rPr>
        <w:t>:</w:t>
      </w:r>
    </w:p>
    <w:p>
      <w:pPr>
        <w:autoSpaceDE w:val="0"/>
        <w:autoSpaceDN w:val="0"/>
        <w:adjustRightInd w:val="0"/>
        <w:ind w:left="1080" w:hanging="360"/>
        <w:rPr>
          <w:noProof/>
        </w:rPr>
      </w:pPr>
      <w:r>
        <w:rPr>
          <w:noProof/>
        </w:rPr>
        <w:t>a)</w:t>
      </w:r>
      <w:r>
        <w:rPr>
          <w:noProof/>
        </w:rPr>
        <w:tab/>
        <w:t>legalább 90 %-os aranytartalmú pénzérmék;</w:t>
      </w:r>
    </w:p>
    <w:p>
      <w:pPr>
        <w:autoSpaceDE w:val="0"/>
        <w:autoSpaceDN w:val="0"/>
        <w:adjustRightInd w:val="0"/>
        <w:ind w:left="1080" w:hanging="360"/>
        <w:rPr>
          <w:rFonts w:cs="EUAlbertina-Regu"/>
          <w:noProof/>
        </w:rPr>
      </w:pPr>
      <w:r>
        <w:rPr>
          <w:noProof/>
        </w:rPr>
        <w:t>b)</w:t>
      </w:r>
      <w:r>
        <w:rPr>
          <w:noProof/>
        </w:rPr>
        <w:tab/>
        <w:t>tömbarany, például legalább 99,5 %-os aranytartalommal rendelkező rudak, rögök vagy szemcsék.</w:t>
      </w:r>
    </w:p>
    <w:p>
      <w:pPr>
        <w:autoSpaceDE w:val="0"/>
        <w:autoSpaceDN w:val="0"/>
        <w:adjustRightInd w:val="0"/>
        <w:ind w:left="720" w:hanging="720"/>
        <w:rPr>
          <w:rFonts w:cs="EUAlbertina-Regu"/>
          <w:noProof/>
        </w:rPr>
      </w:pPr>
      <w:r>
        <w:rPr>
          <w:noProof/>
        </w:rPr>
        <w:t>3.</w:t>
      </w:r>
      <w:r>
        <w:rPr>
          <w:noProof/>
        </w:rPr>
        <w:tab/>
        <w:t xml:space="preserve">A következő előre fizetett kártyák </w:t>
      </w:r>
      <w:r>
        <w:rPr>
          <w:rStyle w:val="Emphasis"/>
          <w:i w:val="0"/>
          <w:noProof/>
        </w:rPr>
        <w:t xml:space="preserve"> a 2. cikk (1) bekezdése a) pontjának iv. alpontjával összhangban készpénznek minősülnek</w:t>
      </w:r>
      <w:r>
        <w:rPr>
          <w:noProof/>
        </w:rPr>
        <w:t>:</w:t>
      </w:r>
    </w:p>
    <w:p>
      <w:pPr>
        <w:autoSpaceDE w:val="0"/>
        <w:autoSpaceDN w:val="0"/>
        <w:adjustRightInd w:val="0"/>
        <w:ind w:left="1080" w:hanging="360"/>
        <w:rPr>
          <w:rFonts w:cs="EUAlbertina-Regu"/>
          <w:noProof/>
        </w:rPr>
      </w:pPr>
    </w:p>
    <w:p>
      <w:pPr>
        <w:spacing w:before="0" w:after="200" w:line="276" w:lineRule="auto"/>
        <w:jc w:val="left"/>
        <w:rPr>
          <w:b/>
          <w:noProof/>
        </w:rPr>
      </w:pPr>
      <w:r>
        <w:rPr>
          <w:noProof/>
        </w:rPr>
        <w:br w:type="page"/>
      </w:r>
    </w:p>
    <w:p>
      <w:pPr>
        <w:pStyle w:val="Typedudocument"/>
        <w:rPr>
          <w:noProof/>
          <w:u w:val="single"/>
        </w:rPr>
      </w:pPr>
      <w:r>
        <w:rPr>
          <w:noProof/>
          <w:u w:val="single"/>
        </w:rPr>
        <w:lastRenderedPageBreak/>
        <w:t>II. MELLÉKLET</w:t>
      </w:r>
    </w:p>
    <w:p>
      <w:pPr>
        <w:jc w:val="center"/>
        <w:rPr>
          <w:b/>
          <w:noProof/>
        </w:rPr>
      </w:pPr>
      <w:r>
        <w:rPr>
          <w:b/>
          <w:noProof/>
        </w:rPr>
        <w:t>Megfelelési táblázat</w:t>
      </w:r>
    </w:p>
    <w:p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</w:tblGrid>
      <w:tr>
        <w:tc>
          <w:tcPr>
            <w:tcW w:w="3096" w:type="dxa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1889/2005/EK rendelet</w:t>
            </w:r>
          </w:p>
        </w:tc>
        <w:tc>
          <w:tcPr>
            <w:tcW w:w="3096" w:type="dxa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Ez a rendelet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1. cikk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1. cikk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2. cikk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2. cikk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3. cikk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3. cikk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4. cikk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4. cikk, (1) bekezdés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5. cikk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5. cikk, (2) bekezdés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6. cikk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4. cikk, (2) bekezdés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7. cikk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5. cikk, (1) bekezdés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8. cikk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6. cikk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9. cikk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7. cikk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10. cikk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8. cikk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11. cikk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12. cikk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12. cikk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13. cikk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14. cikk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15. cikk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16. cikk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17. cikk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10. cikk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18. cikk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19. cikk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11. cikk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20. cikk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I. melléklet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II. melléklet</w:t>
            </w:r>
          </w:p>
        </w:tc>
      </w:tr>
    </w:tbl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HU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DB06E8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4EC0B4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6443F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DD3E490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D44B2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BFA8C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E064D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D9ABA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7-01-11 11:49:2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8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5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.CP" w:val="a következ\u337?höz:"/>
    <w:docVar w:name="LW_ANNEX_NBR_FIRST" w:val="1"/>
    <w:docVar w:name="LW_ANNEX_NBR_LAST" w:val="2"/>
    <w:docVar w:name="LW_CONFIDENCE" w:val=" "/>
    <w:docVar w:name="LW_CONST_RESTREINT_UE" w:val="RESTREINT UE"/>
    <w:docVar w:name="LW_CORRIGENDUM" w:val="&lt;UNUSED&gt;"/>
    <w:docVar w:name="LW_COVERPAGE_GUID" w:val="9DA4996C236A4DB5B0E8E82A49652B3D"/>
    <w:docVar w:name="LW_CROSSREFERENCE" w:val="{SWD(2016) 470 final}_x000b_{SWD(2016) 471 final}"/>
    <w:docVar w:name="LW_DocType" w:val="ANNEX"/>
    <w:docVar w:name="LW_EMISSION" w:val="2016.12.21."/>
    <w:docVar w:name="LW_EMISSION_ISODATE" w:val="2016-12-21"/>
    <w:docVar w:name="LW_EMISSION_LOCATION" w:val="BRX"/>
    <w:docVar w:name="LW_EMISSION_PREFIX" w:val="Brüsszel, "/>
    <w:docVar w:name="LW_EMISSION_SUFFIX" w:val=" "/>
    <w:docVar w:name="LW_ID_DOCSTRUCTURE" w:val="COM/ANNEX"/>
    <w:docVar w:name="LW_ID_DOCTYPE" w:val="SG-017"/>
    <w:docVar w:name="LW_LANGUE" w:val="HU"/>
    <w:docVar w:name="LW_MARKING" w:val="&lt;UNUSED&gt;"/>
    <w:docVar w:name="LW_NOM.INST" w:val="EURÓPAI BIZOTTSÁG"/>
    <w:docVar w:name="LW_NOM.INST_JOINTDOC" w:val="&lt;EMPTY&gt;"/>
    <w:docVar w:name="LW_OBJETACTEPRINCIPAL.CP" w:val="az Unió területére belép\u337?, illetve az Unió területét elhagyó készpénz ellen\u337?rzésér\u337?l és az 1889/2005/EK rendelet hatályon kívül helyezésér\u337?l_x000b_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6) 825"/>
    <w:docVar w:name="LW_REF.INTERNE" w:val="&lt;UNUSED&gt;"/>
    <w:docVar w:name="LW_SUPERTITRE" w:val="&lt;UNUSED&gt;"/>
    <w:docVar w:name="LW_TITRE.OBJ.CP" w:val="&lt;UNUSED&gt;"/>
    <w:docVar w:name="LW_TYPE.DOC.CP" w:val="MELLÉKLETEK"/>
    <w:docVar w:name="LW_TYPEACTEPRINCIPAL.CP" w:val="Javaslat_x000b_Az Európai Parlament és a Tanács rendelet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jc w:val="left"/>
    </w:pPr>
    <w:rPr>
      <w:rFonts w:ascii="Calibri" w:hAnsi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jc w:val="left"/>
    </w:pPr>
    <w:rPr>
      <w:rFonts w:ascii="Calibri" w:hAnsi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4</Pages>
  <Words>284</Words>
  <Characters>1592</Characters>
  <Application>Microsoft Office Word</Application>
  <DocSecurity>0</DocSecurity>
  <Lines>83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SACEANU Gabriela (TAXUD)</dc:creator>
  <cp:lastModifiedBy>DIGIT/A3</cp:lastModifiedBy>
  <cp:revision>8</cp:revision>
  <cp:lastPrinted>2016-12-14T15:13:00Z</cp:lastPrinted>
  <dcterms:created xsi:type="dcterms:W3CDTF">2016-12-16T16:36:00Z</dcterms:created>
  <dcterms:modified xsi:type="dcterms:W3CDTF">2017-01-11T10:49:00Z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2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