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2250E6F36D746FB8DDFE0F368513E1B" style="width:450.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ΠΑΡΑΡΤΗΜΑΤΑ</w:t>
      </w:r>
    </w:p>
    <w:p>
      <w:pPr>
        <w:pStyle w:val="Accompagnant"/>
        <w:rPr>
          <w:noProof/>
        </w:rPr>
      </w:pPr>
      <w:r>
        <w:rPr>
          <w:noProof/>
        </w:rPr>
        <w:t>στην</w:t>
      </w:r>
    </w:p>
    <w:p>
      <w:pPr>
        <w:pStyle w:val="Typeacteprincipal"/>
        <w:rPr>
          <w:noProof/>
        </w:rPr>
      </w:pPr>
      <w:r>
        <w:rPr>
          <w:noProof/>
        </w:rPr>
        <w:t>Πρόταση κανονισμού του Ευρωπαϊκού Κοινοβουλίου και του Συμβουλίου</w:t>
      </w:r>
    </w:p>
    <w:p>
      <w:pPr>
        <w:pStyle w:val="Objetacteprincipal"/>
        <w:rPr>
          <w:noProof/>
        </w:rPr>
      </w:pPr>
      <w:r>
        <w:rPr>
          <w:noProof/>
        </w:rPr>
        <w:t>σχετικά με τους ελέγχους ρευστών διαθεσίμων που εισέρχονται ή εξέρχονται από την Ένωση και την κατάργηση του κανονισμού (ΕΚ) αριθ. 1889/2005</w:t>
      </w:r>
      <w:r>
        <w:rPr>
          <w:noProof/>
        </w:rPr>
        <w:br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t>ΠΑΡΑΡΤΗΜΑ Ι</w:t>
      </w:r>
    </w:p>
    <w:p>
      <w:pPr>
        <w:pStyle w:val="Titreobjet"/>
        <w:rPr>
          <w:noProof/>
        </w:rPr>
      </w:pPr>
      <w:r>
        <w:rPr>
          <w:noProof/>
        </w:rPr>
        <w:t xml:space="preserve">Διαπραγματεύσιμοι τίτλοι στον κομιστή, αγαθά που χρησιμοποιούνται ως ιδιαίτερα ρευστοποιήσιμα μέσα αποθήκευσης αξίας και προπληρωμένες κάρτες, τα οποία θεωρούνται ρευστά διαθέσιμα σύμφωνα με το άρθρο 2 παράγραφος 1 στοιχείο α) σημεία ii), iii) και iv)  </w:t>
      </w:r>
    </w:p>
    <w:p>
      <w:pPr>
        <w:autoSpaceDE w:val="0"/>
        <w:autoSpaceDN w:val="0"/>
        <w:adjustRightInd w:val="0"/>
        <w:ind w:left="720" w:hanging="720"/>
        <w:rPr>
          <w:i/>
          <w:noProof/>
        </w:rPr>
      </w:pPr>
      <w:r>
        <w:rPr>
          <w:rStyle w:val="Emphasis"/>
          <w:i w:val="0"/>
          <w:noProof/>
        </w:rPr>
        <w:t>1.</w:t>
      </w:r>
      <w:r>
        <w:rPr>
          <w:noProof/>
        </w:rPr>
        <w:tab/>
      </w:r>
      <w:r>
        <w:rPr>
          <w:rStyle w:val="Emphasis"/>
          <w:i w:val="0"/>
          <w:noProof/>
        </w:rPr>
        <w:t>Οι ακόλουθοι διαπραγματεύσιμοι τίτλοι στον κομιστή θεωρούνται ρευστά διαθέσιμα σύμφωνα με το άρθρο 2 παράγραφος 1 στοιχείο α) σημείο ii)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α)</w:t>
      </w:r>
      <w:r>
        <w:rPr>
          <w:noProof/>
        </w:rPr>
        <w:tab/>
        <w:t>οι ταξιδιωτικές επιταγές·</w:t>
      </w:r>
    </w:p>
    <w:p>
      <w:pPr>
        <w:autoSpaceDE w:val="0"/>
        <w:autoSpaceDN w:val="0"/>
        <w:ind w:left="1080" w:hanging="360"/>
        <w:rPr>
          <w:i/>
          <w:iCs/>
          <w:noProof/>
        </w:rPr>
      </w:pPr>
      <w:r>
        <w:rPr>
          <w:noProof/>
        </w:rPr>
        <w:t>β)</w:t>
      </w:r>
      <w:r>
        <w:rPr>
          <w:noProof/>
        </w:rPr>
        <w:tab/>
        <w:t>οι επιταγές, τα γραμμάτια ή οι εντολές πληρωμής είτε εκδιδόμενοι στον κομιστή, υπογεγραμμένοι αλλά με παράλειψη του ονόματος του δικαιούχου, είτε οπισθογραφημένοι χωρίς περιορισμό, είτε εκδιδόμενοι σε διαταγή εικονικού δικαιούχου, είτε άλλως διαμορφωμένοι κατά τρόπον ώστε η κατοχή να συνεπάγεται κυριότητα.</w:t>
      </w:r>
    </w:p>
    <w:p>
      <w:pPr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 xml:space="preserve">Τα ακόλουθα αγαθά που χρησιμοποιούνται ως ιδιαίτερα ρευστοποιήσιμα μέσα αποθήκευσης αξίας </w:t>
      </w:r>
      <w:r>
        <w:rPr>
          <w:rStyle w:val="Emphasis"/>
          <w:i w:val="0"/>
          <w:noProof/>
        </w:rPr>
        <w:t>θεωρούνται ρευστά διαθέσιμα σύμφωνα με το άρθρο 2 παράγραφος 1 στοιχείο α) σημείο iii)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noProof/>
        </w:rPr>
      </w:pPr>
      <w:r>
        <w:rPr>
          <w:noProof/>
        </w:rPr>
        <w:t>α)</w:t>
      </w:r>
      <w:r>
        <w:rPr>
          <w:noProof/>
        </w:rPr>
        <w:tab/>
        <w:t>τα κέρματα με περιεκτικότητα σε χρυσό τουλάχιστον 90 %·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  <w:r>
        <w:rPr>
          <w:noProof/>
        </w:rPr>
        <w:t>β)</w:t>
      </w:r>
      <w:r>
        <w:rPr>
          <w:noProof/>
        </w:rPr>
        <w:tab/>
        <w:t>οι ράβδοι χρυσού, όπως πλάκες, ψήγματα ή βώλοι με περιεκτικότητα σε χρυσό τουλάχιστον 99,5 %.</w:t>
      </w:r>
    </w:p>
    <w:p>
      <w:pPr>
        <w:autoSpaceDE w:val="0"/>
        <w:autoSpaceDN w:val="0"/>
        <w:adjustRightInd w:val="0"/>
        <w:ind w:left="720" w:hanging="720"/>
        <w:rPr>
          <w:rFonts w:cs="EUAlbertina-Regu"/>
          <w:noProof/>
        </w:rPr>
      </w:pPr>
      <w:r>
        <w:rPr>
          <w:noProof/>
        </w:rPr>
        <w:t>3.</w:t>
      </w:r>
      <w:r>
        <w:rPr>
          <w:noProof/>
        </w:rPr>
        <w:tab/>
      </w:r>
      <w:r>
        <w:rPr>
          <w:rStyle w:val="Emphasis"/>
          <w:i w:val="0"/>
          <w:noProof/>
        </w:rPr>
        <w:t>Οι ακόλουθες προπληρωμένες κάρτες θεωρούνται ρευστά διαθέσιμα σύμφωνα με το άρθρο 2 παράγραφος 1 στοιχείο α) σημείο iv)</w:t>
      </w:r>
      <w:r>
        <w:rPr>
          <w:noProof/>
        </w:rPr>
        <w:t>:</w:t>
      </w:r>
    </w:p>
    <w:p>
      <w:pPr>
        <w:autoSpaceDE w:val="0"/>
        <w:autoSpaceDN w:val="0"/>
        <w:adjustRightInd w:val="0"/>
        <w:ind w:left="1080" w:hanging="360"/>
        <w:rPr>
          <w:rFonts w:cs="EUAlbertina-Regu"/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Typedudocument"/>
        <w:rPr>
          <w:noProof/>
          <w:u w:val="single"/>
        </w:rPr>
      </w:pPr>
      <w:r>
        <w:rPr>
          <w:noProof/>
          <w:u w:val="single"/>
        </w:rPr>
        <w:t>ΠΑΡΑΡΤΗΜΑ ΙΙ</w:t>
      </w:r>
    </w:p>
    <w:p>
      <w:pPr>
        <w:jc w:val="center"/>
        <w:rPr>
          <w:b/>
          <w:noProof/>
        </w:rPr>
      </w:pPr>
      <w:r>
        <w:rPr>
          <w:b/>
          <w:noProof/>
        </w:rPr>
        <w:t>Πίνακας αντιστοιχίας</w:t>
      </w:r>
    </w:p>
    <w:p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>
        <w:tc>
          <w:tcPr>
            <w:tcW w:w="309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Κανονισμός (ΕΚ) αριθ. 1889/2005</w:t>
            </w:r>
          </w:p>
        </w:tc>
        <w:tc>
          <w:tcPr>
            <w:tcW w:w="309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Παρών κανονισμός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2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3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3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4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 παράγραφος 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5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 παράγραφος 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6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4 παράγραφος 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7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5 παράγραφος 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8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6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9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7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10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8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11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12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12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13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14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15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16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17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10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18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19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 11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Άρθρο. 20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Παράρτημα I</w:t>
            </w:r>
          </w:p>
        </w:tc>
      </w:tr>
      <w:tr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30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Παράρτημα ΙI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DB06E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EC0B4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443F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D3E49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D44B2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FA8C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E064D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9AB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22 15:06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\u963?\u964?\u951?\u957?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82250E6F36D746FB8DDFE0F368513E1B"/>
    <w:docVar w:name="LW_CROSSREFERENCE" w:val="{SWD(2016) 470 final}_x000b_{SWD(2016) 471 final}"/>
    <w:docVar w:name="LW_DocType" w:val="ANNEX"/>
    <w:docVar w:name="LW_EMISSION" w:val="21.12.2016"/>
    <w:docVar w:name="LW_EMISSION_ISODATE" w:val="2016-12-21"/>
    <w:docVar w:name="LW_EMISSION_LOCATION" w:val="BRX"/>
    <w:docVar w:name="LW_EMISSION_PREFIX" w:val="\u914?\u961?\u965?\u958?\u941?\u955?\u955?\u949?\u962?, "/>
    <w:docVar w:name="LW_EMISSION_SUFFIX" w:val=" "/>
    <w:docVar w:name="LW_ID_DOCSTRUCTURE" w:val="COM/ANNEX"/>
    <w:docVar w:name="LW_ID_DOCTYPE" w:val="SG-017"/>
    <w:docVar w:name="LW_LANGUE" w:val="EL"/>
    <w:docVar w:name="LW_MARKING" w:val="&lt;UNUSED&gt;"/>
    <w:docVar w:name="LW_NOM.INST" w:val="\u917?\u933?\u929?\u937?\u928?\u913?\u938?\u922?\u919? \u917?\u928?\u921?\u932?\u929?\u927?\u928?\u919?"/>
    <w:docVar w:name="LW_NOM.INST_JOINTDOC" w:val="&lt;EMPTY&gt;"/>
    <w:docVar w:name="LW_OBJETACTEPRINCIPAL.CP" w:val="\u963?\u967?\u949?\u964?\u953?\u954?\u940? \u956?\u949? \u964?\u959?\u965?\u962? \u949?\u955?\u941?\u947?\u967?\u959?\u965?\u962? \u961?\u949?\u965?\u963?\u964?\u974?\u957? \u948?\u953?\u945?\u952?\u949?\u963?\u943?\u956?\u969?\u957? \u960?\u959?\u965? \u949?\u953?\u963?\u941?\u961?\u967?\u959?\u957?\u964?\u945?\u953? \u942? \u949?\u958?\u941?\u961?\u967?\u959?\u957?\u964?\u945?\u953? \u945?\u960?\u972? \u964?\u951?\u957? \u904?\u957?\u969?\u963?\u951? \u954?\u945?\u953? \u964?\u951?\u957? \u954?\u945?\u964?\u940?\u961?\u947?\u951?\u963?\u951? \u964?\u959?\u965? \u954?\u945?\u957?\u959?\u957?\u953?\u963?\u956?\u959?\u973? (\u917?\u922?) \u945?\u961?\u953?\u952?. 1889/2005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825"/>
    <w:docVar w:name="LW_REF.INTERNE" w:val="&lt;UNUSED&gt;"/>
    <w:docVar w:name="LW_SUPERTITRE" w:val="&lt;UNUSED&gt;"/>
    <w:docVar w:name="LW_TITRE.OBJ.CP" w:val="&lt;UNUSED&gt;"/>
    <w:docVar w:name="LW_TYPE.DOC.CP" w:val="\u928?\u913?\u929?\u913?\u929?\u932?\u919?\u924?\u913?\u932?\u913?"/>
    <w:docVar w:name="LW_TYPEACTEPRINCIPAL.CP" w:val="\u928?\u961?\u972?\u964?\u945?\u963?\u951? \u954?\u945?\u957?\u959?\u957?\u953?\u963?\u956?\u959?\u973? \u964?\u959?\u965? \u917?\u965?\u961?\u969?\u960?\u945?\u970?\u954?\u959?\u973? \u922?\u959?\u953?\u957?\u959?\u946?\u959?\u965?\u955?\u943?\u959?\u965? \u954?\u945?\u953? \u964?\u959?\u965? \u931?\u965?\u956?\u946?\u959?\u965?\u955?\u943?\u959?\u965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308</Words>
  <Characters>1633</Characters>
  <Application>Microsoft Office Word</Application>
  <DocSecurity>0</DocSecurity>
  <Lines>85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SACEANU Gabriela (TAXUD)</dc:creator>
  <cp:lastModifiedBy>DIGIT/A3</cp:lastModifiedBy>
  <cp:revision>9</cp:revision>
  <cp:lastPrinted>2016-12-14T15:13:00Z</cp:lastPrinted>
  <dcterms:created xsi:type="dcterms:W3CDTF">2016-12-22T14:06:00Z</dcterms:created>
  <dcterms:modified xsi:type="dcterms:W3CDTF">2017-01-11T10:48:00Z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