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AD982A11B8834BA180592FFA39AD07E7" style="width:450.45pt;height:321.4pt">
            <v:imagedata r:id="rId9" o:title=""/>
          </v:shape>
        </w:pict>
      </w:r>
    </w:p>
    <w:bookmarkEnd w:id="0"/>
    <w:p>
      <w:pPr>
        <w:rPr>
          <w:rFonts w:ascii="Times New Roman" w:hAnsi="Times New Roman" w:cs="Times New Roman"/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ListParagraph"/>
        <w:keepNext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mallCaps/>
          <w:noProof/>
          <w:sz w:val="24"/>
        </w:rPr>
        <w:lastRenderedPageBreak/>
        <w:t>Uvod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 prometnom sektoru slijede važne promjene koje će se odvijati i u Europi i u drugim dijelovima svijeta. Val tehnoloških inovacija i poslovnih modela koji izazivaju promjene na tržištu doveo je do sve veće potražnje za novim uslugama mobilnosti. Istovremeno, sektor odgovara na hitnu potrebu za sigurnijim, učinkovitijim i održivijim prometom. Posljedica te transformacije iznimno su velike prilike u društvenom i gospodarskom smislu koje Europa mora odmah iskoristiti kako bi njezini građani i poduzeća imali koristi od te transformacije.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Digitalne tehnologije jedan su od pokretača tog procesa, možda i najvažniji. Razmjena podataka među različitim subjektima u prometnom sustavu znači da se na ponudu i potražnju može odgovoriti u stvarnom vremenu, što dovodi do učinkovitijeg korištenja resursima, bilo da je riječ o dijeljenju automobila, kontejneru ili željezničkoj mreži. Digitalne tehnologije pomažu smanjiti ljudske pogreške, koje su daleko najveći uzrok prometnih nesreća. One mogu stvoriti i pravi multimodalni prometni sustav u kojem se svi načini prijevoza integriraju u jednu uslugu mobilnosti, što omogućuje nesmetan prijevoz ljudi i tereta od vrata do vrata. Usto, mogu potaknuti društvene inovacije i osigurati mobilnost za sve, uz pojavu novih aktera i novih oblika stvaranja vrijednosti kao što je ekonomija suradnje.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Digitalne tehnologije i povezani poslovni modeli imaju velik potencijal u cestovnom prometu, a velika je i potreba za djelovanjem. Stabilan i pozitivan trend u sigurnosti u cestovnom prometu u EU-u koji je obilježio posljednje desetljeće usporio se. Cestovni promet i dalje je zaslužan za većinu emisija stakleničkih plinova i tvari koje onečišćuju zrak u prometu</w:t>
      </w:r>
      <w:r>
        <w:rPr>
          <w:rStyle w:val="FootnoteReference"/>
          <w:rFonts w:ascii="Times New Roman" w:hAnsi="Times New Roman"/>
          <w:noProof/>
          <w:sz w:val="24"/>
        </w:rPr>
        <w:footnoteReference w:id="1"/>
      </w:r>
      <w:bookmarkStart w:id="2" w:name="_Ref464146642"/>
      <w:r>
        <w:rPr>
          <w:rStyle w:val="FootnoteReference"/>
          <w:rFonts w:ascii="Times New Roman" w:hAnsi="Times New Roman"/>
          <w:noProof/>
          <w:sz w:val="24"/>
        </w:rPr>
        <w:footnoteReference w:id="2"/>
      </w:r>
      <w:bookmarkEnd w:id="2"/>
      <w:r>
        <w:rPr>
          <w:rFonts w:ascii="Times New Roman" w:hAnsi="Times New Roman"/>
          <w:noProof/>
          <w:sz w:val="24"/>
        </w:rPr>
        <w:t>. Svakog dana zagušene su ceste izrazito velik trošak za gospodarstvo EU-a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</w:rPr>
        <w:t>. Budući da radna mjesta milijuna Europljana izravno ili neizravno ovise o automobilskoj i prometnoj industriji, ključno je da uvjeti u sektoru omoguće zadržavanje vodeće uloge u svijetu.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Ova je Komunikacija stoga usko povezana s političkim prioritetima Komisije, posebno s Programom za radna mjesta, rast i ulaganja, jedinstvenim digitalnim tržištem i Strategijom energetske unije</w:t>
      </w:r>
      <w:r>
        <w:rPr>
          <w:rStyle w:val="FootnoteReference"/>
          <w:rFonts w:ascii="Times New Roman" w:hAnsi="Times New Roman"/>
          <w:noProof/>
        </w:rPr>
        <w:footnoteReference w:id="4"/>
      </w:r>
      <w:r>
        <w:rPr>
          <w:rFonts w:ascii="Times New Roman" w:hAnsi="Times New Roman"/>
          <w:noProof/>
          <w:sz w:val="24"/>
        </w:rPr>
        <w:t>. U Europskoj strategiji za mobilnost s niskom razinom emisije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fldChar w:fldCharType="begin" w:fldLock="1"/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instrText xml:space="preserve"> NOTEREF _Ref464146642 \h  \* MERGEFORMAT </w:instrTex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fldChar w:fldCharType="end"/>
      </w:r>
      <w:r>
        <w:rPr>
          <w:rFonts w:ascii="Times New Roman" w:hAnsi="Times New Roman"/>
          <w:noProof/>
          <w:sz w:val="24"/>
        </w:rPr>
        <w:t>, donesenoj u srpnju 2016., naglašava se potencijal da se kooperativnim, povezanim i automatiziranim vozilima smanje potrošnja energije i emisije iz prometa. U Strategiji za digitalizaciju europske industrije</w:t>
      </w:r>
      <w:r>
        <w:rPr>
          <w:rStyle w:val="FootnoteReference"/>
          <w:rFonts w:ascii="Times New Roman" w:hAnsi="Times New Roman"/>
          <w:noProof/>
        </w:rPr>
        <w:footnoteReference w:id="5"/>
      </w:r>
      <w:r>
        <w:rPr>
          <w:rFonts w:ascii="Times New Roman" w:hAnsi="Times New Roman"/>
          <w:noProof/>
          <w:sz w:val="24"/>
        </w:rPr>
        <w:t xml:space="preserve"> kooperativna, povezana i automatizirana vozila utvrđena su kao prioritetno područje za poticanje konkurentnosti europske industrije. U studijama je procijenjeno da tržišni potencijal kooperativne, povezane i automatizirane vožnje iznosi desetine milijardi eura godišnje, a moglo bi se stvoriti i stotine tisuća radnih mjesta</w:t>
      </w:r>
      <w:r>
        <w:rPr>
          <w:rStyle w:val="FootnoteReference"/>
          <w:rFonts w:ascii="Times New Roman" w:hAnsi="Times New Roman"/>
          <w:noProof/>
        </w:rPr>
        <w:footnoteReference w:id="6"/>
      </w:r>
      <w:r>
        <w:rPr>
          <w:rFonts w:ascii="Times New Roman" w:hAnsi="Times New Roman"/>
          <w:noProof/>
          <w:sz w:val="24"/>
        </w:rPr>
        <w:t>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Današnja su vozila u mnogim aspektima već povezana. Međutim, u vrlo bliskoj budućnosti ona će biti u izravnoj međusobnoj interakciji te u interakciji s cestovnom infrastrukturom. Interakcija je područje kooperativnih inteligentnih prometnih sustava (C-ITS), koji će omogućiti da sudionici u cestovnom prometu i upravitelji prometa dijele i upotrebljavaju informacije koje prije nisu bile dostupne te koordiniraju svoje aktivnosti. Očekuje se da će taj kooperativni element</w:t>
      </w:r>
      <w:r>
        <w:rPr>
          <w:rStyle w:val="FootnoteReference"/>
          <w:rFonts w:ascii="Times New Roman" w:hAnsi="Times New Roman"/>
          <w:noProof/>
          <w:sz w:val="24"/>
        </w:rPr>
        <w:footnoteReference w:id="7"/>
      </w:r>
      <w:r>
        <w:rPr>
          <w:rFonts w:ascii="Times New Roman" w:hAnsi="Times New Roman"/>
          <w:noProof/>
          <w:sz w:val="24"/>
        </w:rPr>
        <w:t>, koji omogućuje digitalna povezivost, znatno povećati sigurnost u cestovnom prometu, prometnu učinkovitost i udobnost vožnje tako što će pomoći vozaču u donošenju ispravnih odluka i prilagodbi na stanje u prometu.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Komunikacija između vozila, s infrastrukturom i drugim sudionicima u cestovnom prometu ključna je i za povećanje sigurnosti automatiziranih vozila i njihovu punu integraciju u cjelokupni prometni sustav. Kooperativnost, povezivost i automatizacija nisu samo komplementarne tehnologije, one se međusobno učvršćuju i s vremenom će se u potpunosti objediniti. Vožnja kamiona u konvoju (kamioni međusobno automatski komuniciraju i sigurno slijede jedan drugoga na vrlo kratkoj udaljenosti) dobar je primjer: povezivost, kooperativnost i automatizacija moraju se objediniti kako bi sustav funkcionirao. Kooperativnost će biti još potrebnija kad se buduća automatizirana vozila budu trebala sigurno i uspješno snalaziti u puno složenijim prometnim situacijama.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Zemlje diljem svijeta (npr. SAD, Australija, Japan, Koreja i Kina) sve brže napreduju prema uvođenju digitalnih tehnologija, a u nekim su zemljama na tržištu već dostupna vozila i usluge C-ITS-a. Ministri prometa iz zemalja G7</w:t>
      </w:r>
      <w:r>
        <w:rPr>
          <w:rStyle w:val="FootnoteReference"/>
          <w:rFonts w:ascii="Times New Roman" w:hAnsi="Times New Roman"/>
          <w:noProof/>
          <w:sz w:val="24"/>
        </w:rPr>
        <w:footnoteReference w:id="8"/>
      </w:r>
      <w:r>
        <w:rPr>
          <w:rFonts w:ascii="Times New Roman" w:hAnsi="Times New Roman"/>
          <w:noProof/>
          <w:sz w:val="24"/>
        </w:rPr>
        <w:t xml:space="preserve"> u nekoliko su navrata naglasili potrebu za djelovanjem. Nekoliko država članica započelo je aktivnosti uvođenja C-ITS-a u stvarnim uvjetima preko strateških partnerstava kao što su kooperativni koridor EU-a</w:t>
      </w:r>
      <w:r>
        <w:rPr>
          <w:rStyle w:val="FootnoteReference"/>
          <w:rFonts w:ascii="Times New Roman" w:hAnsi="Times New Roman"/>
          <w:noProof/>
          <w:sz w:val="24"/>
        </w:rPr>
        <w:footnoteReference w:id="9"/>
      </w:r>
      <w:r>
        <w:rPr>
          <w:rFonts w:ascii="Times New Roman" w:hAnsi="Times New Roman"/>
          <w:noProof/>
          <w:sz w:val="24"/>
        </w:rPr>
        <w:t xml:space="preserve"> koji povezuje Rotterdam s Frankfurtom i Bečom, ili Amsterdamska skupina</w:t>
      </w:r>
      <w:r>
        <w:rPr>
          <w:rStyle w:val="FootnoteReference"/>
          <w:rFonts w:ascii="Times New Roman" w:hAnsi="Times New Roman"/>
          <w:noProof/>
          <w:sz w:val="24"/>
        </w:rPr>
        <w:footnoteReference w:id="10"/>
      </w:r>
      <w:r>
        <w:rPr>
          <w:rFonts w:ascii="Times New Roman" w:hAnsi="Times New Roman"/>
          <w:noProof/>
          <w:sz w:val="24"/>
        </w:rPr>
        <w:t>. U Svemirskoj strategiji za Europu</w:t>
      </w:r>
      <w:bookmarkStart w:id="3" w:name="_Ref465865070"/>
      <w:r>
        <w:rPr>
          <w:rStyle w:val="FootnoteReference"/>
          <w:rFonts w:ascii="Times New Roman" w:hAnsi="Times New Roman"/>
          <w:noProof/>
          <w:sz w:val="24"/>
        </w:rPr>
        <w:footnoteReference w:id="11"/>
      </w:r>
      <w:bookmarkEnd w:id="3"/>
      <w:r>
        <w:rPr>
          <w:rFonts w:ascii="Times New Roman" w:hAnsi="Times New Roman"/>
          <w:noProof/>
          <w:sz w:val="24"/>
        </w:rPr>
        <w:t xml:space="preserve"> naglašava se potreba za poticanjem integracije svemirskih tehnologija u strategije o povezanim automobilima, prvenstveno uz oslanjanje na GALILEO i EGNOS.</w:t>
      </w:r>
    </w:p>
    <w:p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 Deklaraciji iz Amsterdama</w:t>
      </w:r>
      <w:r>
        <w:rPr>
          <w:rStyle w:val="FootnoteReference"/>
          <w:rFonts w:ascii="Times New Roman" w:hAnsi="Times New Roman"/>
          <w:noProof/>
          <w:sz w:val="24"/>
        </w:rPr>
        <w:footnoteReference w:id="12"/>
      </w:r>
      <w:r>
        <w:rPr>
          <w:rFonts w:ascii="Times New Roman" w:hAnsi="Times New Roman"/>
          <w:noProof/>
          <w:sz w:val="24"/>
        </w:rPr>
        <w:t xml:space="preserve"> iz travnja 2016. europski ministri prometa tražili su da Europska komisija razvije europsku strategiju o kooperativnim, povezanim i automatiziranim vozilima. Usto, industrija je iznijela svoju namjeru da 2019. započne s opsežnim uvođenjem vozila koja podržavaju sustav C-ITS</w:t>
      </w:r>
      <w:r>
        <w:rPr>
          <w:rFonts w:ascii="Times New Roman" w:hAnsi="Times New Roman"/>
          <w:noProof/>
          <w:sz w:val="24"/>
          <w:vertAlign w:val="superscript"/>
        </w:rPr>
        <w:footnoteReference w:id="13"/>
      </w:r>
      <w:r>
        <w:rPr>
          <w:rFonts w:ascii="Times New Roman" w:hAnsi="Times New Roman"/>
          <w:noProof/>
          <w:sz w:val="24"/>
        </w:rPr>
        <w:t>. Ipak, prije toga je potrebno hitno usklađivanje na europskoj razini.</w:t>
      </w:r>
    </w:p>
    <w:p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Zbog brzog razvoja tehnologije te znatnih ulaganja javnog i privatnog sektora u razvijanje i ispitivanje tehnologija C-ITS-a postoji rizik da se, u nedostatku okvira na europskoj razini, interoperabilnost na razini EU-a ne postigne na vrijeme. Europska bi industrija tako bila u nepovoljnu položaju u odnosu na konkurenciju te bi se odgodilo uvođenje C-ITS-a u Europi, a time i brojnih prednosti za promet i društvo u cjelini.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Ova Komunikacija predstavlja strategiju EU-a za usklađeno uvođenje C-ITS-a kako bi se izbjeglo rascjepkano unutarnje tržište u području C-ITS-a i stvorile sinergije među različitim inicijativama. Obuhvaćeni su najkritičniji problemi, među ostalim kibersigurnost i zaštita podataka (oboje vrlo bitni za prihvaćanje strategije u javnosti) te interoperabilnost, a predloženo je i djelovanje na različitim razinama kako bi se strategija provela do ciljnog datuma 2019. Ova je Komunikacija stoga važan dio strategije EU-a o kooperativnim, povezanim i automatiziranim vozilima.</w:t>
      </w:r>
    </w:p>
    <w:p>
      <w:pPr>
        <w:pStyle w:val="ListParagraph"/>
        <w:keepNext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>Europske aktivnosti koje će omogućiti uvođenje kooperativne, povezane i automatizirane mobilnosti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Ova je Komunikacija rezultat intenzivnog rada sa stručnjacima iz javnog i privatnog sektora. Komisija od studenoga 2014. uređuje Platformu za C-ITS</w:t>
      </w:r>
      <w:r>
        <w:rPr>
          <w:rStyle w:val="FootnoteReference"/>
          <w:rFonts w:ascii="Times New Roman" w:hAnsi="Times New Roman"/>
          <w:noProof/>
          <w:sz w:val="24"/>
        </w:rPr>
        <w:footnoteReference w:id="14"/>
      </w:r>
      <w:r>
        <w:rPr>
          <w:rFonts w:ascii="Times New Roman" w:hAnsi="Times New Roman"/>
          <w:noProof/>
          <w:sz w:val="24"/>
        </w:rPr>
        <w:t xml:space="preserve"> kako bi utvrdila preostale prepreke i predložila rješenja za uvođenje C-ITS-a u Europi. Nakon prve faze Platforme za C-ITS izrađeno je stručno izvješće</w:t>
      </w:r>
      <w:r>
        <w:rPr>
          <w:rStyle w:val="FootnoteReference"/>
          <w:rFonts w:ascii="Times New Roman" w:hAnsi="Times New Roman"/>
          <w:noProof/>
          <w:sz w:val="24"/>
        </w:rPr>
        <w:footnoteReference w:id="15"/>
      </w:r>
      <w:r>
        <w:rPr>
          <w:rFonts w:ascii="Times New Roman" w:hAnsi="Times New Roman"/>
          <w:noProof/>
          <w:sz w:val="24"/>
        </w:rPr>
        <w:t>, koje su sudionici platforme jednoglasno prihvatili u siječnju 2016. Stručno izvješće dopunjeno je analizom troškova i koristi</w:t>
      </w:r>
      <w:bookmarkStart w:id="4" w:name="_Ref465896810"/>
      <w:r>
        <w:rPr>
          <w:rStyle w:val="FootnoteReference"/>
          <w:rFonts w:ascii="Times New Roman" w:hAnsi="Times New Roman"/>
          <w:noProof/>
          <w:sz w:val="24"/>
        </w:rPr>
        <w:footnoteReference w:id="16"/>
      </w:r>
      <w:bookmarkEnd w:id="4"/>
      <w:r>
        <w:rPr>
          <w:rFonts w:ascii="Times New Roman" w:hAnsi="Times New Roman"/>
          <w:noProof/>
          <w:sz w:val="24"/>
        </w:rPr>
        <w:t xml:space="preserve"> i javnim savjetovanjem</w:t>
      </w:r>
      <w:r>
        <w:rPr>
          <w:rStyle w:val="FootnoteReference"/>
          <w:rFonts w:ascii="Times New Roman" w:hAnsi="Times New Roman"/>
          <w:noProof/>
          <w:sz w:val="24"/>
        </w:rPr>
        <w:footnoteReference w:id="17"/>
      </w:r>
      <w:r>
        <w:rPr>
          <w:rFonts w:ascii="Times New Roman" w:hAnsi="Times New Roman"/>
          <w:noProof/>
          <w:sz w:val="24"/>
        </w:rPr>
        <w:t>, koji su poslužili kao temelj za ovu Komunikaciju. U međuvremenu, druga faza Platforme za C-ITS počela je u srpnju 2016.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EU je već uložio znatna raspoloživa sredstva</w:t>
      </w:r>
      <w:r>
        <w:rPr>
          <w:rStyle w:val="FootnoteReference"/>
          <w:rFonts w:ascii="Times New Roman" w:hAnsi="Times New Roman"/>
          <w:noProof/>
          <w:sz w:val="24"/>
        </w:rPr>
        <w:footnoteReference w:id="18"/>
      </w:r>
      <w:r>
        <w:rPr>
          <w:rFonts w:ascii="Times New Roman" w:hAnsi="Times New Roman"/>
          <w:noProof/>
          <w:sz w:val="24"/>
        </w:rPr>
        <w:t xml:space="preserve"> u kooperativna, povezana i automatizirana vozila. Već više od 15 godina izvedivost usluga C-ITS-a dokazuje se u projektima povezanima s njihovim istraživanjem i uvođenjem. Tijekom posljednjeg razdoblja u okviru Obzora 2020. naglasak u istraživanju inteligentnih prometnih sustava prebačen je na integraciju vrsta prijevoza i poveznice s automatizacijom. Posebni poziv na podnošenje projektnih prijedloga o automatiziranom cestovnom prometu pokrenut je 2016. U kontekstu Strateškog programa za istraživanje i inovacije u prometu Komisija razvija plan o povezanom i automatiziranom prometu radi utvrđivanja smjera i koordinacije budućih aktivnosti istraživanja i inovacija u Europi. Taj rad dopunjuju opsežni projekti uvođenja u svrhu razvoja kooperativnih sustava o transeuropskoj prometnoj mreži u 13 zemalja</w:t>
      </w:r>
      <w:r>
        <w:rPr>
          <w:rStyle w:val="FootnoteReference"/>
          <w:rFonts w:ascii="Times New Roman" w:hAnsi="Times New Roman"/>
          <w:noProof/>
          <w:sz w:val="24"/>
        </w:rPr>
        <w:footnoteReference w:id="19"/>
      </w:r>
      <w:r>
        <w:rPr>
          <w:rFonts w:ascii="Times New Roman" w:hAnsi="Times New Roman"/>
          <w:noProof/>
          <w:sz w:val="24"/>
        </w:rPr>
        <w:t>, uz korištenje programima EU-a za financiranje, npr. Instrumenta za povezivanje Europe (CEF).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Kad je riječ o politici povezanoj s visoko automatiziranim i povezanim vozilima, brojna tijela država članica, nevladine organizacije i dionici iz industrije surađuju s odgovarajućim povjerenicima u okviru skupine na visokoj razini GEAR 2030. osnovane u listopadu 2015. sa zadaćom razmatranja budućnosti automobilskog sektora. GEAR 2030. uzet će u obzir rezultate Platforme za C-ITS koji daju uvid u prometni sustav. Cilj je skupine predstaviti prve preporuke do kraja 2016., a završne preporuke do sredine 2017.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Dijalog na visokoj razini, u obliku okruglih stolova industrije uz sudjelovanje telekomunikacijske industrije i industrije proizvodnje vozila, pokrenut je u jesen 2015. radi razvoja sinergija u području povezanih i automatiziranih vozila. Očekuje se da će dijalog pomoći automobilskom sektoru u iskorištavanju digitalnog razvoja kao što su internet stvari, velike količine podataka, politika telekomunikacija i digitalizacija industrije, a njegov je rezultat već vidljiv u obvezivanju obiju industrija na stvaranje novih udruženja i početak testiranja tehnologije 5G.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Kao što se navodi u programu rada Komisije za 2017., Komisija će i dalje raditi na regulatornom okruženju, izgradnji ekosustava, učinkovitosti resursa i normizaciji radi lakšeg uvođenja sve učinkovitijih kooperativnih, povezanih i automatiziranih vozila na tržište.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Osim navedenih inicijativa potrebna je dosad najveća razina suradnje između mnogih sektora kako bi uvođenje C-ITS-a uspjelo. Uloge i odgovornosti u vrijednosnom lancu sve su nejasnije, što dovodi u pitanje postojeće koncepte. Kako bi se izbjegao mogući povratni učinak, npr. neto povećanje prometa i emisija, nužna je bliska suradnja s lokalnim tijelima. Primjerice, integracija kooperativnih, povezanih i automatiziranih vozila u planiranje održive mobilnosti ili u koncept „mobilnost kao usluga”, uključujući javni prijevoz i vrste aktivnog putovanja kao što su šetanje i vožnja bicikla. Kako bi se osigurala široka prihvaćenost tehnologija C-ITS i povećao njihov gospodarski i društveni učinak, ključno je sudjelovanje građana, a uvođenje C-ITS-a treba biti usmjereno na korisnika.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 sustavu digitalnog prometa potrebno je razmišljati horizontalno, obuhvaćajući razne vrste prijevoza i industrije, a ne u vertikalnim konceptima (npr. promet, energija ili telekomunikacije). Naglasak više ne može biti samo na razini infrastrukture (npr. na cestama i vozilima). Digitalne tehnologije nadovezuju se i na razinu podataka koja obuhvaća i statističke podatke kao što su digitalne karte i prometni propisi te dinamičke podatke kao što su informacije o prometu u stvarnom vremenu. Ti se podaci potom upotrebljavaju za razvoj razine inovativnih usluga i primjena koje su dostupne preko razine mreža. Za što bolje iskorištavanje digitalnih tehnologija potrebno je osigurati pristup tržištu i pošteno tržišno natjecanje na svakoj od razina, kao što se preporučuje u Komunikaciji Komisije o internetskim platformama</w:t>
      </w:r>
      <w:r>
        <w:rPr>
          <w:rStyle w:val="FootnoteReference"/>
          <w:rFonts w:ascii="Times New Roman" w:hAnsi="Times New Roman"/>
          <w:noProof/>
          <w:sz w:val="24"/>
        </w:rPr>
        <w:footnoteReference w:id="20"/>
      </w:r>
      <w:r>
        <w:rPr>
          <w:rFonts w:ascii="Times New Roman" w:hAnsi="Times New Roman"/>
          <w:noProof/>
          <w:sz w:val="24"/>
        </w:rPr>
        <w:t>.</w:t>
      </w:r>
    </w:p>
    <w:p>
      <w:pPr>
        <w:pStyle w:val="ListParagraph"/>
        <w:keepNext/>
        <w:numPr>
          <w:ilvl w:val="0"/>
          <w:numId w:val="4"/>
        </w:numPr>
        <w:spacing w:before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>Put prema uvođenju C-ITS-a 2019.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Na temelju preporuka Platforme za C-ITS</w:t>
      </w:r>
      <w:r>
        <w:rPr>
          <w:rStyle w:val="FootnoteReference"/>
          <w:rFonts w:ascii="Times New Roman" w:hAnsi="Times New Roman"/>
          <w:noProof/>
          <w:sz w:val="24"/>
        </w:rPr>
        <w:footnoteReference w:id="21"/>
      </w:r>
      <w:r>
        <w:rPr>
          <w:rFonts w:ascii="Times New Roman" w:hAnsi="Times New Roman"/>
          <w:noProof/>
          <w:sz w:val="24"/>
        </w:rPr>
        <w:t xml:space="preserve"> Komisija je utvrdila probleme koje bi trebalo riješiti na razini EU-a kako bi se osiguralo koordinirano uvođenje usluga C-ITS-a 2019. U sljedećim se poglavljima predlažu konkretne mjere za rješavanje svakog od problema, među ostalim stvaranje uvjeta na razini Europe, država članica, javnih tijela i industrije.</w:t>
      </w:r>
    </w:p>
    <w:p>
      <w:pPr>
        <w:pStyle w:val="ListParagraph"/>
        <w:keepNext/>
        <w:numPr>
          <w:ilvl w:val="1"/>
          <w:numId w:val="12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Prioriteti za uvođenje usluga C-ITS-a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Kontinuitet usluge, tj. dostupnost usluga C-ITS-a diljem EU-a za krajnje korisnike, najvažniji je faktor za brzo uvođenje C-ITS-a u Europi. Ako je to moguće, uvedene bi usluge od početka trebale biti što šire dostupne, i u pogledu infrastrukture i u pogledu vozila. Ovom se Komunikacijom stoga utvrđuju prioriteti prema kojima bi države članice i industrija koordinirano uvodili usluge C-ITS-a.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Na zahtjev Komisije Platforma za C-ITS analizirala je troškove i koristi uvođenja usluga za cestovni promet s podržanim C-ITS-om u državama članicama.</w:t>
      </w:r>
      <w:r>
        <w:rPr>
          <w:rStyle w:val="FootnoteReference"/>
          <w:rFonts w:ascii="Times New Roman" w:hAnsi="Times New Roman" w:cs="Times New Roman"/>
          <w:noProof/>
        </w:rPr>
        <w:fldChar w:fldCharType="begin" w:fldLock="1"/>
      </w:r>
      <w:r>
        <w:rPr>
          <w:rStyle w:val="FootnoteReference"/>
          <w:rFonts w:ascii="Times New Roman" w:hAnsi="Times New Roman" w:cs="Times New Roman"/>
          <w:noProof/>
        </w:rPr>
        <w:instrText xml:space="preserve"> NOTEREF _Ref465896810 \h  \* MERGEFORMAT </w:instrText>
      </w:r>
      <w:r>
        <w:rPr>
          <w:rStyle w:val="FootnoteReference"/>
          <w:rFonts w:ascii="Times New Roman" w:hAnsi="Times New Roman" w:cs="Times New Roman"/>
          <w:noProof/>
        </w:rPr>
      </w:r>
      <w:r>
        <w:rPr>
          <w:rStyle w:val="FootnoteReference"/>
          <w:rFonts w:ascii="Times New Roman" w:hAnsi="Times New Roman" w:cs="Times New Roman"/>
          <w:noProof/>
        </w:rPr>
        <w:fldChar w:fldCharType="separate"/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t>16</w:t>
      </w:r>
      <w:r>
        <w:rPr>
          <w:rStyle w:val="FootnoteReference"/>
          <w:rFonts w:ascii="Times New Roman" w:hAnsi="Times New Roman" w:cs="Times New Roman"/>
          <w:noProof/>
        </w:rPr>
        <w:fldChar w:fldCharType="end"/>
      </w:r>
      <w:r>
        <w:rPr>
          <w:rFonts w:ascii="Times New Roman" w:hAnsi="Times New Roman"/>
          <w:noProof/>
          <w:sz w:val="24"/>
        </w:rPr>
        <w:t xml:space="preserve"> U tu je svrhu Platforma raspravljala o najperspektivnijim scenarijima uvođenja u smislu brze i široke uporabe.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Zaključak je bio da će hitne usluge C-ITS-a jednom kad se na interoperabilan način uvedu širom Europe generirati omjer koristi i troškova od najviše 3 : 1 na temelju kumulativnih troškova i koristi od 2018. do 2030. To znači da bi svaki euro uložen u hitne usluge C-ITS-a trebao generirati koristi u vrijednosti i do tri eura. Brzo uvođenje što većeg broja usluga značit će i da će one brže dostići granicu profitabilnosti te da će biti više ukupnih koristi, prvenstveno zbog učinka mreže (što znači da bi spore početne stope uvođenja značile relativno duga razdoblja s malo koristi).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Na temelju toga Komisija smatra da bi usluge s popisa tehnološki spremnih i visoko korisnih usluga C-ITS-a trebalo uvesti brzo kako bi se krajnji korisnici i društvo u cjelini što prije mogli njima koristiti. Taj popis za rano uvođenje definiran je u nastavku kao </w:t>
      </w:r>
      <w:r>
        <w:rPr>
          <w:rFonts w:ascii="Times New Roman" w:hAnsi="Times New Roman"/>
          <w:i/>
          <w:noProof/>
          <w:sz w:val="24"/>
        </w:rPr>
        <w:t>popis hitnih usluga C-ITS-a (Day 1)</w:t>
      </w:r>
      <w:r>
        <w:rPr>
          <w:rFonts w:ascii="Times New Roman" w:hAnsi="Times New Roman"/>
          <w:noProof/>
          <w:sz w:val="24"/>
        </w:rPr>
        <w:t>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U drugoj bi se fazi uvele usluge s </w:t>
      </w:r>
      <w:r>
        <w:rPr>
          <w:rFonts w:ascii="Times New Roman" w:hAnsi="Times New Roman"/>
          <w:i/>
          <w:noProof/>
          <w:sz w:val="24"/>
        </w:rPr>
        <w:t>popisa manje hitnih usluga C-ITS-a (Day 1.5)</w:t>
      </w:r>
      <w:r>
        <w:rPr>
          <w:rFonts w:ascii="Times New Roman" w:hAnsi="Times New Roman"/>
          <w:noProof/>
          <w:sz w:val="24"/>
        </w:rPr>
        <w:t>. To je popis usluga koje se smatraju općenito spremnima, ali za koje pune specifikacije ili norme možda nisu u potpunosti spremni za opsežno uvođenje od 2019.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Sudionici javnog savjetovanja složili su se da bi sve usluge (s obaju popisa) trebalo rano uvesti.</w:t>
      </w:r>
    </w:p>
    <w:tbl>
      <w:tblPr>
        <w:tblStyle w:val="TableGrid"/>
        <w:tblW w:w="9042" w:type="dxa"/>
        <w:jc w:val="center"/>
        <w:tblLook w:val="04A0" w:firstRow="1" w:lastRow="0" w:firstColumn="1" w:lastColumn="0" w:noHBand="0" w:noVBand="1"/>
      </w:tblPr>
      <w:tblGrid>
        <w:gridCol w:w="9042"/>
      </w:tblGrid>
      <w:tr>
        <w:trPr>
          <w:jc w:val="center"/>
        </w:trPr>
        <w:tc>
          <w:tcPr>
            <w:tcW w:w="904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Popis hitnih usluga C-ITS-a</w:t>
            </w:r>
          </w:p>
        </w:tc>
      </w:tr>
      <w:tr>
        <w:trPr>
          <w:trHeight w:val="282"/>
          <w:jc w:val="center"/>
        </w:trPr>
        <w:tc>
          <w:tcPr>
            <w:tcW w:w="9042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Obavijesti o opasnoj lokaciji:</w:t>
            </w:r>
          </w:p>
          <w:p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upozorenja o sporim vozilima ili vozilima u mirovanju i prometu,</w:t>
            </w:r>
          </w:p>
          <w:p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upozorenja o radovima na cesti,</w:t>
            </w:r>
          </w:p>
          <w:p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vremenski uvjeti,</w:t>
            </w:r>
          </w:p>
          <w:p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svjetlo kočnice za slučaj opasnosti,</w:t>
            </w:r>
          </w:p>
          <w:p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približavanje vozila hitnih službi,</w:t>
            </w:r>
          </w:p>
          <w:p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ostale opasnosti.</w:t>
            </w:r>
          </w:p>
          <w:p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Signalizacija i obavijesti:</w:t>
            </w:r>
          </w:p>
          <w:p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prometni znakovi u vozilu,</w:t>
            </w:r>
          </w:p>
          <w:p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ograničenje brzine u vozilu,</w:t>
            </w:r>
          </w:p>
          <w:p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nepoštovanje semafora / sigurnost na raskrižju,</w:t>
            </w:r>
          </w:p>
          <w:p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traženje prednosti na semaforu za vozila hitnih službi,</w:t>
            </w:r>
          </w:p>
          <w:p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savjet o optimalnoj brzini za ulazak na zeleno svjetlo,</w:t>
            </w:r>
          </w:p>
          <w:p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podaci iz kooperativnog vozila,</w:t>
            </w:r>
          </w:p>
          <w:p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ublažavanje udarnog vala (pripada u kategoriju „upozorenja o lokalnoj opasnosti” Europskog instituta za telekomunikacijske norme).</w:t>
            </w:r>
          </w:p>
        </w:tc>
      </w:tr>
      <w:tr>
        <w:trPr>
          <w:jc w:val="center"/>
        </w:trPr>
        <w:tc>
          <w:tcPr>
            <w:tcW w:w="904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Popis manje hitnih usluga C-ITS-a</w:t>
            </w:r>
          </w:p>
        </w:tc>
      </w:tr>
      <w:tr>
        <w:trPr>
          <w:trHeight w:val="282"/>
          <w:jc w:val="center"/>
        </w:trPr>
        <w:tc>
          <w:tcPr>
            <w:tcW w:w="9042" w:type="dxa"/>
          </w:tcPr>
          <w:p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informacije o postajama za opskrbu gorivom i punjenje za vozila na alternativna goriva,</w:t>
            </w:r>
          </w:p>
          <w:p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zaštita nezaštićenih sudionika u cestovnom prometu,</w:t>
            </w:r>
          </w:p>
          <w:p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upravljanje parkiranjem na ulici i povezane informacije,</w:t>
            </w:r>
          </w:p>
          <w:p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informacije o parkiranju izvan ulice,</w:t>
            </w:r>
          </w:p>
          <w:p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informacije o usluzi parkiranja i upotrebe javnog prijevoza (</w:t>
            </w:r>
            <w:r>
              <w:rPr>
                <w:rFonts w:ascii="Times New Roman" w:hAnsi="Times New Roman"/>
                <w:i/>
                <w:noProof/>
                <w:sz w:val="24"/>
              </w:rPr>
              <w:t>park &amp; ride</w:t>
            </w:r>
            <w:r>
              <w:rPr>
                <w:rFonts w:ascii="Times New Roman" w:hAnsi="Times New Roman"/>
                <w:noProof/>
                <w:sz w:val="24"/>
              </w:rPr>
              <w:t>),</w:t>
            </w:r>
          </w:p>
          <w:p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povezana i kooperativna navigacija prema gradu i iz grada (prvi i posljednji kilometar, parkiranje, savjeti o ruti, usklađeni semafori),</w:t>
            </w:r>
          </w:p>
          <w:p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informacije o prometu i inteligentno usmjeravanje.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9042" w:type="dxa"/>
        <w:jc w:val="center"/>
        <w:tblLook w:val="04A0" w:firstRow="1" w:lastRow="0" w:firstColumn="1" w:lastColumn="0" w:noHBand="0" w:noVBand="1"/>
      </w:tblPr>
      <w:tblGrid>
        <w:gridCol w:w="9042"/>
      </w:tblGrid>
      <w:tr>
        <w:trPr>
          <w:jc w:val="center"/>
        </w:trPr>
        <w:tc>
          <w:tcPr>
            <w:tcW w:w="904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Posebne mjere</w:t>
            </w:r>
          </w:p>
          <w:p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Države članice i lokalna tijela, proizvođači vozila, operateri u cestovnom prometu i industrija ITS-a trebali bi provesti C-ITS i osigurati da barem popis hitnih usluga C-ITS-a ima punu potporu.</w:t>
            </w:r>
          </w:p>
          <w:p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Komisija će poduprijeti države članice i industriju u uvođenju hitnih usluga C-ITS-a, osobito putem Instrumenta za povezivanje Europe, europskih strukturnih i investicijskih fondova te Europskog fonda za strateška ulaganja.</w:t>
            </w:r>
          </w:p>
          <w:p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Komisija će osigurati sredstva za istraživanje i inovacije u okviru Obzora 2020., možda i iz europskih strukturnih i investicijskih fondova, za manje hitne usluge C-ITS-a i ostale, uključujući više razine automatizacije.</w:t>
            </w:r>
          </w:p>
          <w:p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 okviru daljnjeg rada Platforme za C-ITS Komisija će poticati ažuriranje popisa manje hitnih usluga i popisa budućih usluga C-ITS-a.</w:t>
            </w:r>
          </w:p>
        </w:tc>
      </w:tr>
    </w:tbl>
    <w:p>
      <w:pPr>
        <w:pStyle w:val="ListParagraph"/>
        <w:keepNext/>
        <w:numPr>
          <w:ilvl w:val="1"/>
          <w:numId w:val="12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Sigurnost komunikacije u sustavu C-ITS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Zbog sve veće digitalizacije prometnog sustava on bi mogao postati osjetljiviji na hakiranje i kibernapade. Kibersigurnost komunikacije u sustavu C-ITS stoga je ključna i zahtijeva djelovanje na europskoj razini. Bez jasnih pravila donesenih na razini Unije uvođenje C-ITS-a u EU-u odgađat će se jer ulagači žele zajednički pristup za unutarnje tržište. Usto, fragmentirana sigurnosna rješenja ugrozit će interoperabilnost i sigurnost krajnjih korisnika.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Komisija stoga vjeruje da je potrebno razviti zajedničku politiku o sigurnosti i certifikatima</w:t>
      </w:r>
      <w:r>
        <w:rPr>
          <w:rStyle w:val="FootnoteReference"/>
          <w:rFonts w:ascii="Times New Roman" w:hAnsi="Times New Roman"/>
          <w:noProof/>
          <w:sz w:val="24"/>
        </w:rPr>
        <w:footnoteReference w:id="22"/>
      </w:r>
      <w:r>
        <w:rPr>
          <w:rFonts w:ascii="Times New Roman" w:hAnsi="Times New Roman"/>
          <w:noProof/>
          <w:sz w:val="24"/>
        </w:rPr>
        <w:t xml:space="preserve"> za uvođenje C-ITS-a u Europi. Taj stav podupire se i u preporukama Platforme za C-ITS-a i u javnom savjetovanju. Razvijanje predmetne politike ovisi o političkoj potpori koju jedinstveno i široko prihvaćeno sigurnosno rješenje za kooperativna i povezana vozila ima u Europi te o elementima povezane javne infrastrukture.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Potrebno je sudjelovanje svih dionika da se na razini EU-a razvije i utvrdi sigurnosni okvir, na temelju tehnologije infrastrukture javnih ključeva</w:t>
      </w:r>
      <w:r>
        <w:rPr>
          <w:rStyle w:val="FootnoteReference"/>
          <w:rFonts w:ascii="Times New Roman" w:hAnsi="Times New Roman"/>
          <w:noProof/>
          <w:sz w:val="24"/>
        </w:rPr>
        <w:footnoteReference w:id="23"/>
      </w:r>
      <w:r>
        <w:rPr>
          <w:rFonts w:ascii="Times New Roman" w:hAnsi="Times New Roman"/>
          <w:noProof/>
          <w:sz w:val="24"/>
        </w:rPr>
        <w:t>, za vozila i elemente javne infrastrukture, uključujući i postupak procjene usklađenosti. Stoga će ključni problem biti uspostava potrebnog sustava upravljanja na razini EU-a, nacionalnoj razini i razini industrije koji će uključivati sve glavne dionike, među ostalim i javna tijela (npr. ministarstva prometa i udruženja nadležna za nacionalnu sigurnost), operatere u cestovnom prometu, proizvođače vozila, pružatelje i operatere usluga C-ITS-a. Razvijanje zajedničkog sigurnosnog rješenja za uvođenje i funkcioniranje C-ITS-a u Europi bit će pak temelj za jaču sigurnost na višim razinama automatizacije (uključujući komunikaciju vozila i vozila te vozila i infrastrukture).</w:t>
      </w:r>
    </w:p>
    <w:tbl>
      <w:tblPr>
        <w:tblStyle w:val="TableGrid"/>
        <w:tblW w:w="9042" w:type="dxa"/>
        <w:jc w:val="center"/>
        <w:tblLook w:val="04A0" w:firstRow="1" w:lastRow="0" w:firstColumn="1" w:lastColumn="0" w:noHBand="0" w:noVBand="1"/>
      </w:tblPr>
      <w:tblGrid>
        <w:gridCol w:w="9042"/>
      </w:tblGrid>
      <w:tr>
        <w:trPr>
          <w:jc w:val="center"/>
        </w:trPr>
        <w:tc>
          <w:tcPr>
            <w:tcW w:w="904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Posebne mjere</w:t>
            </w:r>
          </w:p>
          <w:p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Komisija će surađivati sa svim relevantnim dionicima u području C-ITS-a radi usmjeravanja razvoja zajedničke politike o sigurnosti i certifikatima za uvođenje i funkcioniranje C-ITS-a u Europi. Objavit će smjernice o europskoj politici sigurnosti i certifikata povezanih s C-ITS-om u 2017.</w:t>
            </w:r>
          </w:p>
          <w:p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Sve inicijative za uvođenje C-ITS-a trebale bi biti dio razvoja te zajedničke sigurnosne politike tako što će se od početka obvezati na to da se u Europi pružaju usluge C-ITS-a održive u budućnosti.</w:t>
            </w:r>
          </w:p>
        </w:tc>
      </w:tr>
      <w:tr>
        <w:trPr>
          <w:jc w:val="center"/>
        </w:trPr>
        <w:tc>
          <w:tcPr>
            <w:tcW w:w="90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Komisija će analizirati uloge i odgovornosti europskog modela povjerenja za C-ITS, kao i treba li preuzeti neke operativne funkcije i upravljačke uloge (kao npr. u slučaju pametnog tahografa</w:t>
            </w:r>
            <w:r>
              <w:rPr>
                <w:rFonts w:ascii="Times New Roman" w:hAnsi="Times New Roman"/>
                <w:noProof/>
                <w:vertAlign w:val="superscript"/>
              </w:rPr>
              <w:footnoteReference w:id="24"/>
            </w:r>
            <w:r>
              <w:rPr>
                <w:rFonts w:ascii="Times New Roman" w:hAnsi="Times New Roman"/>
                <w:noProof/>
                <w:sz w:val="24"/>
              </w:rPr>
              <w:t>).</w:t>
            </w:r>
          </w:p>
        </w:tc>
      </w:tr>
    </w:tbl>
    <w:p>
      <w:pPr>
        <w:pStyle w:val="ListParagraph"/>
        <w:keepNext/>
        <w:numPr>
          <w:ilvl w:val="1"/>
          <w:numId w:val="12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Mjere za zaštitu privatnosti i podataka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Zaštita osobnih podataka i privatnosti odlučujući je faktor za uspješno uvođenje kooperativnih, povezanih i automatiziranih vozila. Korisnici moraju imati jamstvo da njihovi osobni podaci nisu roba i znati da mogu uspješno kontrolirati kako se i za koje svrhe upotrebljavaju njihovi podaci.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Podaci koji će se putem C-ITS-a emitirati iz vozila u načelu će se smatrati osobnim podacima jer će se odnositi na identificiranu ili neidentificiranu fizičku osobu. Za provedbu C-ITS-a stoga je potrebna usklađenost s primjenjivim pravnim okvirom za zaštitu podataka</w:t>
      </w:r>
      <w:r>
        <w:rPr>
          <w:rStyle w:val="FootnoteReference"/>
          <w:rFonts w:ascii="Times New Roman" w:hAnsi="Times New Roman"/>
          <w:noProof/>
          <w:sz w:val="24"/>
        </w:rPr>
        <w:footnoteReference w:id="25"/>
      </w:r>
      <w:r>
        <w:rPr>
          <w:rFonts w:ascii="Times New Roman" w:hAnsi="Times New Roman"/>
          <w:noProof/>
          <w:sz w:val="24"/>
        </w:rPr>
        <w:t>. Tim se pravilima utvrđuje da je obrada takvih podataka zakonita jedino ako se temelji na jednom od razloga navedenih u tom okviru, npr. na pristanku korisnika.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Načela ugrađene i standardne zaštite podataka te procjene učinka zaštite podataka od ključne su važnosti za izradu osnovnog nacrta i projektiranje sustava C-ITS-a, osobito u kontekstu primijenjenog programa za sigurnost komunikacije. Prema odgovorima tijekom javnog savjetovanja krajnji su korisnici spremni pristati na emitiranje podataka, osobito ako se podaci upotrebljavaju za povećanje sigurnosti u cestovnom prometu ili poboljšanje upravljanja prometom.</w:t>
      </w:r>
    </w:p>
    <w:tbl>
      <w:tblPr>
        <w:tblStyle w:val="TableGrid"/>
        <w:tblW w:w="9042" w:type="dxa"/>
        <w:jc w:val="center"/>
        <w:tblLook w:val="04A0" w:firstRow="1" w:lastRow="0" w:firstColumn="1" w:lastColumn="0" w:noHBand="0" w:noVBand="1"/>
      </w:tblPr>
      <w:tblGrid>
        <w:gridCol w:w="9042"/>
      </w:tblGrid>
      <w:tr>
        <w:trPr>
          <w:jc w:val="center"/>
        </w:trPr>
        <w:tc>
          <w:tcPr>
            <w:tcW w:w="904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Posebne mjere</w:t>
            </w:r>
          </w:p>
          <w:p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Pružatelji usluga C-ITS-a trebali bi krajnjim korisnicima nuditi transparentne uvjete, uz upotrebu jasnog i razumljivog jezika u lako dostupnim obrascima, i tako im omogućiti da daju pristanak za obradu svojih osobnih podataka.</w:t>
            </w:r>
          </w:p>
          <w:p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Prve smjernice za ugrađenu i standardnu zaštitu podataka, osobito u vezi s C-ITS-om, Komisija će objaviti 2018.</w:t>
            </w:r>
          </w:p>
          <w:p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 okviru inicijativa za uvođenje C-ITS-a trebalo bi:</w:t>
            </w:r>
          </w:p>
          <w:p>
            <w:pPr>
              <w:pStyle w:val="ListParagraph"/>
              <w:numPr>
                <w:ilvl w:val="1"/>
                <w:numId w:val="45"/>
              </w:numPr>
              <w:ind w:left="58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raditi na informativnim kampanjama kako bi se kod krajnjih korisnika stvorilo potrebno povjerenje te dobila potpora javnosti,</w:t>
            </w:r>
          </w:p>
          <w:p>
            <w:pPr>
              <w:pStyle w:val="ListParagraph"/>
              <w:numPr>
                <w:ilvl w:val="1"/>
                <w:numId w:val="45"/>
              </w:numPr>
              <w:ind w:left="58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pokazati kako se upotrebom osobnih podataka mogu poboljšati sigurnost i učinkovitost prometnog sustava te istovremeno osigurati usklađenost s pravilima o zaštiti podataka i privatnosti,</w:t>
            </w:r>
          </w:p>
          <w:p>
            <w:pPr>
              <w:pStyle w:val="ListParagraph"/>
              <w:numPr>
                <w:ilvl w:val="1"/>
                <w:numId w:val="45"/>
              </w:numPr>
              <w:ind w:left="58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savjetovati se s tijelima EU-a za zaštitu podataka radi razvoja predloška za procjenu učinka zaštite podataka prilagođene sektoru koji će se upotrebljavati prilikom uvođenja novih usluga C-ITS-a.</w:t>
            </w:r>
          </w:p>
        </w:tc>
      </w:tr>
    </w:tbl>
    <w:p>
      <w:pPr>
        <w:pStyle w:val="ListParagraph"/>
        <w:keepNext/>
        <w:numPr>
          <w:ilvl w:val="1"/>
          <w:numId w:val="12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Komunikacijske tehnologije i frekvencije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Poruke C-ITS-a prenosit će se za širok raspon usluga, u raznim prometnim situacijama i između različitih aktera. Vozače u pravilu ne zanima koja se komunikacijska tehnologija upotrebljava za prenošenje poruka C-ITS-a, ali će sve više očekivati da nesmetano primaju sve informacije o prometnim i sigurnosnim uvjetima u cijeloj Europi. To se jedino može postići pristupom hibridne komunikacije, tj. kombinacijom komplementarnih komunikacijskih tehnologija.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Za potporu svim uslugama C-ITS-a u vozilu nužno je da su svi elementi kombinacije hibridne komunikacije ugrađeni u vozilo</w:t>
      </w:r>
      <w:r>
        <w:rPr>
          <w:rStyle w:val="FootnoteReference"/>
          <w:rFonts w:ascii="Times New Roman" w:hAnsi="Times New Roman"/>
          <w:noProof/>
          <w:sz w:val="24"/>
        </w:rPr>
        <w:footnoteReference w:id="26"/>
      </w:r>
      <w:r>
        <w:rPr>
          <w:rFonts w:ascii="Times New Roman" w:hAnsi="Times New Roman"/>
          <w:noProof/>
          <w:sz w:val="24"/>
        </w:rPr>
        <w:t>. U pogledu infrastrukture izbor komunikacijske tehnologije ovisit će o lokaciji, vrsti usluge i isplativosti. Za poruke C-ITS-a ne bi trebalo biti važno koja se komunikacijska tehnologija upotrebljava, tj. trebale bi biti fleksibilne te olakšati uključivanje budućih tehnologija (npr. 5G</w:t>
      </w:r>
      <w:r>
        <w:rPr>
          <w:rStyle w:val="FootnoteReference"/>
          <w:rFonts w:ascii="Times New Roman" w:hAnsi="Times New Roman"/>
          <w:noProof/>
          <w:sz w:val="24"/>
        </w:rPr>
        <w:footnoteReference w:id="27"/>
      </w:r>
      <w:r>
        <w:rPr>
          <w:rFonts w:ascii="Times New Roman" w:hAnsi="Times New Roman"/>
          <w:noProof/>
          <w:sz w:val="24"/>
        </w:rPr>
        <w:t xml:space="preserve"> i satelitska komunikacija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ldChar w:fldCharType="begin" w:fldLock="1"/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instrText xml:space="preserve"> NOTEREF _Ref465865070 \h  \* MERGEFORMAT </w:instrTex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t>11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/>
          <w:noProof/>
          <w:sz w:val="24"/>
        </w:rPr>
        <w:t>) u kombinaciju hibridne komunikacije.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Kombinacija hibridne komunikacije koja trenutačno najviše obećava kombinacija je ETSI-jevih inteligentnih prometnih sustava koji funkcioniraju u frekvencijskom pojasu od 5 GHz (ETSI ITS-G5) i postojećih mobilnih mreža. Ona osigurava najbolju moguću potporu za uvođenje svih hitnih usluga C-ITS-a. Nisku latenciju tehnologije ETSI ITS-G5 za poruke C-ITS-a koje se odnose na sigurnost i čije je vrijeme slanja presudno kombinira sa širokom geografskom pokrivenošću i pristupom velikim skupinama korisnika postojećih mobilnih mreža.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Komisija je 2008. odredila točan frekvencijski pojas za sigurnosne aplikacije.</w:t>
      </w:r>
      <w:r>
        <w:rPr>
          <w:rStyle w:val="FootnoteReference"/>
          <w:rFonts w:ascii="Times New Roman" w:hAnsi="Times New Roman"/>
          <w:noProof/>
          <w:sz w:val="24"/>
        </w:rPr>
        <w:footnoteReference w:id="28"/>
      </w:r>
      <w:r>
        <w:rPr>
          <w:rFonts w:ascii="Times New Roman" w:hAnsi="Times New Roman"/>
          <w:noProof/>
          <w:sz w:val="24"/>
        </w:rPr>
        <w:t xml:space="preserve"> Početno uvođenje za komunikaciju kratkog dometa vozilo-vozilo i vozilo-infrastruktura temeljit će se na već dostupnim tehnologijama koje se koriste tim pojasom i koje će prema potrebi neometano funkcionirati zajedno s 5G u skladu s načelom komplementarnosti. Kako bi se postojeće i buduće sigurnosne aplikacije zaštitilo od štetnih smetnji, potrebno je osigurati njihovo paralelno funkcioniranje s aplikacijama koje se koriste susjednim pojasevima ili istim spektrom. Potrebno je definirati i provesti odgovarajuće tehnike ublažavanja (npr. paralelno funkcioniranje s naplatom cestarine) te pažljivo procijeniti dodjelu spektra (npr. utjecaj predloženog proširenja radijske lokalne mreže na taj frekvencijski pojas).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Većina sudionika javnog savjetovanja podupire pristup hibridne komunikacije. Manje od 5 % ne podupire početno uvođenje na temelju ETSI ITS-G5, a velika većina smatra da će 5G dugoročno imati važnu ulogu.</w:t>
      </w:r>
    </w:p>
    <w:tbl>
      <w:tblPr>
        <w:tblStyle w:val="TableGrid"/>
        <w:tblW w:w="9042" w:type="dxa"/>
        <w:jc w:val="center"/>
        <w:tblLook w:val="04A0" w:firstRow="1" w:lastRow="0" w:firstColumn="1" w:lastColumn="0" w:noHBand="0" w:noVBand="1"/>
      </w:tblPr>
      <w:tblGrid>
        <w:gridCol w:w="9042"/>
      </w:tblGrid>
      <w:tr>
        <w:trPr>
          <w:jc w:val="center"/>
        </w:trPr>
        <w:tc>
          <w:tcPr>
            <w:tcW w:w="9042" w:type="dxa"/>
            <w:shd w:val="clear" w:color="auto" w:fill="D9D9D9" w:themeFill="background1" w:themeFillShade="D9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Posebne mjere</w:t>
            </w:r>
          </w:p>
          <w:p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Tijela nadležna za ceste, pružatelji usluga, proizvođači vozila i radijske opreme i drugi industrijski akteri trebali bi donijeti strategiju za hibridnu komunikaciju u području nabave i serijske proizvodnje radi potpore cijelom popisu hitnih usluga C-ITS-a.</w:t>
            </w:r>
          </w:p>
          <w:p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Telekomunikacijski operateri koji podupiru usluge C-ITS-a trebali bi na primjeren način upravljati mrežnim opterećenjem za usluge C-ITS-a povezane sa sigurnošću u cestovnom prometu.</w:t>
            </w:r>
          </w:p>
          <w:p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Komisija će zadržati određeni spektar koji upotrebljava ETSI ITS-G5 za usluge ITS-a povezane sa sigurnošću i poduprijeti mjere za zaštitu tog frekvencijskog pojasa od štetnih smetnji, i na europskoj i na međunarodnoj razini (Međunarodna telekomunikacijska unija UN-a i Europska konferencija poštanskih i telekomunikacijskih uprava).</w:t>
            </w:r>
          </w:p>
          <w:p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 okviru inicijativa za uvođenje C-ITS-a trebale bi se provoditi odgovarajuće tehnike ublažavanja radi paralelnog funkcioniranja u skladu s ETSI-jevim normama i postupcima.</w:t>
            </w:r>
          </w:p>
        </w:tc>
      </w:tr>
    </w:tbl>
    <w:p>
      <w:pPr>
        <w:pStyle w:val="ListParagraph"/>
        <w:keepNext/>
        <w:numPr>
          <w:ilvl w:val="1"/>
          <w:numId w:val="12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Interoperabilnost na svim razinama</w:t>
      </w:r>
    </w:p>
    <w:p>
      <w:pPr>
        <w:tabs>
          <w:tab w:val="left" w:pos="1866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" w:name="_Ref460306791"/>
      <w:r>
        <w:rPr>
          <w:rFonts w:ascii="Times New Roman" w:hAnsi="Times New Roman"/>
          <w:noProof/>
          <w:sz w:val="24"/>
        </w:rPr>
        <w:t>Integrirani prometni sustav oslanja se na interoperabilnost svojih komponenti. To znači da sustav mora biti sposoban za međusobnu interakciju, preko granica i između različitih vrsta prijevoza, i to na svim razinama: razini infrastrukture, podataka, usluga, aplikacija i mreža. Iako su potrebne aktivnosti normizacije, one nisu dovoljne da se osigura interoperabilnost. Na razini EU-a uskoro se moraju odrediti i dogovoriti specifikacije za uvođenje. Među ostalim, potrebno je osigurati da su primjenjive norme EU-a</w:t>
      </w:r>
      <w:r>
        <w:rPr>
          <w:rStyle w:val="FootnoteReference"/>
          <w:rFonts w:ascii="Times New Roman" w:hAnsi="Times New Roman"/>
          <w:noProof/>
          <w:sz w:val="24"/>
        </w:rPr>
        <w:footnoteReference w:id="29"/>
      </w:r>
      <w:r>
        <w:rPr>
          <w:rFonts w:ascii="Times New Roman" w:hAnsi="Times New Roman"/>
          <w:noProof/>
          <w:sz w:val="24"/>
        </w:rPr>
        <w:t xml:space="preserve"> razumljive i da se dosljedno primjenjuju.</w:t>
      </w:r>
    </w:p>
    <w:p>
      <w:pPr>
        <w:tabs>
          <w:tab w:val="left" w:pos="1866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 tu bi se svrhu u okviru inicijativa za uvođenje C-ITS-a u EU-u trebali utvrditi i objaviti tehnički profili komunikacije u sustavu C-ITS koji su potrebni da se osigura interoperabilnost hitnih usluga C-ITS-a. Trebalo bi razviti i postupke ispitivanja za provjeru interoperabilnosti tih profila. Uzajamnim davanjem pristupa komunikacijskim profilima osigurat će se dijeljenje najbolje prakse i lekcija naučenih tijekom stvarne primjene. To bi dovelo i do postupne konvergencije profila i stvaranja uvjeta za interoperabilnost u cijelom EU-u. Cilj je stvoriti uvjete za jedinstveno tržište za usluge C-ITS-a u Europi temeljeno na zajedničkim komunikacijskim profilima, što pak ostavlja prostor za buduće inovativne usluge.</w:t>
      </w:r>
    </w:p>
    <w:p>
      <w:pPr>
        <w:tabs>
          <w:tab w:val="left" w:pos="1866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Države članice i Komisija pokrenule su 2016. Platformu C-Roads</w:t>
      </w:r>
      <w:r>
        <w:rPr>
          <w:rStyle w:val="FootnoteReference"/>
          <w:rFonts w:ascii="Times New Roman" w:hAnsi="Times New Roman"/>
          <w:noProof/>
          <w:sz w:val="24"/>
        </w:rPr>
        <w:footnoteReference w:id="30"/>
      </w:r>
      <w:r>
        <w:rPr>
          <w:rFonts w:ascii="Times New Roman" w:hAnsi="Times New Roman"/>
          <w:noProof/>
          <w:sz w:val="24"/>
        </w:rPr>
        <w:t xml:space="preserve"> radi povezivanja aktivnosti za uvođenje C-ITS-a, zajedničkog razvoja i dijeljenja tehničkih specifikacija te provjere interoperabilnosti putem unakrsnog ispitivanja. Početno stvoren za inicijative za uvođenje C-ITS-a </w:t>
      </w:r>
      <w:r>
        <w:rPr>
          <w:rFonts w:ascii="Times New Roman" w:hAnsi="Times New Roman" w:cs="Times New Roman"/>
          <w:noProof/>
          <w:sz w:val="24"/>
          <w:szCs w:val="24"/>
        </w:rPr>
        <w:t>sufinancirane sredstvima EU-a, C-Roads je otvoren za sve aktivnosti uvođenja za ispitivanje interoperabilnosti.</w:t>
      </w:r>
    </w:p>
    <w:tbl>
      <w:tblPr>
        <w:tblStyle w:val="TableGrid"/>
        <w:tblW w:w="9042" w:type="dxa"/>
        <w:jc w:val="center"/>
        <w:tblLook w:val="04A0" w:firstRow="1" w:lastRow="0" w:firstColumn="1" w:lastColumn="0" w:noHBand="0" w:noVBand="1"/>
      </w:tblPr>
      <w:tblGrid>
        <w:gridCol w:w="9042"/>
      </w:tblGrid>
      <w:tr>
        <w:trPr>
          <w:jc w:val="center"/>
        </w:trPr>
        <w:tc>
          <w:tcPr>
            <w:tcW w:w="904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Posebne mjere</w:t>
            </w:r>
          </w:p>
          <w:p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Komisija će u potpunosti iskoristiti Platformu C-Roads kao koordinacijski mehanizam za uvođenje C-ITS-a na operativnoj razini.</w:t>
            </w:r>
          </w:p>
          <w:p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Države članice trebale bi se pridružiti Platformi C-Roads za potrebe ispitivanja i validacije, čime bi se osigurala interoperabilnost hitnih usluga C-ITS-a u cijelom EU-u.</w:t>
            </w:r>
          </w:p>
          <w:p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 okviru inicijativa za uvođenje C-ITS-a trebalo bi dovršiti njihove komunikacijske profile za C-ITS, a potom ih objaviti zajedno s normama za ispitivanje i primjenjivim normama za validaciju.</w:t>
            </w:r>
          </w:p>
          <w:p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Platforma C-Roads trebala bi početi s razvijanjem ispita sustava na temelju zajedničkih komunikacijskih profila u roku od jedne godine od početka projekta te dati potpun pristup tim komunikacijskim profilima trećim osobama i industrijskim akterima, koji bi te mogućnosti trebali iskoristiti za validaciju.</w:t>
            </w:r>
          </w:p>
        </w:tc>
      </w:tr>
    </w:tbl>
    <w:p>
      <w:pPr>
        <w:pStyle w:val="ListParagraph"/>
        <w:keepNext/>
        <w:numPr>
          <w:ilvl w:val="1"/>
          <w:numId w:val="12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Procjena usklađenosti</w:t>
      </w:r>
      <w:bookmarkEnd w:id="5"/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Za neometano uvođenje hitnih usluga C-ITS-a potreban je djelotvoran okvir za procjenu usklađenosti koji omogućuje provjeru usluga u skladu sa zahtjevima sustava u cijelom EU-u. Kad je riječ o aplikacijama povezanima sa sigurnošću u cestovnom prometu, postoji snažan interes javnosti za razvoj takvog okvira za ključne elemente mreže C-ITS-a kao što su sigurnost, zaštita podataka ili interoperabilnost, kako bi se osiguralo da vozači primaju usklađena upozorenja u različitim prometnim situacijama diljem EU-a.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Prvi korak u utvrđivanju takvog okvira bit će definiranje zajedničkih minimalnih zahtjeva za uvođenje hitnih usluga C-ITS-a koje validiraju svi relevantni dionici. Time će se osigurati temelj potreban za zajednički razvoj punog postupka procjene usklađenosti za hitne usluge C-ITS-a. To je i preduvjet za uvođenje novih usluga (npr. naknadnih usluga – </w:t>
      </w:r>
      <w:r>
        <w:rPr>
          <w:rFonts w:ascii="Times New Roman" w:hAnsi="Times New Roman"/>
          <w:i/>
          <w:noProof/>
          <w:sz w:val="24"/>
        </w:rPr>
        <w:t>Day 2</w:t>
      </w:r>
      <w:r>
        <w:rPr>
          <w:rFonts w:ascii="Times New Roman" w:hAnsi="Times New Roman"/>
          <w:noProof/>
          <w:sz w:val="24"/>
        </w:rPr>
        <w:t>) ili proširenja postojećih usluga na nova područja primjene (npr. potpuno automatizirana vozila i njihova komunikacija). U svim budućim aktivnostima provedbe važno se voditi načelom da one moraju biti usklađene i u pogledu infrastrukture i u pogledu vozila s potpunim popisom hitnih usluga C-ITS-a.</w:t>
      </w:r>
    </w:p>
    <w:tbl>
      <w:tblPr>
        <w:tblStyle w:val="TableGrid"/>
        <w:tblW w:w="9042" w:type="dxa"/>
        <w:jc w:val="center"/>
        <w:tblLook w:val="04A0" w:firstRow="1" w:lastRow="0" w:firstColumn="1" w:lastColumn="0" w:noHBand="0" w:noVBand="1"/>
      </w:tblPr>
      <w:tblGrid>
        <w:gridCol w:w="9042"/>
      </w:tblGrid>
      <w:tr>
        <w:trPr>
          <w:jc w:val="center"/>
        </w:trPr>
        <w:tc>
          <w:tcPr>
            <w:tcW w:w="9042" w:type="dxa"/>
            <w:shd w:val="clear" w:color="auto" w:fill="D9D9D9" w:themeFill="background1" w:themeFillShade="D9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Posebne mjere</w:t>
            </w:r>
          </w:p>
          <w:p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Inicijative za uvođenje C-ITS-a trebale bi pomoći u definiranju postupka procjene usklađenosti za hitne usluge C-ITS-a i u njihovoj objavi kako bi se osiguralo da treće osobe imaju pun pristup.</w:t>
            </w:r>
          </w:p>
          <w:p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Komisija će poduprijeti inicijative za uvođenje pri razvijanju cjelovitog zajedničkog postupka procjene usklađenosti za sve ključne elemente kako bi se osigurao kontinuitet usluga C-ITS-a i uzelo u obzir potencijalno proširenje usluga.</w:t>
            </w:r>
          </w:p>
        </w:tc>
      </w:tr>
    </w:tbl>
    <w:p>
      <w:pPr>
        <w:pStyle w:val="ListParagraph"/>
        <w:keepNext/>
        <w:numPr>
          <w:ilvl w:val="1"/>
          <w:numId w:val="12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Pravni okvir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Želi li EU uvesti hitne usluge C-ITS u 2019., potrebno je uskladiti okvire za ulaganja i regulatorne okvire u cijeloj Europi. Brz tehnološki razvoj i složenost najvažnijih pitanja znači da je potreban odgovarajući pravni okvir. Komisija vjeruje da se taj okvir treba razvijati učenjem putem iskustva, na temelju povratnih informacija iz inicijativa za uvođenje C-ITS-a i Platforme za C-ITS te njihove interakcije.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Kao rezultat tog procesa te u bliskoj suradnji sa svim dionicima Komisija će razmotriti primjenu Direktive o ITS-u 2010/40/EU</w:t>
      </w:r>
      <w:r>
        <w:rPr>
          <w:rStyle w:val="FootnoteReference"/>
          <w:rFonts w:ascii="Times New Roman" w:hAnsi="Times New Roman"/>
          <w:noProof/>
          <w:sz w:val="24"/>
        </w:rPr>
        <w:footnoteReference w:id="31"/>
      </w:r>
      <w:r>
        <w:rPr>
          <w:rFonts w:ascii="Times New Roman" w:hAnsi="Times New Roman"/>
          <w:noProof/>
          <w:sz w:val="24"/>
        </w:rPr>
        <w:t xml:space="preserve"> Mogu se razmotriti i drugi pravni instrumenti, npr. za postupke procjene usklađenosti. Pokazalo se da 70 % sudionika javnog savjetovanja podupire mjeru Komisije kojim bi se dala potpora komunikacijskoj opremi u vozilu i uvođenju odabranih usluga C-ITS-a.</w:t>
      </w:r>
    </w:p>
    <w:tbl>
      <w:tblPr>
        <w:tblStyle w:val="TableGrid"/>
        <w:tblW w:w="9042" w:type="dxa"/>
        <w:jc w:val="center"/>
        <w:tblLook w:val="04A0" w:firstRow="1" w:lastRow="0" w:firstColumn="1" w:lastColumn="0" w:noHBand="0" w:noVBand="1"/>
      </w:tblPr>
      <w:tblGrid>
        <w:gridCol w:w="9042"/>
      </w:tblGrid>
      <w:tr>
        <w:trPr>
          <w:jc w:val="center"/>
        </w:trPr>
        <w:tc>
          <w:tcPr>
            <w:tcW w:w="904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Posebne mjere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Komisija će prema potrebi razmotriti iskorištavanje svojeg mandata u skladu s Direktivom o ITS-u za donošenje delegiranog akta / delegiranih akata do 2018. o:</w:t>
            </w:r>
          </w:p>
          <w:p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osiguravanju kontinuiteta usluga C-ITS-a,</w:t>
            </w:r>
          </w:p>
          <w:p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utvrđivanju pravila radi osiguravanja sigurnosti komunikacije C-ITS-a,</w:t>
            </w:r>
          </w:p>
          <w:p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osiguravanju praktične provedbe Opće uredbe o zaštiti podataka u području C-ITS-a,</w:t>
            </w:r>
          </w:p>
          <w:p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osiguravanju naprednog pristupa hibridne komunikacije,</w:t>
            </w:r>
          </w:p>
          <w:p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utvrđivanju pravila o interoperabilnosti,</w:t>
            </w:r>
          </w:p>
          <w:p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utvrđivanju pravila o postupcima procjene usklađenosti. </w:t>
            </w:r>
          </w:p>
        </w:tc>
      </w:tr>
    </w:tbl>
    <w:p>
      <w:pPr>
        <w:pStyle w:val="ListParagraph"/>
        <w:keepNext/>
        <w:numPr>
          <w:ilvl w:val="1"/>
          <w:numId w:val="12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Međunarodna suradnja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Međunarodna suradnja u području kooperativnih, povezanih i automatiziranih vozila ključna je jer se tržišta razvijaju globalno. Javna tijela žele učiti jedna od drugih i osigurati brzo uvođenje novih tehnologija. I industriju jako zanima međunarodna suradnja jer prilikom razvijanja opreme, usluga i poslovnih modela traži globalna tržišta.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EU je već imao koristi od suradnje s Australijom, Japanom, Singapurom i SAD-om u područjima kao što su istraživanje, sigurnost i usklađivanje normi. Trebao bi nastaviti suradnju s međunarodnim partnerima kako bi i dalje imao koristi od njihovih iskustava, osobito iskustava dobivenih iz inicijativa za uvođenje velikih razmjera.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To uključuje promicanje međunarodne normizacije (npr. pravilnik o vozilima i prometna pravila u Gospodarskoj komori Ujedinjenih naroda za Europu), zaštitu privatnosti osoba i njihovih osobnih podataka te kibersigurnost, bavljenje pravnim aspektima i omogućivanje koordinacije istraživanja.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Usto, G7 se razvio u važan prostor za koordinaciju i konvergenciju politika na međunarodnoj razini. Nedavno su ministri prometa iz G7 donijeli dvije deklaracije za potporu sigurnoj i djelotvornoj ranoj komercijalizaciji tehnologija u području kooperativnih, povezanih i automatiziranih vozila.</w:t>
      </w:r>
    </w:p>
    <w:tbl>
      <w:tblPr>
        <w:tblStyle w:val="TableGrid"/>
        <w:tblW w:w="9042" w:type="dxa"/>
        <w:jc w:val="center"/>
        <w:tblLook w:val="04A0" w:firstRow="1" w:lastRow="0" w:firstColumn="1" w:lastColumn="0" w:noHBand="0" w:noVBand="1"/>
      </w:tblPr>
      <w:tblGrid>
        <w:gridCol w:w="9042"/>
      </w:tblGrid>
      <w:tr>
        <w:trPr>
          <w:jc w:val="center"/>
        </w:trPr>
        <w:tc>
          <w:tcPr>
            <w:tcW w:w="904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Posebne mjere</w:t>
            </w:r>
          </w:p>
          <w:p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Komisija će učiniti sljedeće:</w:t>
            </w:r>
          </w:p>
          <w:p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i dalje promicati konvergenciju i koordinaciju aktivnosti razvijanja i uvođenja C-ITS-a u suradnji s međunarodnim partnerima i inicijativama,</w:t>
            </w:r>
          </w:p>
          <w:p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nastaviti suradnju u povezivanju istraživačkih i inovacijskih projekata u okviru Obzora 2020. u području ITS-a sa sličnim projektima u trećim zemljama.</w:t>
            </w:r>
          </w:p>
        </w:tc>
      </w:tr>
    </w:tbl>
    <w:p>
      <w:pPr>
        <w:pStyle w:val="ListParagraph"/>
        <w:keepNext/>
        <w:numPr>
          <w:ilvl w:val="0"/>
          <w:numId w:val="4"/>
        </w:numPr>
        <w:spacing w:before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>Zaključak</w:t>
      </w:r>
    </w:p>
    <w:p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Za koordinirano i brzo uvođenje kooperativnih, povezanih i automatiziranih vozila u cestovni promet hitno je potrebno djelovanje na razini EU-a. Bude li uvođenje vozila uspješno, njime će se dati važan doprinos poboljšanju sigurnosti u cestovnom prometu, pri čemu će se povećati učinkovitost cestovnog prometa i osigurati konkurentnost industrije EU-a.</w:t>
      </w:r>
    </w:p>
    <w:p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Ovom Komunikacijom Komisija je postigla važan korak u stvaranju europske strategije za uvođenje kooperativnih, povezanih i automatiziranih vozila, što se tražilo i u Deklaraciji iz Amsterdama. Zajedno s drugim inicijativama koje Komisija planira donijeti 2017. ova bi Komunikacija trebala doprinijeti oblikovanju sustava budućnosti za cestovni promet u EU-u i savladavanju ključnih problema s kojima se on danas suočava. Utvrđene su mjere potrebne za postizanje tog cilja i odgovarajući vremenski okvir, a nužno je zajedničko zalaganje svih aktera.</w:t>
      </w:r>
    </w:p>
    <w:p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Komisija će nastojati osigurati sinergije i usklađenost između sadašnjih i budućih inicijativa te poduprijeti vodeći položaj Unije u području kooperativnih, povezanih i automatiziranih vozila. Poziva sve zainteresirane strane, osobito države članice i industriju, da podupru pristup predstavljen u ovoj Komunikaciji i surađuju na svim razinama i u svim sektorima radi uspješnog početka uvođenja kooperativnih inteligentnih prometnih sustava 2019.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SFUIText-Regular"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1727487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  <w:rPr>
            <w:rFonts w:ascii="Times New Roman" w:hAnsi="Times New Roman" w:cs="Times New Roman"/>
            <w:noProof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Više od 70 % emisija stakleničkih plinova, 39 % emisija NO</w:t>
      </w:r>
      <w:r>
        <w:rPr>
          <w:rFonts w:ascii="Times New Roman" w:hAnsi="Times New Roman"/>
          <w:vertAlign w:val="subscript"/>
        </w:rPr>
        <w:t>x</w:t>
      </w:r>
      <w:r>
        <w:rPr>
          <w:rFonts w:ascii="Times New Roman" w:hAnsi="Times New Roman"/>
        </w:rPr>
        <w:t xml:space="preserve"> i 13 % emisija lebdećih čestica u prometu.</w:t>
      </w:r>
    </w:p>
  </w:footnote>
  <w:footnote w:id="2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Europska strategija za mobilnost s niskom razinom emisije, </w:t>
      </w:r>
      <w:hyperlink r:id="rId1">
        <w:r>
          <w:rPr>
            <w:rStyle w:val="Hyperlink"/>
            <w:rFonts w:ascii="Times New Roman" w:hAnsi="Times New Roman"/>
          </w:rPr>
          <w:t>COM(2016) 501 final</w:t>
        </w:r>
      </w:hyperlink>
      <w:r>
        <w:t>.</w:t>
      </w:r>
    </w:p>
  </w:footnote>
  <w:footnote w:id="3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Procjenjuje se da trenutačni troškovi zagušenja iznose 1 % BDP-a (</w:t>
      </w:r>
      <w:hyperlink r:id="rId2">
        <w:r>
          <w:rPr>
            <w:rStyle w:val="Hyperlink"/>
            <w:rFonts w:ascii="Times New Roman" w:hAnsi="Times New Roman"/>
          </w:rPr>
          <w:t>EK JRC</w:t>
        </w:r>
      </w:hyperlink>
      <w:r>
        <w:rPr>
          <w:rFonts w:ascii="Times New Roman" w:hAnsi="Times New Roman"/>
        </w:rPr>
        <w:t>, 2012.)</w:t>
      </w:r>
    </w:p>
  </w:footnote>
  <w:footnote w:id="4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Okvirna strategija za otpornu energetsku uniju s naprednom klimatskom politikom, </w:t>
      </w:r>
      <w:hyperlink r:id="rId3">
        <w:r>
          <w:rPr>
            <w:rStyle w:val="Hyperlink"/>
            <w:rFonts w:ascii="Times New Roman" w:hAnsi="Times New Roman"/>
          </w:rPr>
          <w:t>COM(2015) 80 final</w:t>
        </w:r>
      </w:hyperlink>
      <w:r>
        <w:rPr>
          <w:rFonts w:ascii="Times New Roman" w:hAnsi="Times New Roman"/>
        </w:rPr>
        <w:t>, PRILOG 1.</w:t>
      </w:r>
    </w:p>
  </w:footnote>
  <w:footnote w:id="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Digitalizacija europske industrije, </w:t>
      </w:r>
      <w:hyperlink r:id="rId4">
        <w:r>
          <w:rPr>
            <w:rStyle w:val="Hyperlink"/>
            <w:rFonts w:ascii="Times New Roman" w:hAnsi="Times New Roman"/>
          </w:rPr>
          <w:t>COM(2016) 180</w:t>
        </w:r>
      </w:hyperlink>
      <w:r>
        <w:rPr>
          <w:rFonts w:ascii="Times New Roman" w:hAnsi="Times New Roman"/>
        </w:rPr>
        <w:t xml:space="preserve">, </w:t>
      </w:r>
      <w:hyperlink r:id="rId5">
        <w:r>
          <w:rPr>
            <w:rStyle w:val="Hyperlink"/>
            <w:rFonts w:ascii="Times New Roman" w:hAnsi="Times New Roman"/>
          </w:rPr>
          <w:t>SWD(2016) 110</w:t>
        </w:r>
      </w:hyperlink>
      <w:r>
        <w:t>.</w:t>
      </w:r>
    </w:p>
  </w:footnote>
  <w:footnote w:id="6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Roland Berger, Autonomna vožnja, Think: Act, prosinac 2014.</w:t>
      </w:r>
    </w:p>
    <w:p>
      <w:pPr>
        <w:pStyle w:val="FootnoteText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AT Kearney, Plan za autonomnu vožnju, rujan 2015.</w:t>
      </w:r>
    </w:p>
    <w:p>
      <w:pPr>
        <w:pStyle w:val="FootnoteText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KPMG, Povezana i autonomna vozila – gospodarska prilika za Ujedinjenu Kraljevinu, ožujak 2015.</w:t>
      </w:r>
    </w:p>
    <w:p>
      <w:pPr>
        <w:pStyle w:val="FootnoteText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Strategy&amp;, Izvješće o povezanim automobilima iz 2016.: Mogućnosti, rizik i promjene na putu do autonomnih vozila,</w:t>
      </w:r>
    </w:p>
    <w:p>
      <w:pPr>
        <w:pStyle w:val="FootnoteText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rujan 2016.</w:t>
      </w:r>
    </w:p>
  </w:footnote>
  <w:footnote w:id="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Kooperativno znači da se vozila međusobno upozoravaju na potencijalno opasne situacije (npr. kočenje u slučaju opasnosti ili raščišćavanje kolone u prometnoj gužvi) i da komuniciraju s lokalnom cestovnom infrastrukturom (npr. semafori za savjet o optimalnoj brzini). Usto, dvosmjerna komunikacija između vozila i centara za upravljanje prometom omogućuje brže otkrivanje problema (npr. prometne gužve ili poledica) i ublažavanje njihovih posljedica tako što sudionici u cestovnom prometu brže dobivaju bolje savjete.</w:t>
      </w:r>
    </w:p>
  </w:footnote>
  <w:footnote w:id="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Sastanak skupine G7 u Njemačkoj, rujan 2015.: </w:t>
      </w:r>
      <w:hyperlink r:id="rId6">
        <w:r>
          <w:rPr>
            <w:rStyle w:val="Hyperlink"/>
            <w:rFonts w:ascii="Times New Roman" w:hAnsi="Times New Roman"/>
          </w:rPr>
          <w:t>Deklaracija skupine G7</w:t>
        </w:r>
      </w:hyperlink>
      <w:r>
        <w:rPr>
          <w:rFonts w:ascii="Times New Roman" w:hAnsi="Times New Roman"/>
        </w:rPr>
        <w:t xml:space="preserve"> o automatiziranoj i povezanoj vožnji</w:t>
      </w:r>
    </w:p>
    <w:p>
      <w:pPr>
        <w:pStyle w:val="FootnoteTex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Sastanak skupine G7 u Japanu, rujan 2016.: </w:t>
      </w:r>
      <w:hyperlink r:id="rId7">
        <w:r>
          <w:rPr>
            <w:rStyle w:val="Hyperlink"/>
            <w:rFonts w:ascii="Times New Roman" w:hAnsi="Times New Roman"/>
          </w:rPr>
          <w:t>Deklaracija skupine G7</w:t>
        </w:r>
      </w:hyperlink>
      <w:r>
        <w:rPr>
          <w:rFonts w:ascii="Times New Roman" w:hAnsi="Times New Roman"/>
        </w:rPr>
        <w:t xml:space="preserve"> o razvoju i širokoj upotrebi </w:t>
      </w:r>
    </w:p>
    <w:p>
      <w:pPr>
        <w:pStyle w:val="FootnoteTex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napredne tehnologije za vozila i ceste</w:t>
      </w:r>
    </w:p>
  </w:footnote>
  <w:footnote w:id="9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8">
        <w:r>
          <w:rPr>
            <w:rStyle w:val="Hyperlink"/>
            <w:rFonts w:ascii="Times New Roman" w:hAnsi="Times New Roman"/>
          </w:rPr>
          <w:t>Kooperativni koridor ITS-a</w:t>
        </w:r>
      </w:hyperlink>
      <w:r>
        <w:rPr>
          <w:rFonts w:ascii="Times New Roman" w:hAnsi="Times New Roman"/>
        </w:rPr>
        <w:t xml:space="preserve"> Rotterdam – Frankfurt/M. – Beč </w:t>
      </w:r>
    </w:p>
  </w:footnote>
  <w:footnote w:id="10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9">
        <w:r>
          <w:rPr>
            <w:rStyle w:val="Hyperlink"/>
            <w:rFonts w:ascii="Times New Roman" w:hAnsi="Times New Roman"/>
          </w:rPr>
          <w:t>Amsterdamska skupina</w:t>
        </w:r>
      </w:hyperlink>
      <w:r>
        <w:rPr>
          <w:rFonts w:ascii="Times New Roman" w:hAnsi="Times New Roman"/>
        </w:rPr>
        <w:t>: udruženje tijela nadležnih za ceste (Europsko udruženje operatera infrastrukture cesta s naplatom cestarine, Konferencija europskih upravitelja cesta), gradovi aktivni u mreži POLIS (Mreža europskih gradova i regija) i industrija vozila organizirana u Konzorcij za komunikaciju Car2Car</w:t>
      </w:r>
    </w:p>
  </w:footnote>
  <w:footnote w:id="11">
    <w:p>
      <w:pPr>
        <w:pStyle w:val="Defaul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color w:val="auto"/>
          <w:sz w:val="20"/>
        </w:rPr>
        <w:t xml:space="preserve">Svemirska strategija za Europu, </w:t>
      </w:r>
      <w:hyperlink r:id="rId10">
        <w:r>
          <w:rPr>
            <w:rStyle w:val="Hyperlink"/>
            <w:sz w:val="20"/>
          </w:rPr>
          <w:t>COM(2016) 705</w:t>
        </w:r>
      </w:hyperlink>
      <w:r>
        <w:t>.</w:t>
      </w:r>
    </w:p>
  </w:footnote>
  <w:footnote w:id="1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11">
        <w:r>
          <w:rPr>
            <w:rStyle w:val="Hyperlink"/>
            <w:rFonts w:ascii="Times New Roman" w:hAnsi="Times New Roman"/>
          </w:rPr>
          <w:t>Deklaracija iz Amsterdama</w:t>
        </w:r>
      </w:hyperlink>
      <w:r>
        <w:rPr>
          <w:rFonts w:ascii="Times New Roman" w:hAnsi="Times New Roman"/>
        </w:rPr>
        <w:t xml:space="preserve"> o suradnji u području povezane i automatizirane vožnje, 14. lipnja 2016.</w:t>
      </w:r>
    </w:p>
  </w:footnote>
  <w:footnote w:id="1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12">
        <w:r>
          <w:rPr>
            <w:rStyle w:val="Hyperlink"/>
            <w:rFonts w:ascii="Times New Roman" w:hAnsi="Times New Roman"/>
          </w:rPr>
          <w:t>Priopćenja za tisak</w:t>
        </w:r>
      </w:hyperlink>
      <w:r>
        <w:rPr>
          <w:rFonts w:ascii="Times New Roman" w:hAnsi="Times New Roman"/>
        </w:rPr>
        <w:t xml:space="preserve"> Konzorcija za komunikaciju Car2car, listopad 2015.</w:t>
      </w:r>
    </w:p>
  </w:footnote>
  <w:footnote w:id="1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Platforma za uvođenje C-ITS-a u Europskoj uniji (Platforma za C-ITS – pokrenuta u studenome 2014. kao stručna skupina Komisije) operativni je instrument za dijalog, razmjenu tehničkog znanja i suradnju između Komisije, javnih dionika iz država članica, lokalnih/regionalnih tijela i privatnih dionika, npr. proizvođača vozila, proizvođača opreme, operatera u cestovnom prometu, telekomunikacijskih operatera i pružatelja usluga.</w:t>
      </w:r>
    </w:p>
  </w:footnote>
  <w:footnote w:id="15">
    <w:p>
      <w:pPr>
        <w:pStyle w:val="FootnoteText"/>
        <w:jc w:val="both"/>
        <w:rPr>
          <w:rFonts w:ascii="Times New Roman" w:hAnsi="Times New Roman" w:cs="Times New Roman"/>
          <w:highlight w:val="yellow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13">
        <w:r>
          <w:rPr>
            <w:rStyle w:val="Hyperlink"/>
            <w:rFonts w:ascii="Times New Roman" w:hAnsi="Times New Roman"/>
          </w:rPr>
          <w:t>Završno izvješće Platforme za C-ITS</w:t>
        </w:r>
      </w:hyperlink>
      <w:r>
        <w:rPr>
          <w:rFonts w:ascii="Times New Roman" w:hAnsi="Times New Roman"/>
        </w:rPr>
        <w:t>, siječanj 2016.</w:t>
      </w:r>
    </w:p>
  </w:footnote>
  <w:footnote w:id="16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14">
        <w:r>
          <w:rPr>
            <w:rStyle w:val="Hyperlink"/>
            <w:rFonts w:ascii="Times New Roman" w:hAnsi="Times New Roman"/>
          </w:rPr>
          <w:t>Studija o uvođenju C-ITS-a u Europi: Završno izvješće</w:t>
        </w:r>
      </w:hyperlink>
      <w:r>
        <w:rPr>
          <w:rFonts w:ascii="Times New Roman" w:hAnsi="Times New Roman"/>
        </w:rPr>
        <w:t>, veljača 2016.</w:t>
      </w:r>
    </w:p>
  </w:footnote>
  <w:footnote w:id="1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15">
        <w:r>
          <w:rPr>
            <w:rStyle w:val="Hyperlink"/>
            <w:rFonts w:ascii="Times New Roman" w:hAnsi="Times New Roman"/>
          </w:rPr>
          <w:t>Analiza odgovora iz javnog savjetovanja o C-ITS-u</w:t>
        </w:r>
      </w:hyperlink>
      <w:r>
        <w:rPr>
          <w:rFonts w:ascii="Times New Roman" w:hAnsi="Times New Roman"/>
        </w:rPr>
        <w:t xml:space="preserve"> (Glavna uprava za mobilnost i promet, otvoreno od lipnja do rujna 2016.)</w:t>
      </w:r>
    </w:p>
  </w:footnote>
  <w:footnote w:id="1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Sufinanciranje EU-a u vrijednosti od više od 130 milijuna EUR od 2014. putem CEF-a i Obzora 2020. u području kooperativnih, povezanih i automatiziranih vozila.</w:t>
      </w:r>
    </w:p>
  </w:footnote>
  <w:footnote w:id="19">
    <w:p>
      <w:pPr>
        <w:pStyle w:val="FootnoteText"/>
        <w:jc w:val="both"/>
        <w:rPr>
          <w:rFonts w:ascii="Times New Roman" w:hAnsi="Times New Roman" w:cs="Times New Roman"/>
          <w:lang w:val="es-ES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AT, BE, CZ, DE, DK, ES, FI, FR, NL, NO, SE, SI, UK.</w:t>
      </w:r>
    </w:p>
  </w:footnote>
  <w:footnote w:id="20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Internetske platforme i jedinstveno digitalno tržište – Mogućnosti i izazovi za Europu, </w:t>
      </w:r>
      <w:hyperlink r:id="rId16">
        <w:r>
          <w:rPr>
            <w:rStyle w:val="Hyperlink"/>
            <w:rFonts w:ascii="Times New Roman" w:hAnsi="Times New Roman"/>
          </w:rPr>
          <w:t>COM(2016) 288</w:t>
        </w:r>
      </w:hyperlink>
    </w:p>
  </w:footnote>
  <w:footnote w:id="2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Prema završnom izvješću Platforme za C-ITS to su:</w:t>
      </w:r>
    </w:p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– popis zajednički dogovorenih hitnih usluga C-ITS-a za uvođenje u cijelom EU-u,</w:t>
      </w:r>
    </w:p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– zajednička vizija o pitanju kibersigurnosti razrađena u dogovorenom modelu povjerenja,</w:t>
      </w:r>
    </w:p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– procjena prednosti C-ITS-a u cijeloj Europi na temelju pristupa hibridne komunikacije,</w:t>
      </w:r>
    </w:p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– vodeća načela za pristup podacima u vozilu. Potrebne su dodatne pravne i tehničke analize te razvoj scenarija na temelju procjene troškova i prednosti različitih mogućih tehničkih rješenja. Rezultati posebne studije Komisije bit će dostupni sredinom 2017.,</w:t>
      </w:r>
    </w:p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– detaljna analiza zaštite privatnosti i podataka kao dobar temelj za daljnji rad na provedbi novih zahtjeva proizašlih iz nove Opće uredbe o zaštiti podataka.</w:t>
      </w:r>
    </w:p>
  </w:footnote>
  <w:footnote w:id="2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U dokumentima zajedničke politike o sigurnosti i certifikatima odredit će se npr. europski model povjerenja za C-ITS na temelju infrastrukture javnih ključeva. Njima će se, među ostalim, definirati pravni, organizacijski i tehnički zahtjevi za upravljanje certifikatima javnih ključeva za usluge C-ITS-a na temelju struktura utvrđenih u (IETF) RFC 3647.</w:t>
      </w:r>
    </w:p>
  </w:footnote>
  <w:footnote w:id="2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U tom kontekstu infrastruktura javnih ključeva znači kombinacija softvera, tehnologija asimetrične kriptografije, procesa i usluga koji organizaciji omogućuju osiguravanje komunikacije u sustavu C-ITS.</w:t>
      </w:r>
    </w:p>
  </w:footnote>
  <w:footnote w:id="2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Digitalni tahograf bilježi aktivnosti profesionalnih vozača (odmor i sate vožnje). Pruža pouzdane informacije provedbenim tijelima EU-a koja provjeravaju usklađenost sa Socijalnom uredbom (EZ) br. 561/2006: </w:t>
      </w:r>
      <w:hyperlink r:id="rId17">
        <w:r>
          <w:rPr>
            <w:rStyle w:val="Hyperlink"/>
            <w:rFonts w:ascii="Times New Roman" w:hAnsi="Times New Roman"/>
          </w:rPr>
          <w:t>https://dtc.jrc.ec.europa.eu/</w:t>
        </w:r>
      </w:hyperlink>
      <w:r>
        <w:rPr>
          <w:rFonts w:ascii="Times New Roman" w:hAnsi="Times New Roman"/>
        </w:rPr>
        <w:t>. Nova verzija digitalnog tahografa (pametni tahograf) definirana je u Uredbi (EZ) br. 165/2014.</w:t>
      </w:r>
    </w:p>
  </w:footnote>
  <w:footnote w:id="2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Direktiva 95/46/EZ primjenjuje se do 24. svibnja 2018. Stavljena je izvan snage</w:t>
      </w:r>
      <w:r>
        <w:t xml:space="preserve"> </w:t>
      </w:r>
      <w:hyperlink r:id="rId18">
        <w:r>
          <w:rPr>
            <w:rStyle w:val="Hyperlink"/>
            <w:rFonts w:ascii="Times New Roman" w:hAnsi="Times New Roman"/>
          </w:rPr>
          <w:t>Uredbom (EU) 2016/679</w:t>
        </w:r>
      </w:hyperlink>
      <w:r>
        <w:rPr>
          <w:rFonts w:ascii="Times New Roman" w:hAnsi="Times New Roman"/>
        </w:rPr>
        <w:t xml:space="preserve"> – Općom uredbom o zaštiti podataka – primjenjivom od 25. svibnja 2018. Komisija trenutačno ocjenjuje primjerenost i učinkovitost Direktive 2002/58/EZ od 12. srpnja 2002. o obradi osobnih podataka i zaštiti privatnosti u području elektroničkih komunikacija u okviru REFIT-a.</w:t>
      </w:r>
    </w:p>
  </w:footnote>
  <w:footnote w:id="26">
    <w:p>
      <w:pPr>
        <w:pStyle w:val="FootnoteText"/>
        <w:rPr>
          <w:rStyle w:val="Hyperlink"/>
          <w:rFonts w:ascii="Times" w:hAnsi="Times" w:cs="Times New Roman"/>
        </w:rPr>
      </w:pPr>
      <w:r>
        <w:rPr>
          <w:rStyle w:val="FootnoteReference"/>
          <w:rFonts w:ascii="Times" w:hAnsi="Times"/>
        </w:rPr>
        <w:footnoteRef/>
      </w:r>
      <w:r>
        <w:rPr>
          <w:rFonts w:ascii="Times" w:hAnsi="Times"/>
        </w:rPr>
        <w:t xml:space="preserve"> Poštujući Direktivu o radijskoj opremi </w:t>
      </w:r>
      <w:hyperlink r:id="rId19">
        <w:r>
          <w:rPr>
            <w:rStyle w:val="Hyperlink"/>
            <w:rFonts w:ascii="Times" w:hAnsi="Times"/>
          </w:rPr>
          <w:t>2014/53/EU</w:t>
        </w:r>
      </w:hyperlink>
    </w:p>
  </w:footnote>
  <w:footnote w:id="2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" w:hAnsi="Times"/>
        </w:rPr>
        <w:footnoteRef/>
      </w:r>
      <w:r>
        <w:rPr>
          <w:rFonts w:ascii="Times" w:hAnsi="Times"/>
        </w:rPr>
        <w:t xml:space="preserve"> </w:t>
      </w:r>
      <w:hyperlink r:id="rId20">
        <w:r>
          <w:rPr>
            <w:rStyle w:val="Hyperlink"/>
            <w:rFonts w:ascii="Times" w:hAnsi="Times"/>
          </w:rPr>
          <w:t>COM(2016) 588</w:t>
        </w:r>
      </w:hyperlink>
      <w:r>
        <w:rPr>
          <w:rFonts w:ascii="Times" w:hAnsi="Times"/>
        </w:rPr>
        <w:t xml:space="preserve">: 5G za Europu: </w:t>
      </w:r>
      <w:r>
        <w:rPr>
          <w:rFonts w:ascii="Times New Roman" w:hAnsi="Times New Roman"/>
        </w:rPr>
        <w:t xml:space="preserve">Akcijski plan i popratni radni dokument službi Komisije </w:t>
      </w:r>
      <w:hyperlink r:id="rId21">
        <w:r>
          <w:rPr>
            <w:rStyle w:val="Hyperlink"/>
            <w:rFonts w:ascii="Times New Roman" w:hAnsi="Times New Roman"/>
          </w:rPr>
          <w:t>SWD(2016) 306</w:t>
        </w:r>
      </w:hyperlink>
      <w:r>
        <w:t>.</w:t>
      </w:r>
    </w:p>
  </w:footnote>
  <w:footnote w:id="2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22">
        <w:r>
          <w:rPr>
            <w:rStyle w:val="Hyperlink"/>
            <w:rFonts w:ascii="Times New Roman" w:hAnsi="Times New Roman"/>
          </w:rPr>
          <w:t>Odluka 2008/671/EZ.</w:t>
        </w:r>
      </w:hyperlink>
    </w:p>
  </w:footnote>
  <w:footnote w:id="29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M/453 (2009): Zahtjev za normizaciju upućen CEN-u, CENELEC-u i ETSI-ju u području informacijskih i komunikacijskih tehnologija za potporu interoperabilnosti kooperativnih sustava za inteligentni promet u Europskoj zajednici;</w:t>
      </w:r>
    </w:p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M/284, 329, 358, 363 u okviru Direktive o RTTED-u (1999/5/EZ), sada konsolidirani pod M/536 u okviru Direktive o radijskoj opremi.</w:t>
      </w:r>
    </w:p>
  </w:footnote>
  <w:footnote w:id="30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23">
        <w:r>
          <w:rPr>
            <w:rStyle w:val="Hyperlink"/>
            <w:rFonts w:ascii="Times New Roman" w:hAnsi="Times New Roman"/>
          </w:rPr>
          <w:t>Platforma C-Roads</w:t>
        </w:r>
      </w:hyperlink>
      <w:r>
        <w:rPr>
          <w:rFonts w:ascii="Times New Roman" w:hAnsi="Times New Roman"/>
        </w:rPr>
        <w:t xml:space="preserve"> sufinancira se u okviru Instrumenta za povezivanje Europe (CEF)</w:t>
      </w:r>
      <w:r>
        <w:t>.</w:t>
      </w:r>
    </w:p>
  </w:footnote>
  <w:footnote w:id="3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Direktiva o ITS-u 2010/40 može poslužiti kao temelj za donošenje povezanog skupa pravila na razini EU-a radi stvaranja jedinstvenog tržišta za kooperativna, povezana i automatizirana vozila. U članku 2. Direktive utvrđuju se prioritetna područja za razvijanje i upotrebu specifikacija i normi, među kojima je i područje povezivanja vozila s prometnom infrastrukturom. Mjere koje je potrebno provesti u tom prioritetnom području detaljno su opisane u Prilogu 1. Direktivi i obuhvaćaju, među ostalim, definiranje mjera potrebnih za uključivanje različitih aplikacija ITS-a na otvorenu platformu u vozilu te za daljnji napredak u razvijanju i uvođenju kooperativnih sustava (vozilo-vozilo, vozilo-infrastruktura, infrastruktura-infrastruktura). Člankom 6. iste Direktive Komisija se ovlašćuje za donošenje specifikacija kojima se osiguravaju usklađenost, interoperabilnost i kontinuitet pri uvođenju i operativnoj uporabi ITS-a za druge mjere koje je potrebno provesti u prioritetnim područjima utvrđenima u članku 2. Te bi se specifikacije trebale donijeti putem delegiranog akta. Usto, Komisija može upotrijebiti i ovlasti koje su joj dodijeljene u prioritetnom području III. – aplikacije ITS-a u području sigurnosti i zaštite cesta koje su detaljno objašnjene u točki 4. Priloga I. Direktivi o ITS-u. Komisija priprema proširenje vremenskog okvira mandata za donošenje delegiranih akata na temelju Direktive o ITS-u 2010/40/EU.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3E7"/>
    <w:multiLevelType w:val="hybridMultilevel"/>
    <w:tmpl w:val="E02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704F"/>
    <w:multiLevelType w:val="hybridMultilevel"/>
    <w:tmpl w:val="AF1E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50291"/>
    <w:multiLevelType w:val="hybridMultilevel"/>
    <w:tmpl w:val="48DE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59DD"/>
    <w:multiLevelType w:val="hybridMultilevel"/>
    <w:tmpl w:val="7D7CA0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017CF"/>
    <w:multiLevelType w:val="hybridMultilevel"/>
    <w:tmpl w:val="22349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5E67AC"/>
    <w:multiLevelType w:val="hybridMultilevel"/>
    <w:tmpl w:val="FF6A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A3223"/>
    <w:multiLevelType w:val="hybridMultilevel"/>
    <w:tmpl w:val="6572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2590A"/>
    <w:multiLevelType w:val="hybridMultilevel"/>
    <w:tmpl w:val="5B706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B1A8A"/>
    <w:multiLevelType w:val="hybridMultilevel"/>
    <w:tmpl w:val="4DF8A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65357"/>
    <w:multiLevelType w:val="hybridMultilevel"/>
    <w:tmpl w:val="EFF89F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C80F0C"/>
    <w:multiLevelType w:val="hybridMultilevel"/>
    <w:tmpl w:val="CF5C7EB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1C5B75CF"/>
    <w:multiLevelType w:val="hybridMultilevel"/>
    <w:tmpl w:val="4C04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47FDC"/>
    <w:multiLevelType w:val="hybridMultilevel"/>
    <w:tmpl w:val="C8808E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B056F"/>
    <w:multiLevelType w:val="hybridMultilevel"/>
    <w:tmpl w:val="295A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40EDC"/>
    <w:multiLevelType w:val="hybridMultilevel"/>
    <w:tmpl w:val="6B46CD9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97651"/>
    <w:multiLevelType w:val="hybridMultilevel"/>
    <w:tmpl w:val="B878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8033B"/>
    <w:multiLevelType w:val="hybridMultilevel"/>
    <w:tmpl w:val="42BCB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C478D8"/>
    <w:multiLevelType w:val="hybridMultilevel"/>
    <w:tmpl w:val="575A82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BB66E0"/>
    <w:multiLevelType w:val="hybridMultilevel"/>
    <w:tmpl w:val="E8DCC3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5B6810"/>
    <w:multiLevelType w:val="hybridMultilevel"/>
    <w:tmpl w:val="1C7E7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431EEC"/>
    <w:multiLevelType w:val="hybridMultilevel"/>
    <w:tmpl w:val="0768A3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0562F"/>
    <w:multiLevelType w:val="hybridMultilevel"/>
    <w:tmpl w:val="FA9611C0"/>
    <w:lvl w:ilvl="0" w:tplc="84BE0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C61537"/>
    <w:multiLevelType w:val="hybridMultilevel"/>
    <w:tmpl w:val="2276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574F7D"/>
    <w:multiLevelType w:val="hybridMultilevel"/>
    <w:tmpl w:val="4594C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06A18D3"/>
    <w:multiLevelType w:val="multilevel"/>
    <w:tmpl w:val="754AF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17640C2"/>
    <w:multiLevelType w:val="hybridMultilevel"/>
    <w:tmpl w:val="3664F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CB1976"/>
    <w:multiLevelType w:val="hybridMultilevel"/>
    <w:tmpl w:val="EE72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D76C01"/>
    <w:multiLevelType w:val="hybridMultilevel"/>
    <w:tmpl w:val="4E12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675A1"/>
    <w:multiLevelType w:val="hybridMultilevel"/>
    <w:tmpl w:val="EA7A0A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F655F"/>
    <w:multiLevelType w:val="hybridMultilevel"/>
    <w:tmpl w:val="54B4DD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7F6DFA"/>
    <w:multiLevelType w:val="hybridMultilevel"/>
    <w:tmpl w:val="9980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590BF0"/>
    <w:multiLevelType w:val="hybridMultilevel"/>
    <w:tmpl w:val="5DC0F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41E05FF"/>
    <w:multiLevelType w:val="hybridMultilevel"/>
    <w:tmpl w:val="4EDEFC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300E7E"/>
    <w:multiLevelType w:val="hybridMultilevel"/>
    <w:tmpl w:val="E446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D100B"/>
    <w:multiLevelType w:val="hybridMultilevel"/>
    <w:tmpl w:val="5332FC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5C1DB9"/>
    <w:multiLevelType w:val="hybridMultilevel"/>
    <w:tmpl w:val="08DE69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B52AD8"/>
    <w:multiLevelType w:val="hybridMultilevel"/>
    <w:tmpl w:val="9D58BE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165CF"/>
    <w:multiLevelType w:val="hybridMultilevel"/>
    <w:tmpl w:val="E8222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766A96"/>
    <w:multiLevelType w:val="hybridMultilevel"/>
    <w:tmpl w:val="B746A71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9">
    <w:nsid w:val="6389405B"/>
    <w:multiLevelType w:val="hybridMultilevel"/>
    <w:tmpl w:val="23802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5E45E1"/>
    <w:multiLevelType w:val="hybridMultilevel"/>
    <w:tmpl w:val="1108B01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3D45A5"/>
    <w:multiLevelType w:val="hybridMultilevel"/>
    <w:tmpl w:val="8028FE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B1959"/>
    <w:multiLevelType w:val="hybridMultilevel"/>
    <w:tmpl w:val="52B4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22C6F"/>
    <w:multiLevelType w:val="hybridMultilevel"/>
    <w:tmpl w:val="856E74D2"/>
    <w:lvl w:ilvl="0" w:tplc="1FEAC9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733C0D99"/>
    <w:multiLevelType w:val="hybridMultilevel"/>
    <w:tmpl w:val="9B74310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>
    <w:nsid w:val="762541DC"/>
    <w:multiLevelType w:val="hybridMultilevel"/>
    <w:tmpl w:val="C5E0A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255BCD"/>
    <w:multiLevelType w:val="hybridMultilevel"/>
    <w:tmpl w:val="011E4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A1741A"/>
    <w:multiLevelType w:val="hybridMultilevel"/>
    <w:tmpl w:val="BB38E3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AB1C06"/>
    <w:multiLevelType w:val="hybridMultilevel"/>
    <w:tmpl w:val="702CB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C7F641C"/>
    <w:multiLevelType w:val="hybridMultilevel"/>
    <w:tmpl w:val="A3BA8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DD63FED"/>
    <w:multiLevelType w:val="hybridMultilevel"/>
    <w:tmpl w:val="356A7A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1"/>
  </w:num>
  <w:num w:numId="4">
    <w:abstractNumId w:val="24"/>
  </w:num>
  <w:num w:numId="5">
    <w:abstractNumId w:val="20"/>
  </w:num>
  <w:num w:numId="6">
    <w:abstractNumId w:val="50"/>
  </w:num>
  <w:num w:numId="7">
    <w:abstractNumId w:val="28"/>
  </w:num>
  <w:num w:numId="8">
    <w:abstractNumId w:val="14"/>
  </w:num>
  <w:num w:numId="9">
    <w:abstractNumId w:val="47"/>
  </w:num>
  <w:num w:numId="10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2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3">
    <w:abstractNumId w:val="25"/>
  </w:num>
  <w:num w:numId="14">
    <w:abstractNumId w:val="6"/>
  </w:num>
  <w:num w:numId="15">
    <w:abstractNumId w:val="29"/>
  </w:num>
  <w:num w:numId="16">
    <w:abstractNumId w:val="35"/>
  </w:num>
  <w:num w:numId="17">
    <w:abstractNumId w:val="3"/>
  </w:num>
  <w:num w:numId="18">
    <w:abstractNumId w:val="34"/>
  </w:num>
  <w:num w:numId="19">
    <w:abstractNumId w:val="18"/>
  </w:num>
  <w:num w:numId="20">
    <w:abstractNumId w:val="33"/>
  </w:num>
  <w:num w:numId="21">
    <w:abstractNumId w:val="1"/>
  </w:num>
  <w:num w:numId="22">
    <w:abstractNumId w:val="42"/>
  </w:num>
  <w:num w:numId="23">
    <w:abstractNumId w:val="30"/>
  </w:num>
  <w:num w:numId="24">
    <w:abstractNumId w:val="12"/>
  </w:num>
  <w:num w:numId="25">
    <w:abstractNumId w:val="36"/>
  </w:num>
  <w:num w:numId="26">
    <w:abstractNumId w:val="46"/>
  </w:num>
  <w:num w:numId="27">
    <w:abstractNumId w:val="26"/>
  </w:num>
  <w:num w:numId="28">
    <w:abstractNumId w:val="32"/>
  </w:num>
  <w:num w:numId="29">
    <w:abstractNumId w:val="22"/>
  </w:num>
  <w:num w:numId="30">
    <w:abstractNumId w:val="21"/>
  </w:num>
  <w:num w:numId="31">
    <w:abstractNumId w:val="40"/>
  </w:num>
  <w:num w:numId="32">
    <w:abstractNumId w:val="44"/>
  </w:num>
  <w:num w:numId="33">
    <w:abstractNumId w:val="43"/>
  </w:num>
  <w:num w:numId="34">
    <w:abstractNumId w:val="8"/>
  </w:num>
  <w:num w:numId="35">
    <w:abstractNumId w:val="11"/>
  </w:num>
  <w:num w:numId="36">
    <w:abstractNumId w:val="5"/>
  </w:num>
  <w:num w:numId="37">
    <w:abstractNumId w:val="15"/>
  </w:num>
  <w:num w:numId="38">
    <w:abstractNumId w:val="38"/>
  </w:num>
  <w:num w:numId="39">
    <w:abstractNumId w:val="16"/>
  </w:num>
  <w:num w:numId="40">
    <w:abstractNumId w:val="23"/>
  </w:num>
  <w:num w:numId="41">
    <w:abstractNumId w:val="31"/>
  </w:num>
  <w:num w:numId="42">
    <w:abstractNumId w:val="9"/>
  </w:num>
  <w:num w:numId="43">
    <w:abstractNumId w:val="4"/>
  </w:num>
  <w:num w:numId="44">
    <w:abstractNumId w:val="39"/>
  </w:num>
  <w:num w:numId="45">
    <w:abstractNumId w:val="37"/>
  </w:num>
  <w:num w:numId="46">
    <w:abstractNumId w:val="19"/>
  </w:num>
  <w:num w:numId="47">
    <w:abstractNumId w:val="48"/>
  </w:num>
  <w:num w:numId="48">
    <w:abstractNumId w:val="13"/>
  </w:num>
  <w:num w:numId="49">
    <w:abstractNumId w:val="49"/>
  </w:num>
  <w:num w:numId="50">
    <w:abstractNumId w:val="7"/>
  </w:num>
  <w:num w:numId="51">
    <w:abstractNumId w:val="2"/>
  </w:num>
  <w:num w:numId="52">
    <w:abstractNumId w:val="27"/>
  </w:num>
  <w:num w:numId="53">
    <w:abstractNumId w:val="0"/>
  </w:num>
  <w:num w:numId="54">
    <w:abstractNumId w:val="10"/>
  </w:num>
  <w:num w:numId="55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revisionView w:markup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CONFIDENCE" w:val=" "/>
    <w:docVar w:name="LW_CONST_RESTREINT_UE" w:val="RESTREINT UE"/>
    <w:docVar w:name="LW_CORRIGENDUM" w:val="&lt;UNUSED&gt;"/>
    <w:docVar w:name="LW_COVERPAGE_GUID" w:val="AD982A11B8834BA180592FFA39AD07E7"/>
    <w:docVar w:name="LW_CROSSREFERENCE" w:val="&lt;UNUSED&gt;"/>
    <w:docVar w:name="LW_DocType" w:val="NORMAL"/>
    <w:docVar w:name="LW_EMISSION" w:val="30.11.2016."/>
    <w:docVar w:name="LW_EMISSION_ISODATE" w:val="2016-11-30"/>
    <w:docVar w:name="LW_EMISSION_LOCATION" w:val="BRX"/>
    <w:docVar w:name="LW_EMISSION_PREFIX" w:val="Bruxelles, "/>
    <w:docVar w:name="LW_EMISSION_SUFFIX" w:val="&lt;EMPTY&gt;"/>
    <w:docVar w:name="LW_ID_DOCTYPE_NONLW" w:val="CP-014"/>
    <w:docVar w:name="LW_LANGUE" w:val="HR"/>
    <w:docVar w:name="LW_MARKING" w:val="&lt;UNUSED&gt;"/>
    <w:docVar w:name="LW_NOM.INST" w:val="EUROPSKA KOMISIJ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6) 766"/>
    <w:docVar w:name="LW_REF.INTERNE" w:val="&lt;UNUSED&gt;"/>
    <w:docVar w:name="LW_SOUS.TITRE.OBJ" w:val="The first European milestone towards cooperative, connected and automated mobility"/>
    <w:docVar w:name="LW_SOUS.TITRE.OBJ.CP" w:val="&lt;UNUSED&gt;"/>
    <w:docVar w:name="LW_SUPERTITRE" w:val="&lt;UNUSED&gt;"/>
    <w:docVar w:name="LW_TITRE.OBJ.CP" w:val="Europska strategija za kooperativne inteligentne prometne sustave, va\u382?an korak prema kooperativnoj, povezanoj i automatiziranoj mobilnosti"/>
    <w:docVar w:name="LW_TYPE.DOC.CP" w:val="KOMUNIKACIJA KOMISIJE EUROPSKOM PARLAMENTU, VIJE\u262?U, EUROPSKOM GOSPODARSKOM I SOCIJALNOM ODBORU I ODBORU REGIJA"/>
    <w:docVar w:name="LW_TYPE.DOC.CP.USERTEXT" w:val="&lt;EMPTY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mainbidtable">
    <w:name w:val="main bid table"/>
    <w:basedOn w:val="TableNormal"/>
    <w:uiPriority w:val="99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Ind w:w="0" w:type="dxa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DF3F7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 w:themeFill="background1"/>
      </w:tcPr>
    </w:tblStylePr>
  </w:style>
  <w:style w:type="paragraph" w:styleId="Caption">
    <w:name w:val="caption"/>
    <w:aliases w:val="cap,cap1"/>
    <w:basedOn w:val="Normal"/>
    <w:next w:val="Normal"/>
    <w:unhideWhenUsed/>
    <w:qFormat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b/>
      <w:bCs/>
      <w:color w:val="4F81BD" w:themeColor="accent1"/>
      <w:sz w:val="18"/>
      <w:szCs w:val="18"/>
      <w:bdr w:val="nil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Sous-titreobjet">
    <w:name w:val="Sous-titre objet"/>
    <w:basedOn w:val="Normal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s1">
    <w:name w:val="s1"/>
    <w:basedOn w:val="DefaultParagraphFont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mainbidtable">
    <w:name w:val="main bid table"/>
    <w:basedOn w:val="TableNormal"/>
    <w:uiPriority w:val="99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Ind w:w="0" w:type="dxa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DF3F7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 w:themeFill="background1"/>
      </w:tcPr>
    </w:tblStylePr>
  </w:style>
  <w:style w:type="paragraph" w:styleId="Caption">
    <w:name w:val="caption"/>
    <w:aliases w:val="cap,cap1"/>
    <w:basedOn w:val="Normal"/>
    <w:next w:val="Normal"/>
    <w:unhideWhenUsed/>
    <w:qFormat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b/>
      <w:bCs/>
      <w:color w:val="4F81BD" w:themeColor="accent1"/>
      <w:sz w:val="18"/>
      <w:szCs w:val="18"/>
      <w:bdr w:val="nil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Sous-titreobjet">
    <w:name w:val="Sous-titre objet"/>
    <w:basedOn w:val="Normal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s1">
    <w:name w:val="s1"/>
    <w:basedOn w:val="DefaultParagraphFont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c-its-korridor.de/" TargetMode="External"/><Relationship Id="rId13" Type="http://schemas.openxmlformats.org/officeDocument/2006/relationships/hyperlink" Target="http://ec.europa.eu/transport/themes/its/c-its_en.htm" TargetMode="External"/><Relationship Id="rId18" Type="http://schemas.openxmlformats.org/officeDocument/2006/relationships/hyperlink" Target="http://eur-lex.europa.eu/legal-content/HR/TXT/?uri=CELEX%3A32016R0679" TargetMode="External"/><Relationship Id="rId3" Type="http://schemas.openxmlformats.org/officeDocument/2006/relationships/hyperlink" Target="http://eur-lex.europa.eu/legal-content/HR/TXT/?uri=COM%3A2015%3A80%3AFIN" TargetMode="External"/><Relationship Id="rId21" Type="http://schemas.openxmlformats.org/officeDocument/2006/relationships/hyperlink" Target="http://eur-lex.europa.eu/legal-content/EN/TXT/?qid=1479301730611&amp;uri=CELEX:52016SC0306" TargetMode="External"/><Relationship Id="rId7" Type="http://schemas.openxmlformats.org/officeDocument/2006/relationships/hyperlink" Target="http://www.mlit.go.jp/common/001146631.pdf" TargetMode="External"/><Relationship Id="rId12" Type="http://schemas.openxmlformats.org/officeDocument/2006/relationships/hyperlink" Target="https://www.car-2-car.org/index.php?id=214" TargetMode="External"/><Relationship Id="rId17" Type="http://schemas.openxmlformats.org/officeDocument/2006/relationships/hyperlink" Target="https://dtc.jrc.ec.europa.eu/" TargetMode="External"/><Relationship Id="rId2" Type="http://schemas.openxmlformats.org/officeDocument/2006/relationships/hyperlink" Target="http://ftp.jrc.es/EURdoc/JRC69961.pdf" TargetMode="External"/><Relationship Id="rId16" Type="http://schemas.openxmlformats.org/officeDocument/2006/relationships/hyperlink" Target="http://eur-lex.europa.eu/legal-content/HR/TXT/?qid=1479300918497&amp;uri=CELEX%3A52016DC0288" TargetMode="External"/><Relationship Id="rId20" Type="http://schemas.openxmlformats.org/officeDocument/2006/relationships/hyperlink" Target="http://eur-lex.europa.eu/legal-content/HR/TXT/?qid=1479301654220&amp;uri=CELEX%3A52016DC0588" TargetMode="External"/><Relationship Id="rId1" Type="http://schemas.openxmlformats.org/officeDocument/2006/relationships/hyperlink" Target="http://eur-lex.europa.eu/legal-content/HR/TXT/?qid=1476374593053&amp;uri=CELEX%3A52016DC0501" TargetMode="External"/><Relationship Id="rId6" Type="http://schemas.openxmlformats.org/officeDocument/2006/relationships/hyperlink" Target="http://www.bmvi.de/SharedDocs/EN/Artikel/K/G7/g7-dokumente.html" TargetMode="External"/><Relationship Id="rId11" Type="http://schemas.openxmlformats.org/officeDocument/2006/relationships/hyperlink" Target="https://english.eu2016.nl/documents/publications/2016/04/14/declaration-of-amsterdam" TargetMode="External"/><Relationship Id="rId5" Type="http://schemas.openxmlformats.org/officeDocument/2006/relationships/hyperlink" Target="http://eur-lex.europa.eu/legal-content/de/TXT/?uri=CELEX:52016SC0110" TargetMode="External"/><Relationship Id="rId15" Type="http://schemas.openxmlformats.org/officeDocument/2006/relationships/hyperlink" Target="http://ec.europa.eu/transport/sites/transport/files/2016-c-its-deployment-study-public-consultation.pdf" TargetMode="External"/><Relationship Id="rId23" Type="http://schemas.openxmlformats.org/officeDocument/2006/relationships/hyperlink" Target="http://www.c-roads.eu/" TargetMode="External"/><Relationship Id="rId10" Type="http://schemas.openxmlformats.org/officeDocument/2006/relationships/hyperlink" Target="http://eur-lex.europa.eu/legal-content/HR/TXT/?qid=1479300756981&amp;uri=CELEX%3A52016DC0705" TargetMode="External"/><Relationship Id="rId19" Type="http://schemas.openxmlformats.org/officeDocument/2006/relationships/hyperlink" Target="http://eur-lex.europa.eu/legal-content/HR/TXT/?uri=celex%3A32014L0053" TargetMode="External"/><Relationship Id="rId4" Type="http://schemas.openxmlformats.org/officeDocument/2006/relationships/hyperlink" Target="http://eur-lex.europa.eu/legal-content/HR/TXT/?qid=1479300554594&amp;uri=CELEX%3A52016DC0180" TargetMode="External"/><Relationship Id="rId9" Type="http://schemas.openxmlformats.org/officeDocument/2006/relationships/hyperlink" Target="https://amsterdamgroup.mett.nl/" TargetMode="External"/><Relationship Id="rId14" Type="http://schemas.openxmlformats.org/officeDocument/2006/relationships/hyperlink" Target="http://ec.europa.eu/transport/sites/transport/files/2016-c-its-deployment-study-final-report.pdf" TargetMode="External"/><Relationship Id="rId22" Type="http://schemas.openxmlformats.org/officeDocument/2006/relationships/hyperlink" Target="http://eur-lex.europa.eu/legal-content/HR/TXT/?uri=CELEX%3A32008D0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5BB8-4B79-4857-B69D-D41E07B1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4448</Words>
  <Characters>27361</Characters>
  <Application>Microsoft Office Word</Application>
  <DocSecurity>0</DocSecurity>
  <Lines>427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2016-11-03T14:43:00Z</cp:lastPrinted>
  <dcterms:created xsi:type="dcterms:W3CDTF">2016-11-28T09:01:00Z</dcterms:created>
  <dcterms:modified xsi:type="dcterms:W3CDTF">2016-12-16T13:17:00Z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Classification">
    <vt:lpwstr> </vt:lpwstr>
  </property>
  <property fmtid="{D5CDD505-2E9C-101B-9397-08002B2CF9AE}" pid="5" name="DocStatus">
    <vt:lpwstr>Green</vt:lpwstr>
  </property>
</Properties>
</file>