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C4" w:rsidRDefault="00A8283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4AE2FC237DB4DA2BFD5C561B9D0ECA2" style="width:450.75pt;height:366pt">
            <v:imagedata r:id="rId9" o:title=""/>
          </v:shape>
        </w:pict>
      </w:r>
    </w:p>
    <w:p w:rsidR="00EB61C4" w:rsidRDefault="00EB61C4">
      <w:pPr>
        <w:pStyle w:val="Sectionbreak"/>
        <w:sectPr w:rsidR="00EB61C4">
          <w:footerReference w:type="default" r:id="rId10"/>
          <w:pgSz w:w="11907" w:h="16839"/>
          <w:pgMar w:top="1134" w:right="1417" w:bottom="1134" w:left="1417" w:header="709" w:footer="709" w:gutter="0"/>
          <w:pgNumType w:start="1"/>
          <w:cols w:space="720"/>
          <w:docGrid w:linePitch="360"/>
        </w:sectPr>
      </w:pPr>
    </w:p>
    <w:p w:rsidR="00EB61C4" w:rsidRDefault="00A8283A">
      <w:pPr>
        <w:pStyle w:val="Exposdesmotifstitre"/>
        <w:rPr>
          <w:noProof/>
        </w:rPr>
      </w:pPr>
      <w:r>
        <w:rPr>
          <w:noProof/>
        </w:rPr>
        <w:lastRenderedPageBreak/>
        <w:t>ΑΙΤΙΟΛΟΓΙΚΗ ΕΚΘΕΣΗ</w:t>
      </w:r>
    </w:p>
    <w:p w:rsidR="00EB61C4" w:rsidRDefault="00A8283A">
      <w:pPr>
        <w:pStyle w:val="ManualHeading1"/>
        <w:rPr>
          <w:noProof/>
        </w:rPr>
      </w:pPr>
      <w:r>
        <w:t>1.</w:t>
      </w:r>
      <w:r>
        <w:tab/>
      </w:r>
      <w:r>
        <w:rPr>
          <w:noProof/>
        </w:rPr>
        <w:tab/>
        <w:t>ΠΛΑΙΣΙΟ ΤΗΣ ΠΡΟΤΑΣΗΣ</w:t>
      </w:r>
    </w:p>
    <w:p w:rsidR="00EB61C4" w:rsidRDefault="00A8283A">
      <w:pPr>
        <w:pStyle w:val="ManualHeading2"/>
        <w:rPr>
          <w:noProof/>
        </w:rPr>
      </w:pPr>
      <w:r>
        <w:rPr>
          <w:noProof/>
          <w:color w:val="000000"/>
          <w:u w:color="000000"/>
          <w:bdr w:val="nil"/>
        </w:rPr>
        <w:t>•</w:t>
      </w:r>
      <w:r>
        <w:rPr>
          <w:noProof/>
        </w:rPr>
        <w:tab/>
        <w:t>Αιτιολόγηση και στόχοι της πρότασης</w:t>
      </w:r>
    </w:p>
    <w:p w:rsidR="00EB61C4" w:rsidRDefault="00A8283A">
      <w:pPr>
        <w:rPr>
          <w:noProof/>
        </w:rPr>
      </w:pPr>
      <w:r>
        <w:rPr>
          <w:noProof/>
        </w:rPr>
        <w:t xml:space="preserve">Η Δημοκρατία της </w:t>
      </w:r>
      <w:r>
        <w:rPr>
          <w:noProof/>
        </w:rPr>
        <w:t>Μολδαβίας αντιμετώπισε μια δύσκολη περίοδο κατά τα τελευταία δύο έτη τόσο σε οικονομικό όσο και σε πολιτικό επίπεδο. Στα τέλη Νοεμβρίου 2014 ξέσπασε ένα τεράστιο σκάνδαλο τραπεζικής απάτης, φέρνοντας στην επιφάνεια σοβαρά προβλήματα διακυβέρνησης που έκτοτ</w:t>
      </w:r>
      <w:r>
        <w:rPr>
          <w:noProof/>
        </w:rPr>
        <w:t xml:space="preserve">ε συνοδεύονται από πολιτική αστάθεια — συμπεριλαμβανομένου του σχηματισμού τριών διαφορετικών κυβερνήσεων μετά τις εκλογές του Νοεμβρίου 2014 και την αντικατάσταση του διοικητή της Εθνικής Τράπεζας της Μολδαβίας (ΕΤΜ) — και διαδηλώσεις. Οι εξελίξεις αυτές </w:t>
      </w:r>
      <w:r>
        <w:rPr>
          <w:noProof/>
        </w:rPr>
        <w:t>οδήγησαν επίσης σε επιβράδυνση της οικονομικής ανάπτυξης, αναστολή της δημοσιονομικής στήριξης από τους διεθνείς εταίρους της χώρας, καθώς και εξασθένηση της δημοσιονομικής θέσης και του ισοζυγίου πληρωμών. Οι οικονομικές δυσχέρειες έχουν επιδεινωθεί από τ</w:t>
      </w:r>
      <w:r>
        <w:rPr>
          <w:noProof/>
        </w:rPr>
        <w:t xml:space="preserve">ην ύφεση ή την υποτονική οικονομική δραστηριότητα σε ορισμένους από τους βασικούς περιφερειακούς εμπορικούς εταίρους της Μολδαβίας (ιδίως στη Ρωσία αλλά και τη Λευκορωσία και την Ουκρανία) έχοντας ως αποτέλεσμα τη μείωση των εξαγωγών και των εμβασμάτων. Ο </w:t>
      </w:r>
      <w:r>
        <w:rPr>
          <w:noProof/>
        </w:rPr>
        <w:t xml:space="preserve">αντίκτυπος αυτός αντισταθμίζεται μόνο εν μέρει από την αύξηση των εμπορικών συναλλαγών με την ΕΕ μετά την έναρξη ισχύος της Συμφωνίας Σύνδεσης που υπεγράφη το 2014, η οποία προβλέπει τη δημιουργία μιας εκτενούς και ολοκληρωμένης ζώνης ελεύθερων συναλλαγών </w:t>
      </w:r>
      <w:r>
        <w:rPr>
          <w:noProof/>
        </w:rPr>
        <w:t>(ΕΟΖΕΣ).</w:t>
      </w:r>
    </w:p>
    <w:p w:rsidR="00EB61C4" w:rsidRDefault="00A8283A">
      <w:pPr>
        <w:rPr>
          <w:noProof/>
          <w:szCs w:val="24"/>
        </w:rPr>
      </w:pPr>
      <w:r>
        <w:rPr>
          <w:noProof/>
        </w:rPr>
        <w:t>Σε αυτό το πλαίσιο, η Μολδαβία ζήτησε τη στήριξη του Διεθνούς Νομισματικού Ταμείου (ΔΝΤ). Έπειτα από μακρές και δύσκολες διαπραγματεύσεις, οι οποίες αντανακλούν την υφιστάμενη πολιτική αστάθεια, στο τέλος Ιουλίου 2016, οι αρχές κατέληξαν σε συμφων</w:t>
      </w:r>
      <w:r>
        <w:rPr>
          <w:noProof/>
        </w:rPr>
        <w:t>ία με το ΔΝΤ για ένα πρόγραμμα διευρυμένης χρηματοδοτικής διευκόλυνσης και διευρυμένης  πιστοδοτικής διευκόλυνσης (ECF/EFF) τριετούς διάρκειας. Η συμφωνία εγκρίθηκε από το Συμβούλιο του ΔΝΤ στις 7 Νοεμβρίου 2016. Η συμφωνία αυτή κατέστη δυνατή χάρη στη νέα</w:t>
      </w:r>
      <w:r>
        <w:rPr>
          <w:noProof/>
        </w:rPr>
        <w:t xml:space="preserve"> αποφασιστικότητα των αρχών, μετά το διορισμό της νέας κυβέρνησης υπό τον Πρωθυπουργό κ. Φίλιπ τον Ιανουάριο του 2016 και του νέου διοικητή της Κεντρικής Τράπεζας τον Μάρτιο του 2016, για την αντιμετώπιση των προβλημάτων διακυβέρνησης στον χρηματοπιστωτικό</w:t>
      </w:r>
      <w:r>
        <w:rPr>
          <w:noProof/>
        </w:rPr>
        <w:t xml:space="preserve"> τομέα και στον τομέα της διαχείρισης των δημόσιων οικονομικών (ΔΔΟ). Η πρόσβαση δυνάμει της χρηματοδοτικής ρύθμισης που συμφωνήθηκε με το ΔΝΤ θα αντιπροσωπεύει το 75 % της ποσόστωσης της χώρας στο ΔΝΤ (129,4 εκατομμύρια ΕΤΔ ή περίπου 161 εκατομμύρια EUR).</w:t>
      </w:r>
      <w:r>
        <w:rPr>
          <w:noProof/>
        </w:rPr>
        <w:t xml:space="preserve"> Στόχος των προγραμμάτων διευρυμένης χρηματοδοτικής και πιστοδοτικής διευκόλυνσης είναι η ταχεία βελτίωση της διακυβέρνησης και της εποπτείας του χρηματοπιστωτικού τομέα, η ενίσχυση πολιτικών για την εξασφάλιση της μακροοικονομικής και χρηματοπιστωτικής στ</w:t>
      </w:r>
      <w:r>
        <w:rPr>
          <w:noProof/>
        </w:rPr>
        <w:t xml:space="preserve">αθερότητας και η προώθηση της βιώσιμης και χωρίς αποκλεισμούς ανάπτυξης. </w:t>
      </w:r>
    </w:p>
    <w:p w:rsidR="00EB61C4" w:rsidRDefault="00A8283A">
      <w:pPr>
        <w:rPr>
          <w:noProof/>
        </w:rPr>
      </w:pPr>
      <w:r>
        <w:rPr>
          <w:noProof/>
        </w:rPr>
        <w:t>Πρέπει να σημειωθεί ότι, μετά τα συμπεράσματα του Συμβουλίου Εξωτερικών Υποθέσεων της 15ης Φεβρουαρίου 2016, συμφωνήθηκε μεταξύ της ΕΕ και των αρχών της Μολδαβίας ένας χάρτης πορείας</w:t>
      </w:r>
      <w:r>
        <w:rPr>
          <w:noProof/>
        </w:rPr>
        <w:t xml:space="preserve"> για μεταρρυθμίσεις προτεραιότητας με σκοπό την εκ νέου ώθηση βασικών διαρθρωτικών μεταρρυθμίσεων. Ως καταληκτική ημερομηνία ορίστηκε η 31η Ιουλίου 2016. Έκτοτε έχει σημειωθεί σημαντική πρόοδος στην υλοποίηση αυτού του χάρτη πορείας όμως δεν έχουν ακόμα δι</w:t>
      </w:r>
      <w:r>
        <w:rPr>
          <w:noProof/>
        </w:rPr>
        <w:t>ευθετηθεί όλα τα ζητήματα που είχε επισημάνει η ΕΕ στα συμπεράσματα του Συμβουλίου του Φεβρουαρίου.</w:t>
      </w:r>
    </w:p>
    <w:p w:rsidR="00EB61C4" w:rsidRDefault="00A8283A">
      <w:pPr>
        <w:rPr>
          <w:noProof/>
          <w:szCs w:val="24"/>
        </w:rPr>
      </w:pPr>
      <w:r>
        <w:rPr>
          <w:noProof/>
        </w:rPr>
        <w:t>Η κυβέρνηση της Μολδαβίας ζήτησε επίσης μακροοικονομική χρηματοδοτική συνδρομή (ΜΧΣ) από την ΕΕ τον Αύγουστο του 2015 και επανέλαβε το αίτημα αυτό τον Μάρτι</w:t>
      </w:r>
      <w:r>
        <w:rPr>
          <w:noProof/>
        </w:rPr>
        <w:t xml:space="preserve">ο του </w:t>
      </w:r>
      <w:r>
        <w:rPr>
          <w:noProof/>
        </w:rPr>
        <w:lastRenderedPageBreak/>
        <w:t>2016</w:t>
      </w:r>
      <w:r>
        <w:rPr>
          <w:rStyle w:val="FootnoteReference"/>
          <w:noProof/>
        </w:rPr>
        <w:footnoteReference w:id="1"/>
      </w:r>
      <w:r>
        <w:rPr>
          <w:noProof/>
        </w:rPr>
        <w:t>. Ως αποτέλεσμα αυτής της αίτησης και στο πλαίσιο των πολιτικών και οικονομικών εξελίξεων από το 2014 και μετά, η Ευρωπαϊκή Επιτροπή υποβάλλει στο Ευρωπαϊκό Κοινοβούλιο και στο Συμβούλιο πρόταση απόφασης για τη χορήγηση μακροοικονομικής χρηματοδ</w:t>
      </w:r>
      <w:r>
        <w:rPr>
          <w:noProof/>
        </w:rPr>
        <w:t>οτικής συνδρομής (ΜΧΣ) προς τη Δημοκρατία της Μολδαβίας ύψους έως 100 εκατομμυρίων EUR. Από το ποσό αυτό, τα 60 εκατομμύρια EUR θα είναι υπό μορφή δανείων και τα 40 εκατομμύρια EUR υπό μορφή επιχορηγήσεων. Το προτεινόμενο ποσό δικαιολογείται με βάση την εν</w:t>
      </w:r>
      <w:r>
        <w:rPr>
          <w:noProof/>
        </w:rPr>
        <w:t>ημερωμένη εκτίμηση των αναγκών εξωτερικής χρηματοδότησης της χώρας, το μέγεθος του προγράμματος του ΔΝΤ, τον επιμερισμό του βάρους και τα διαθέσιμα περιθώρια στον προϋπολογισμό της ΕΕ.</w:t>
      </w:r>
    </w:p>
    <w:p w:rsidR="00EB61C4" w:rsidRDefault="00A8283A">
      <w:pPr>
        <w:rPr>
          <w:noProof/>
        </w:rPr>
      </w:pPr>
      <w:r>
        <w:rPr>
          <w:noProof/>
        </w:rPr>
        <w:t xml:space="preserve">Η προτεινόμενη ΜΧΣ της ΕΕ θα βοηθήσει τη Μολδαβία να καλύψει μέρος των </w:t>
      </w:r>
      <w:r>
        <w:rPr>
          <w:noProof/>
        </w:rPr>
        <w:t>υπολειπόμενων αναγκών εξωτερικής χρηματοδότησής της για το διάστημα 2016-2018, που εκτιμάται πως ανέρχονται σε 442 εκατομμύρια δολάρια ΗΠΑ (402 εκατομμύρια EUR), στο πλαίσιο του νέου προγράμματος του ΔΝΤ. Έτσι θα μειωθούν οι βραχυπρόθεσμες αδυναμίες του ισ</w:t>
      </w:r>
      <w:r>
        <w:rPr>
          <w:noProof/>
        </w:rPr>
        <w:t xml:space="preserve">οζυγίου πληρωμών και οι δημοσιονομικές ευπάθειες. Ο σχεδιασμός και η υλοποίησή της θα πρέπει να συνάδει με τα προγράμματα προσαρμογής και μεταρρυθμίσεων που η Μολδαβία έχει συμφωνήσει με το ΔΝΤ και την Παγκόσμια Τράπεζα καθώς και με τις μεταρρυθμίσεις που </w:t>
      </w:r>
      <w:r>
        <w:rPr>
          <w:noProof/>
        </w:rPr>
        <w:t xml:space="preserve">έχουν συμφωνηθεί στο πλαίσιο των πράξεων δημοσιονομικής στήριξης της ΕΕ και της συμφωνίας ΕΟΖΕΣ. </w:t>
      </w:r>
    </w:p>
    <w:p w:rsidR="00EB61C4" w:rsidRDefault="00A8283A">
      <w:pPr>
        <w:rPr>
          <w:noProof/>
        </w:rPr>
      </w:pPr>
      <w:r>
        <w:rPr>
          <w:noProof/>
        </w:rPr>
        <w:t>Η εφαρμογή της προτεινόμενης διαδικασίας αναμένεται να συνδυαστεί με την επανέναρξη των εκταμιεύσεων στο πλαίσιο πράξεων δημοσιονομικής στήριξης που χρηματοδο</w:t>
      </w:r>
      <w:r>
        <w:rPr>
          <w:noProof/>
        </w:rPr>
        <w:t>τούνται από τον Ευρωπαϊκό Μηχανισμό Γειτονίας (ΕΜΓ). Οι εκταμιεύσεις έχουν ανασταλεί από τις αρχές του 2015 αντανακλώντας τις ανησυχίες που εκφράστηκαν σχετικά με τη διακυβέρνηση και την έλλειψη αξιόπιστης στρατηγικής μακροοικονομικής πολιτικής.</w:t>
      </w:r>
    </w:p>
    <w:p w:rsidR="00EB61C4" w:rsidRDefault="00A8283A">
      <w:pPr>
        <w:rPr>
          <w:noProof/>
        </w:rPr>
      </w:pPr>
      <w:r>
        <w:rPr>
          <w:noProof/>
        </w:rPr>
        <w:t>Όπως επεξη</w:t>
      </w:r>
      <w:r>
        <w:rPr>
          <w:noProof/>
        </w:rPr>
        <w:t>γείται περαιτέρω στο έγγραφο εργασίας των υπηρεσιών της Επιτροπής που συνοδεύει την παρούσα πρόταση, η Επιτροπή θεωρεί, με βάση και την αξιολόγηση της πολιτικής κατάστασης από την Ευρωπαϊκή Υπηρεσία Εξωτερικής Δράσης, ότι πληρούνται οι πολιτικές και οικονο</w:t>
      </w:r>
      <w:r>
        <w:rPr>
          <w:noProof/>
        </w:rPr>
        <w:t>μικές προϋποθέσεις για την προτεινόμενη ΜΧΣ.</w:t>
      </w:r>
    </w:p>
    <w:p w:rsidR="00EB61C4" w:rsidRDefault="00A8283A">
      <w:pPr>
        <w:pStyle w:val="ManualHeading2"/>
        <w:rPr>
          <w:noProof/>
        </w:rPr>
      </w:pPr>
      <w:r>
        <w:rPr>
          <w:noProof/>
          <w:color w:val="000000"/>
          <w:u w:color="000000"/>
          <w:bdr w:val="nil"/>
        </w:rPr>
        <w:t>•</w:t>
      </w:r>
      <w:r>
        <w:rPr>
          <w:noProof/>
        </w:rPr>
        <w:tab/>
        <w:t xml:space="preserve">Γενικό πλαίσιο </w:t>
      </w:r>
    </w:p>
    <w:p w:rsidR="00EB61C4" w:rsidRDefault="00A8283A">
      <w:pPr>
        <w:rPr>
          <w:noProof/>
        </w:rPr>
      </w:pPr>
      <w:r>
        <w:rPr>
          <w:noProof/>
        </w:rPr>
        <w:t xml:space="preserve">Η </w:t>
      </w:r>
      <w:r>
        <w:rPr>
          <w:i/>
          <w:noProof/>
        </w:rPr>
        <w:t>μακροοικονομική προοπτική</w:t>
      </w:r>
      <w:r>
        <w:rPr>
          <w:noProof/>
        </w:rPr>
        <w:t xml:space="preserve"> για τη Μολδαβία παραμένει ευάλωτη αλλά ο συνδυασμός των πρόσφατων μέτρων προσαρμογής και η προοπτική επανέναρξης της εξωτερικής βοήθειας εκ μέρους χορηγών βοήθησαν τ</w:t>
      </w:r>
      <w:r>
        <w:rPr>
          <w:noProof/>
        </w:rPr>
        <w:t>η χώρα να ανακτήσει κάποια σταθερότητα.</w:t>
      </w:r>
    </w:p>
    <w:p w:rsidR="00EB61C4" w:rsidRDefault="00A8283A">
      <w:pPr>
        <w:rPr>
          <w:noProof/>
        </w:rPr>
      </w:pPr>
      <w:r>
        <w:rPr>
          <w:noProof/>
        </w:rPr>
        <w:t xml:space="preserve">Μετά από μια έντονη </w:t>
      </w:r>
      <w:r>
        <w:rPr>
          <w:i/>
          <w:noProof/>
        </w:rPr>
        <w:t>επιβράδυνση της οικονομικής ανάπτυξης</w:t>
      </w:r>
      <w:r>
        <w:rPr>
          <w:noProof/>
        </w:rPr>
        <w:t xml:space="preserve"> το 2014, η Μολδαβία εισήλθε σε ύφεση το προηγούμενο έτος, με μείωση του ΑΕΠ της</w:t>
      </w:r>
      <w:r>
        <w:rPr>
          <w:b/>
          <w:noProof/>
        </w:rPr>
        <w:t xml:space="preserve"> </w:t>
      </w:r>
      <w:r>
        <w:rPr>
          <w:noProof/>
        </w:rPr>
        <w:t>κατά 0,5% το 2015, λόγω: α) δυσμενών καιρικών συνθηκών που είχαν ως αποτέλεσμα</w:t>
      </w:r>
      <w:r>
        <w:rPr>
          <w:noProof/>
        </w:rPr>
        <w:t xml:space="preserve"> μείωση κατά 13,4% της γεωργικής παραγωγής· β) επιτάχυνσης της μείωσης εμβασμάτων και των χαμηλών εξαγωγών, αντικατοπτρίζοντας την ύφεση ή την ασθενή οικονομική δραστηριότητα σε ορισμένους βασικούς εμπορικούς εταίρους της Μολδαβίας, κυρίως στη Λευκορωσία, </w:t>
      </w:r>
      <w:r>
        <w:rPr>
          <w:noProof/>
        </w:rPr>
        <w:t>τη Ρωσία και την Ουκρανία· γ) της ασθενούς εσωτερικής πιστωτικής επέκτασης λόγω των προβλημάτων στο τραπεζικό σύστημα και της αυστηρότερης νομισματικής πολιτικής· και δ) της δημοσιονομικής στενότητας που προκλήθηκε εν μέρει από την αναστολή της στήριξης τω</w:t>
      </w:r>
      <w:r>
        <w:rPr>
          <w:noProof/>
        </w:rPr>
        <w:t>ν διεθνών χορηγών αλλά και από τη μείωση των φορολογικών εσόδων λόγω της ύφεσης, που επηρέασε σημαντικά, μεταξύ άλλων, το πρόγραμμα δημοσίων επενδύσεων για το 2015. Μετά την προσαρμογή του 2015, η οικονομία της Μολδαβίας αναμένεται να ανακάμψει μόνο με αργ</w:t>
      </w:r>
      <w:r>
        <w:rPr>
          <w:noProof/>
        </w:rPr>
        <w:t xml:space="preserve">ό ρυθμό το 2016 και τα επόμενα έτη. Το 2016, το ΑΕΠ αναμένεται να αυξηθεί κατά </w:t>
      </w:r>
      <w:r>
        <w:rPr>
          <w:noProof/>
        </w:rPr>
        <w:lastRenderedPageBreak/>
        <w:t xml:space="preserve">περίπου 2%. Η ανάπτυξη το 2016 θα συνεχίσει να περιορίζεται από τις περικοπές του προϋπολογισμού και τους αυστηρούς πιστωτικούς όρους καθώς και από τη χαμηλή ροή των εμβασμάτων </w:t>
      </w:r>
      <w:r>
        <w:rPr>
          <w:noProof/>
        </w:rPr>
        <w:t>και την αύξηση των τιμών στα τοπικά ενεργειακά τιμολόγια που θα κρατήσουν την κατανάλωση των ιδιωτών σε χαμηλά επίπεδα. Εν τω μεταξύ, ο επαναπροσανατολισμός προς τις αγορές της ΕΕ θα χρειαστεί χρόνο και επενδύσεις.</w:t>
      </w:r>
    </w:p>
    <w:p w:rsidR="00EB61C4" w:rsidRDefault="00A8283A">
      <w:pPr>
        <w:rPr>
          <w:noProof/>
        </w:rPr>
      </w:pPr>
      <w:r>
        <w:rPr>
          <w:noProof/>
        </w:rPr>
        <w:t>Αφού αυξήθηκε από 4,7% στο τέλος του Δεκε</w:t>
      </w:r>
      <w:r>
        <w:rPr>
          <w:noProof/>
        </w:rPr>
        <w:t xml:space="preserve">μβρίου 2014 σε 13,5% στο τέλος του Δεκεμβρίου 2015 (σε ετήσια βάση), </w:t>
      </w:r>
      <w:r>
        <w:rPr>
          <w:i/>
          <w:noProof/>
        </w:rPr>
        <w:t>ο πληθωρισμός καταναλωτικών τιμών</w:t>
      </w:r>
      <w:r>
        <w:rPr>
          <w:noProof/>
        </w:rPr>
        <w:t xml:space="preserve"> ακολούθησε πτωτική πορεία, φθάνοντας το 3,0% στο τέλος του Σεπτεμβρίου 2016. Το ΔΝΤ προβλέπει μέσο ετήσιο πληθωρισμό 6,9 % για το 2016 και 4,9% για το 20</w:t>
      </w:r>
      <w:r>
        <w:rPr>
          <w:noProof/>
        </w:rPr>
        <w:t>17.</w:t>
      </w:r>
    </w:p>
    <w:p w:rsidR="00EB61C4" w:rsidRDefault="00A8283A">
      <w:pPr>
        <w:rPr>
          <w:noProof/>
          <w:szCs w:val="24"/>
        </w:rPr>
      </w:pPr>
      <w:r>
        <w:rPr>
          <w:noProof/>
        </w:rPr>
        <w:t xml:space="preserve">Η κυβέρνηση αντιμετωπίζει </w:t>
      </w:r>
      <w:r>
        <w:rPr>
          <w:i/>
          <w:noProof/>
        </w:rPr>
        <w:t>σημαντικές δημοσιονομικές πιέσεις λόγω των</w:t>
      </w:r>
      <w:r>
        <w:rPr>
          <w:b/>
          <w:noProof/>
        </w:rPr>
        <w:t xml:space="preserve"> </w:t>
      </w:r>
      <w:r>
        <w:rPr>
          <w:noProof/>
        </w:rPr>
        <w:t>χαμηλότερων εσόδων του προϋπολογισμού ως απόρροια της ασθενέστερης οικονομικής δραστηριότητας και της διακοπής της δημοσιονομικής στήριξης από χορηγούς. Οι παράγοντες αυτοί συνετέλεσα</w:t>
      </w:r>
      <w:r>
        <w:rPr>
          <w:noProof/>
        </w:rPr>
        <w:t>ν στην αύξηση του δημοσιονομικού ελλείμματος από 1,9% του ΑΕΠ το 2014 σε 2,3% του ΑΕΠ το 2015. Σύμφωνα με το πρόγραμμα που συμφωνήθηκε με το ΔΝΤ,  η κυβέρνηση ενέκρινε έναν αναθεωρημένο προϋπολογισμό για το 2016, τον οποίο υπέγραψε ο Πρόεδρος στις 4 Οκτωβρ</w:t>
      </w:r>
      <w:r>
        <w:rPr>
          <w:noProof/>
        </w:rPr>
        <w:t xml:space="preserve">ίου 2016. Ο προϋπολογισμός αυτός προβλέπει τα απαραίτητα μέτρα προσαρμογής τόσο στις δαπάνες όσο και στα έσοδα με σκοπό την επίτευξη του στόχου μείωσης του ελλείμματος στο 3,2% του ΑΕΠ. </w:t>
      </w:r>
    </w:p>
    <w:p w:rsidR="00EB61C4" w:rsidRDefault="00A8283A">
      <w:pPr>
        <w:rPr>
          <w:noProof/>
        </w:rPr>
      </w:pPr>
      <w:r>
        <w:rPr>
          <w:noProof/>
        </w:rPr>
        <w:t>Τόσο από τα έσοδα όσο και από τα μέτρα συγκράτησης των δαπανών εξοικο</w:t>
      </w:r>
      <w:r>
        <w:rPr>
          <w:noProof/>
        </w:rPr>
        <w:t>νομήθηκαν συνολικά  2,2 δισεκατομμύρια λέι ή το 1,7% του ΑΕΠ το 2016. Περιλαμβάνουν μέτρα για τον έλεγχο του μισθολογικού κόστους (μειώνοντας την κάλυψη κενών θέσεων) καθώς και διάφορα μέτρα για τη βελτίωση της είσπραξης φόρων και τη μεταρρύθμιση της φορολ</w:t>
      </w:r>
      <w:r>
        <w:rPr>
          <w:noProof/>
        </w:rPr>
        <w:t>ογικής διοίκησης και τη μείωση του υπερβολικά μεγάλου αριθμού των φορολογικών απαλλαγών.</w:t>
      </w:r>
    </w:p>
    <w:p w:rsidR="00EB61C4" w:rsidRDefault="00A8283A">
      <w:pPr>
        <w:rPr>
          <w:noProof/>
        </w:rPr>
      </w:pPr>
      <w:r>
        <w:rPr>
          <w:noProof/>
        </w:rPr>
        <w:t>Το ποσοστό του</w:t>
      </w:r>
      <w:r>
        <w:rPr>
          <w:b/>
          <w:noProof/>
        </w:rPr>
        <w:t xml:space="preserve"> </w:t>
      </w:r>
      <w:r>
        <w:rPr>
          <w:i/>
          <w:noProof/>
        </w:rPr>
        <w:t>δημόσιου χρέους προς το ΑΕΠ</w:t>
      </w:r>
      <w:r>
        <w:rPr>
          <w:noProof/>
        </w:rPr>
        <w:t xml:space="preserve"> αυξήθηκε από 36% στο τέλος του 2014 σε 45% στο τέλος του 2015. Αυτές οι εκτιμήσεις λαμβάνουν υπόψη την χορήγηση έκτακτων δανείων με κρατικές εγγυήσεις που δόθηκαν από την Εθνική Τράπεζα της Μολδαβίας στις τρεις υπό εκκαθάριση τράπεζες. H περσινή αύξηση το</w:t>
      </w:r>
      <w:r>
        <w:rPr>
          <w:noProof/>
        </w:rPr>
        <w:t xml:space="preserve">υ δημόσιου χρέους οφείλεται σε μεγάλο βαθμό στo εσωτερικό χρέος. Το εξωτερικό δημόσιο χρέος σημείωσε μικρότερη αύξηση (από 18 % του ΑΕΠ το 2014 σε 21% του ΑΕΠ στα τέλη του 2015) και η αύξηση αυτή οφειλόταν κυρίως στην υποτίμηση του λέι. Το εξωτερικό χρέος </w:t>
      </w:r>
      <w:r>
        <w:rPr>
          <w:noProof/>
        </w:rPr>
        <w:t>αποτελεί ως επί το πλείστον μεσοπρόθεσμη και μακροπρόθεσμη οφειλή σε πολυμερείς και διμερείς πιστωτές υπό ευνοϊκούς όρους.</w:t>
      </w:r>
    </w:p>
    <w:p w:rsidR="00EB61C4" w:rsidRDefault="00A8283A">
      <w:pPr>
        <w:rPr>
          <w:noProof/>
        </w:rPr>
      </w:pPr>
      <w:r>
        <w:rPr>
          <w:noProof/>
        </w:rPr>
        <w:t>Το 2015, το</w:t>
      </w:r>
      <w:r>
        <w:rPr>
          <w:b/>
          <w:noProof/>
        </w:rPr>
        <w:t xml:space="preserve"> έλλειμμα του ισοζυγίου τρεχουσών συναλλαγών</w:t>
      </w:r>
      <w:r>
        <w:rPr>
          <w:noProof/>
        </w:rPr>
        <w:t xml:space="preserve"> μειώθηκε σε 293 εκατομμύρια EUR (κατά 40% σε ετήσια βάση) λόγω της αισθητής μ</w:t>
      </w:r>
      <w:r>
        <w:rPr>
          <w:noProof/>
        </w:rPr>
        <w:t xml:space="preserve">είωσης των τιμών της εισαγόμενης ενέργειας και της μικρής εγχώριας ζήτησης, γεγονός που περιόρισε τις εισαγωγές. Ως ποσοστό του ΑΕΠ, ωστόσο, το έλλειμμα του ισοζυγίου τρεχουσών συναλλαγών μειώθηκε από 6,7% το 2014 σε 5,0% το 2015, λόγω της μείωσης του ΑΕΠ </w:t>
      </w:r>
      <w:r>
        <w:rPr>
          <w:noProof/>
        </w:rPr>
        <w:t>σε δολάρια το 2015. Το γεγονός αυτό αντανακλά τόσο την πτώση στο πραγματικό ΑΕΠ όσο και την υποτίμηση του λέι.</w:t>
      </w:r>
    </w:p>
    <w:p w:rsidR="00EB61C4" w:rsidRDefault="00A8283A">
      <w:pPr>
        <w:rPr>
          <w:noProof/>
        </w:rPr>
      </w:pPr>
      <w:r>
        <w:rPr>
          <w:noProof/>
        </w:rPr>
        <w:t xml:space="preserve">Παρά τις ταραχώδεις οικονομικές και πολιτικές εξελίξεις στη Μολδαβία, οι </w:t>
      </w:r>
      <w:r>
        <w:rPr>
          <w:b/>
          <w:noProof/>
        </w:rPr>
        <w:t>εισροές Άμεσων Ξένων Επενδύσεων (ΑΞΕ)</w:t>
      </w:r>
      <w:r>
        <w:rPr>
          <w:noProof/>
        </w:rPr>
        <w:t xml:space="preserve">  το 2015 δεν επηρεάστηκαν. Το 2015</w:t>
      </w:r>
      <w:r>
        <w:rPr>
          <w:noProof/>
        </w:rPr>
        <w:t>, οι εισροές ΑΞΕ άγγιξαν τα 165 εκατομμύρια δολάρια ΗΠΑ σε σύγκριση με τα 158 εκατομμύρια δολάρια ΗΠΑ το 2014. Οι ελεύθερες οικονομικές ζώνες της χώρας έπαιξαν σημαντικό ρόλο στην προσέλκυση ΑΞΕ.</w:t>
      </w:r>
    </w:p>
    <w:p w:rsidR="00EB61C4" w:rsidRDefault="00A8283A">
      <w:pPr>
        <w:rPr>
          <w:noProof/>
        </w:rPr>
      </w:pPr>
      <w:r>
        <w:rPr>
          <w:noProof/>
        </w:rPr>
        <w:t>Η κρίση στον χρηματοπιστωτικό τομέα είχε ως αποτέλεσμα τη με</w:t>
      </w:r>
      <w:r>
        <w:rPr>
          <w:noProof/>
        </w:rPr>
        <w:t>ίωση των διεθνών αποθεμάτων κατά 35% στο διάστημα μεταξύ Σεπτεμβρίου 2014 και Φεβρουαρίου 2015 σε 1,7 δισεκατομμύρια δολάρια ΗΠΑ, ήτοι περίπου 4,3 μήνες εισαγωγών. Πιο συγκεκριμένα, στο εν λόγω διάστημα, η Εθνική Τράπεζα της Μολδαβίας προχώρησε σε πωλήσεις</w:t>
      </w:r>
      <w:r>
        <w:rPr>
          <w:noProof/>
        </w:rPr>
        <w:t xml:space="preserve"> των </w:t>
      </w:r>
      <w:r>
        <w:rPr>
          <w:i/>
          <w:noProof/>
        </w:rPr>
        <w:t>συναλλαγματικών αποθεμάτων της</w:t>
      </w:r>
      <w:r>
        <w:rPr>
          <w:noProof/>
        </w:rPr>
        <w:t>, τόσο σε ειδικές πωλήσεις στις τρεις ελεγχόμενες από το κράτος τράπεζες που τέθηκαν υπό εκκαθάριση όσο και στις αγορές ξένου συναλλάγματος, συνολικού ύψους 700 εκατομμυρίων δολαρίων ΗΠΑ. Η μείωση αυτή αντικατόπτριζε εν μ</w:t>
      </w:r>
      <w:r>
        <w:rPr>
          <w:noProof/>
        </w:rPr>
        <w:t>έρει την αύξηση του ποσοστού δολαριοποίησης των καταθέσεων καθώς χανόταν η εμπιστοσύνη στο νόμισμα της Μολδαβίας, το λέι. Έκτοτε, εκφράζοντας τη σταθερότητα και την ανάκαμψη στην αγορά συναλλάγματος, η Κεντρική Τράπεζα συγκέντρωσε 2,1 δισεκατομμύρια δολάρι</w:t>
      </w:r>
      <w:r>
        <w:rPr>
          <w:noProof/>
        </w:rPr>
        <w:t xml:space="preserve">α ΗΠΑ σε συναλλαγματικά αποθέματα έως τα τέλη Σεπτεμβρίου 2016, ποσό που αντιστοιχεί σε περίπου 5,1 μηνών προβλεπόμενων εισαγωγών. </w:t>
      </w:r>
    </w:p>
    <w:p w:rsidR="00EB61C4" w:rsidRDefault="00A8283A">
      <w:pPr>
        <w:rPr>
          <w:noProof/>
        </w:rPr>
      </w:pPr>
      <w:r>
        <w:rPr>
          <w:noProof/>
        </w:rPr>
        <w:t xml:space="preserve">Μετά από πολλά έτη στασιμότητας στη μεταρρυθμιστική διαδικασία, έχει επιτευχθεί σημαντική πρόοδος όσον αφορά την </w:t>
      </w:r>
      <w:r>
        <w:rPr>
          <w:i/>
          <w:noProof/>
        </w:rPr>
        <w:t>εφαρμογή τω</w:t>
      </w:r>
      <w:r>
        <w:rPr>
          <w:i/>
          <w:noProof/>
        </w:rPr>
        <w:t>ν διαρθρωτικών μεταρρυθμίσεων</w:t>
      </w:r>
      <w:r>
        <w:rPr>
          <w:noProof/>
        </w:rPr>
        <w:t xml:space="preserve"> , κατά το τελευταίο εξάμηνο, συμπεριλαμβανομένων και των μεταρρυθμίσεων του χάρτη πορείας για μεταρρυθμίσεις προτεραιότητας, που συμφωνήθηκε με την ΕΕ τον Φεβρουάριο του 2016. Ωστόσο, σημειώθηκαν καθυστερήσεις στην υιοθέτηση μ</w:t>
      </w:r>
      <w:r>
        <w:rPr>
          <w:noProof/>
        </w:rPr>
        <w:t>έτρων σε ορισμένους τομείς, όπως η μεταρρύθμιση της δημόσιας διοίκησης, ο διορισμός Προέδρου της Εθνικής Επιτροπής Χρηματοπιστωτικών Αγορών (NCFM), καθώς και στη λήψη μέτρων για την απελευθέρωση των τομέων της ηλεκτρικής ενέργειας και του φυσικού αερίου. Η</w:t>
      </w:r>
      <w:r>
        <w:rPr>
          <w:noProof/>
        </w:rPr>
        <w:t xml:space="preserve"> ΕΕ παρέχει όλο και περισσότερες τεχνικές και πολιτικές συμβουλές στη Μολδαβία για διαρθρωτικές μεταρρυθμίσεις μέσω της χρηματοδότησης μιας ομάδας 25  </w:t>
      </w:r>
      <w:r>
        <w:rPr>
          <w:i/>
          <w:noProof/>
        </w:rPr>
        <w:t>Συμβούλων Υψηλού Επιπέδου</w:t>
      </w:r>
      <w:r>
        <w:rPr>
          <w:noProof/>
        </w:rPr>
        <w:t xml:space="preserve"> που συνεργάζονται με ανώτερους υπαλλήλους στα διάφορα όργανα. Σε αυτούς περιλαμ</w:t>
      </w:r>
      <w:r>
        <w:rPr>
          <w:noProof/>
        </w:rPr>
        <w:t>βάνονται ο Πρωθυπουργός, ο Υπουργός Οικονομικών και ο διοικητής της Εθνικής Τράπεζας της Μολδαβίας. Στο πλαίσιο αυτής της καινοτόμου διαδικασίας προωθούνται σημαντικές μεταρρυθμίσεις  όπως η μεταρρύθμιση του χρηματοπιστωτικού τομέα, η διαχείριση των δημόσι</w:t>
      </w:r>
      <w:r>
        <w:rPr>
          <w:noProof/>
        </w:rPr>
        <w:t>ων οικονομικών, ο εξωτερικός έλεγχος και η εφαρμογή της ΕΟΖΕΣ.</w:t>
      </w:r>
    </w:p>
    <w:p w:rsidR="00EB61C4" w:rsidRDefault="00A8283A">
      <w:pPr>
        <w:rPr>
          <w:noProof/>
        </w:rPr>
      </w:pPr>
      <w:r>
        <w:rPr>
          <w:noProof/>
        </w:rPr>
        <w:t xml:space="preserve">Οι προβλέψεις του ΔΝΤ, το Νοέμβριο του 2016, υπογράμμισαν περαιτέρω τις σημαντικές </w:t>
      </w:r>
      <w:r>
        <w:rPr>
          <w:i/>
          <w:noProof/>
        </w:rPr>
        <w:t xml:space="preserve">ανάγκες που θα δημιουργηθούν από το ισοζύγιο πληρωμών </w:t>
      </w:r>
      <w:r>
        <w:rPr>
          <w:noProof/>
        </w:rPr>
        <w:t>την περίοδο 2016-2018, με τις συνολικές ανάγκες εξωτερικ</w:t>
      </w:r>
      <w:r>
        <w:rPr>
          <w:noProof/>
        </w:rPr>
        <w:t>ής χρηματοδότησης να εκτιμώνται σε 469 εκατομμύρια δολάρια ΗΠΑ (184 εκατομμύρια το 2016, 186  εκατομμύρια το 2017 και 99 εκατομμύρια το 2018). Αυτό το κενό χρηματοδότησης μπορεί, σε γενικές γραμμές, να αποδοθεί σε τρεις παράγοντες: σε ένα σχετικά μεγάλο έλ</w:t>
      </w:r>
      <w:r>
        <w:rPr>
          <w:noProof/>
        </w:rPr>
        <w:t>λειμμα του ισοζυγίου τρεχουσών συναλλαγών, στην ανάγκη να συγκεντρωθούν συναλλαγματικά αποθέματα και στις μεγάλες απαιτήσεις που αναμένονται ως προς την απόσβεση του χρέους. Η προτεινόμενη νέα πράξη ΜΧΣ ύψους 100 εκατομμυρίων EUR αναμένεται να καλύψει το 2</w:t>
      </w:r>
      <w:r>
        <w:rPr>
          <w:noProof/>
        </w:rPr>
        <w:t>4,9 % του εκτιμώμενου εναπομένοντος χρηματοδοτικού ελλείμματος (μετά την αφαίρεση της καθαρής χρηματοδότησης από το ΔΝΤ και της αναμενόμενης εκταμίευσης των δανείων από την Παγκόσμια Τράπεζα).</w:t>
      </w:r>
    </w:p>
    <w:p w:rsidR="00EB61C4" w:rsidRDefault="00A8283A">
      <w:pPr>
        <w:pStyle w:val="ManualHeading2"/>
        <w:rPr>
          <w:noProof/>
        </w:rPr>
      </w:pPr>
      <w:r>
        <w:rPr>
          <w:noProof/>
          <w:color w:val="000000"/>
          <w:u w:color="000000"/>
          <w:bdr w:val="nil"/>
        </w:rPr>
        <w:t>•</w:t>
      </w:r>
      <w:r>
        <w:rPr>
          <w:noProof/>
        </w:rPr>
        <w:tab/>
        <w:t>Ισχύουσες διατάξεις στον τομέα που αφορά η πρόταση</w:t>
      </w:r>
    </w:p>
    <w:p w:rsidR="00EB61C4" w:rsidRDefault="00A8283A">
      <w:pPr>
        <w:rPr>
          <w:noProof/>
        </w:rPr>
      </w:pPr>
      <w:r>
        <w:rPr>
          <w:noProof/>
        </w:rPr>
        <w:t xml:space="preserve">Η απόφαση </w:t>
      </w:r>
      <w:r>
        <w:rPr>
          <w:noProof/>
        </w:rPr>
        <w:t>938/2010/ΕΕ σχετικά με προηγούμενη χορήγηση μακροοικονομικής χρηματοδοτικής συνδρομής στη Δημοκρατία της Μολδαβίας, ύψους 90 εκατομμυρίων EUR υπό μορφή επιχορηγήσεων εγκρίθηκε από το Ευρωπαϊκό Κοινοβούλιο και το Συμβούλιο στις 20 Οκτωβρίου 2010</w:t>
      </w:r>
      <w:r>
        <w:rPr>
          <w:rStyle w:val="FootnoteReference"/>
          <w:noProof/>
        </w:rPr>
        <w:footnoteReference w:id="2"/>
      </w:r>
      <w:r>
        <w:rPr>
          <w:noProof/>
        </w:rPr>
        <w:t>. Το ποσό τ</w:t>
      </w:r>
      <w:r>
        <w:rPr>
          <w:noProof/>
        </w:rPr>
        <w:t>ης συνδρομής εκταμιεύθηκε πλήρως κατά την περίοδο 2010-2012.</w:t>
      </w:r>
    </w:p>
    <w:p w:rsidR="00EB61C4" w:rsidRDefault="00A8283A">
      <w:pPr>
        <w:pStyle w:val="ManualHeading2"/>
        <w:rPr>
          <w:rFonts w:eastAsia="Arial Unicode MS"/>
          <w:noProof/>
        </w:rPr>
      </w:pPr>
      <w:r>
        <w:rPr>
          <w:noProof/>
          <w:color w:val="000000"/>
          <w:u w:color="000000"/>
          <w:bdr w:val="nil"/>
        </w:rPr>
        <w:t>•</w:t>
      </w:r>
      <w:r>
        <w:rPr>
          <w:noProof/>
        </w:rPr>
        <w:tab/>
        <w:t>Συνοχή με τις άλλες πολιτικές και τους στόχους της Ένωσης</w:t>
      </w:r>
    </w:p>
    <w:p w:rsidR="00EB61C4" w:rsidRDefault="00A8283A">
      <w:pPr>
        <w:rPr>
          <w:noProof/>
        </w:rPr>
      </w:pPr>
      <w:r>
        <w:rPr>
          <w:noProof/>
        </w:rPr>
        <w:t xml:space="preserve">Η Ευρωπαϊκή Ένωση και η Δημοκρατία της Μολδαβίας έχουν αναπτύξει στενές πολιτικές και οικονομικές σχέσεις με την πάροδο των ετών. Αυτό </w:t>
      </w:r>
      <w:r>
        <w:rPr>
          <w:noProof/>
        </w:rPr>
        <w:t xml:space="preserve">οδήγησε στη Σύναψη Συμφωνίας Σύνδεσης, συμπεριλαμβανομένης και μιας ΕΟΖΕΣ, η οποία υπεγράφη στις 27 Ιουνίου 2014 και τέθηκε σε πλήρη ισχύ την 1η Ιουλίου 2016. Η Συμφωνία Σύνδεσης αντικαθιστά την προηγούμενη Συμφωνία Εταιρικής Σχέσης και Συνεργασίας και θα </w:t>
      </w:r>
      <w:r>
        <w:rPr>
          <w:noProof/>
        </w:rPr>
        <w:t>επιτρέψει την πολιτική σύνδεση και την οικονομική ολοκλήρωση της Μολδαβίας με την ΕΕ. Μια Ατζέντα Σύνδεσης — που εγκρίθηκε το 2014 — καθορίζει μια σειρά προτεραιοτήτων για κοινή εργασία κατά την περίοδο 2014-16, με βάση τη διάρθρωση της Συμφωνίας Σύνδεσης.</w:t>
      </w:r>
      <w:r>
        <w:rPr>
          <w:noProof/>
        </w:rPr>
        <w:t xml:space="preserve"> Επί του παρόντος επανεξετάζεται προκειμένου να εκπονηθεί ενημερωμένη έκδοση για την περίοδο 2017-2019. Το ενιαίο πλαίσιο στήριξης για το 2014-2017 προσδιορίζει τους τομείς που αποτελούν προτεραιότητα για τη συνεργασία της ΕΕ με τη Δημοκρατία της Μολδαβίας</w:t>
      </w:r>
      <w:r>
        <w:rPr>
          <w:noProof/>
        </w:rPr>
        <w:t xml:space="preserve"> στο πλαίσιο του Ευρωπαϊκού Μηχανισμού Γειτονίας. Έχουν επίσης αρχίσει εργασίες για ένα νέο ενιαίο πλαίσιο στήριξης για την περίοδο 2017-2020. </w:t>
      </w:r>
    </w:p>
    <w:p w:rsidR="00EB61C4" w:rsidRDefault="00A8283A">
      <w:pPr>
        <w:rPr>
          <w:noProof/>
        </w:rPr>
      </w:pPr>
      <w:r>
        <w:rPr>
          <w:noProof/>
        </w:rPr>
        <w:t>Η Μολδαβία διατηρεί επίσης ιδιαιτέρως ανεπτυγμένες οικονομικές σχέσεις με την ΕΕ. Το 2015 η ΕΕ ήταν ο μεγαλύτερο</w:t>
      </w:r>
      <w:r>
        <w:rPr>
          <w:noProof/>
        </w:rPr>
        <w:t>ς εμπορικός εταίρος της Μολδαβίας με εμπορικό μερίδιο 53%, πολύ ανώτερο του αντίστοιχου της Ρωσίας που ανερχόταν σε 13%. Το 2016 το μερίδιο αυτό σημείωσε νέα αύξηση, φτάνοντας το 62%.</w:t>
      </w:r>
    </w:p>
    <w:p w:rsidR="00EB61C4" w:rsidRDefault="00A8283A">
      <w:pPr>
        <w:rPr>
          <w:noProof/>
        </w:rPr>
      </w:pPr>
      <w:r>
        <w:rPr>
          <w:noProof/>
        </w:rPr>
        <w:t>Οι χώρες που καλύπτονται από την Ευρωπαϊκή Πολιτική Γειτονίας είναι επιλ</w:t>
      </w:r>
      <w:r>
        <w:rPr>
          <w:noProof/>
        </w:rPr>
        <w:t>έξιμες για χορήγηση μακροοικονομικής χρηματοδοτικής συνδρομής. Η ΜΧΣ της ΕΕ θα λειτουργήσει συμπληρωματικά στις επιχορηγήσεις που εμπίπτουν στο πλαίσιο του Ευρωπαϊκού Μηχανισμού Γειτονίας (ΕΜΓ) και άλλων προγραμμάτων της ΕΕ και ιδίως των προϋποθέσεων που π</w:t>
      </w:r>
      <w:r>
        <w:rPr>
          <w:noProof/>
        </w:rPr>
        <w:t>ροβλέπονται στο πλαίσιο των πακέτων δημοσιονομικής στήριξης που εφαρμόζονται από την ΕΕ. Υποστηρίζοντας την έγκριση από τις αρχές της Μολδαβίας, ενός κατάλληλου πλαισίου μακροοικονομικής πολιτικής και διαρθρωτικών μεταρρυθμίσεων, η ΜΧΣ της ΕΕ θα αυξήσει τη</w:t>
      </w:r>
      <w:r>
        <w:rPr>
          <w:noProof/>
        </w:rPr>
        <w:t>ν προστιθέμενη αξία και την αποτελεσματικότητα του συνόλου των χρηματοδοτικών παρεμβάσεων της ΕΕ, μεταξύ άλλων διαμέσου άλλων χρηματοδοτικών μέσων.</w:t>
      </w:r>
    </w:p>
    <w:p w:rsidR="00EB61C4" w:rsidRDefault="00A8283A">
      <w:pPr>
        <w:rPr>
          <w:noProof/>
        </w:rPr>
      </w:pPr>
      <w:r>
        <w:rPr>
          <w:noProof/>
        </w:rPr>
        <w:t>Μολονότι η Μολδαβία εξακολουθεί να αντιμετωπίζει προβλήματα όσον αφορά τις επιδόσεις της στα ανθρώπινα δικαι</w:t>
      </w:r>
      <w:r>
        <w:rPr>
          <w:noProof/>
        </w:rPr>
        <w:t>ώματα καθώς και στη διακυβέρνηση και στο κράτος δικαίου, οι αρχές της Μολδαβίας παρουσιάζονται έτοιμες να δεσμευτούν εκ νέου για την αντιμετώπιση των προκλήσεων της διακυβέρνησης της χώρας και για την επίτευξη προόδου με τις απαραίτητες πολιτικές μεταρρυθμ</w:t>
      </w:r>
      <w:r>
        <w:rPr>
          <w:noProof/>
        </w:rPr>
        <w:t>ίσεις. Ωστόσο, η υλοποίηση βασικών μεταρρυθμίσεων εξακολουθεί να είναι απαραίτητη για την επιτυχή εφαρμογή της ΜΧΣ και θα παρακολουθείται εκ του σύνεγγυς.</w:t>
      </w:r>
    </w:p>
    <w:p w:rsidR="00EB61C4" w:rsidRDefault="00A8283A">
      <w:pPr>
        <w:rPr>
          <w:noProof/>
        </w:rPr>
      </w:pPr>
      <w:r>
        <w:rPr>
          <w:noProof/>
        </w:rPr>
        <w:t>Σε αυτό το πλαίσιο, η Μολδαβία θεωρείται ότι πληροί τις πολιτικές προϋποθέσεις για τη χορήγηση ΜΧΣ σε</w:t>
      </w:r>
      <w:r>
        <w:rPr>
          <w:noProof/>
        </w:rPr>
        <w:t xml:space="preserve"> τρίτες χώρες, ιδίως όσον αφορά το σεβασμό της δημοκρατίας, των ανθρωπίνων δικαιωμάτων και του κράτους δικαίου και είναι μια χώρα με την οποία η ΕΕ διατηρεί στενές πολιτικές και οικονομικές σχέσεις. Μια λεπτομερής αξιολόγηση του κατά πόσον πληρούνται αυτά </w:t>
      </w:r>
      <w:r>
        <w:rPr>
          <w:noProof/>
        </w:rPr>
        <w:t xml:space="preserve">τα πολιτικά κριτήρια για τη ΜΧΣ καταρτίστηκε από την Ευρωπαϊκή Υπηρεσία Εξωτερικής Δράσης και επισυνάπτεται στο έγγραφο εργασίας των υπηρεσιών της Επιτροπής που συνοδεύει την πρόταση. </w:t>
      </w:r>
    </w:p>
    <w:p w:rsidR="00EB61C4" w:rsidRDefault="00A8283A">
      <w:pPr>
        <w:pStyle w:val="ManualHeading1"/>
        <w:rPr>
          <w:noProof/>
        </w:rPr>
      </w:pPr>
      <w:r>
        <w:t>2.</w:t>
      </w:r>
      <w:r>
        <w:tab/>
      </w:r>
      <w:r>
        <w:rPr>
          <w:noProof/>
        </w:rPr>
        <w:tab/>
        <w:t>ΝΟΜΙΚΗ ΒΑΣΗ, ΕΠΙΚΟΥΡΙΚΟΤΗΤΑ ΚΑΙ ΑΝΑΛΟΓΙΚΟΤΗΤΑ</w:t>
      </w:r>
    </w:p>
    <w:p w:rsidR="00EB61C4" w:rsidRDefault="00A8283A">
      <w:pPr>
        <w:pStyle w:val="ManualHeading2"/>
        <w:rPr>
          <w:noProof/>
        </w:rPr>
      </w:pPr>
      <w:r>
        <w:rPr>
          <w:noProof/>
        </w:rPr>
        <w:t>•</w:t>
      </w:r>
      <w:r>
        <w:rPr>
          <w:noProof/>
        </w:rPr>
        <w:tab/>
        <w:t>Σύνοψη της προτεινό</w:t>
      </w:r>
      <w:r>
        <w:rPr>
          <w:noProof/>
        </w:rPr>
        <w:t>μενης δράσης</w:t>
      </w:r>
    </w:p>
    <w:p w:rsidR="00EB61C4" w:rsidRDefault="00A8283A">
      <w:pPr>
        <w:rPr>
          <w:noProof/>
        </w:rPr>
      </w:pPr>
      <w:r>
        <w:rPr>
          <w:noProof/>
        </w:rPr>
        <w:t>Η υπό εξέταση πράξη ΜΧΣ θα ανέρχεται κατ’ ανώτατο όριο σε 100 εκατομμύρια EUR. Η Επιτροπή προτείνει να χορηγηθεί το ποσό της συνδρομής υπό τη μορφή μεσοπρόθεσμου δανείου ανώτατου ύψους 60 εκατομμυρίων EUR και επιχορηγήσεων ύψους έως 40 εκατομμ</w:t>
      </w:r>
      <w:r>
        <w:rPr>
          <w:noProof/>
        </w:rPr>
        <w:t xml:space="preserve">υρίων EUR. Η συνδρομή θα συμβάλει στην κάλυψη των υπολειπόμενων εξωτερικών χρηματοδοτικών αναγκών της Μολδαβίας για την περίοδο 2016-18, όπως προσδιορίστηκαν από την Επιτροπή βάσει των εκτιμήσεων του ΔΝΤ. </w:t>
      </w:r>
    </w:p>
    <w:p w:rsidR="00EB61C4" w:rsidRDefault="00A8283A">
      <w:pPr>
        <w:rPr>
          <w:noProof/>
        </w:rPr>
      </w:pPr>
      <w:r>
        <w:rPr>
          <w:noProof/>
        </w:rPr>
        <w:t>Δεδομένου του μεγέθους της πράξης, η Επιτροπή εξετ</w:t>
      </w:r>
      <w:r>
        <w:rPr>
          <w:noProof/>
        </w:rPr>
        <w:t>άζει την αποδέσμευση της συνδρομής σε τρεις δόσεις. Οι πρώτες δύο δόσεις, η καθεμία εκ των οποίων θα αποτελείται από επιχορήγηση ύψους 10 εκατομμυρίων EUR και δάνειο ύψους 20 εκατομμυρίων EUR, θα εκταμιευθούν το 2017. Η τρίτη δόση, που αποτελείται από επιχ</w:t>
      </w:r>
      <w:r>
        <w:rPr>
          <w:noProof/>
        </w:rPr>
        <w:t>ορήγηση ύψους 20 εκατομμυρίων EUR και δάνειο 20 εκατομμυρίων EUR, θα εκταμιευθεί κατά το πρώτο εξάμηνο του 2018. Η Επιτροπή θα αναλάβει τη διαχείριση της συνδρομής. Ισχύουν ειδικά μέτρα για την πρόληψη της απάτης και άλλων παρατυπιών, σύμφωνα με τον δημοσι</w:t>
      </w:r>
      <w:r>
        <w:rPr>
          <w:noProof/>
        </w:rPr>
        <w:t xml:space="preserve">ονομικό κανονισμό. </w:t>
      </w:r>
    </w:p>
    <w:p w:rsidR="00EB61C4" w:rsidRDefault="00A8283A">
      <w:pPr>
        <w:rPr>
          <w:noProof/>
        </w:rPr>
      </w:pPr>
      <w:r>
        <w:rPr>
          <w:noProof/>
        </w:rPr>
        <w:t>Θα ισχύσουν αυστηρές προϋποθέσεις για τις εκταμιεύσεις βάσει της ΜΧΣ, και κάθε δόση, συμπεριλαμβανομένης και της πρώτης, θα εξαρτάται από την ικανοποιητική πρόοδο τόσο στο πρόγραμμα του ΔΝΤ και όσο και στους ειδικούς όρους πολιτικής που</w:t>
      </w:r>
      <w:r>
        <w:rPr>
          <w:noProof/>
        </w:rPr>
        <w:t xml:space="preserve"> συμφωνήθηκαν με την ΕΕ στο μνημόνιο συνεννόησης που συνοδεύει την παρούσα πράξη. Οι εν λόγω όροι πολιτικής θα αφορούν κάποιες από τις θεμελιώδεις διαχρονικές αδυναμίες που παρουσίασε η οικονομία της Μολδαβίας και το σύστημα οικονομικής διακυβέρνησης. Πιθα</w:t>
      </w:r>
      <w:r>
        <w:rPr>
          <w:noProof/>
        </w:rPr>
        <w:t>νοί τομείς για την επιβολή όρων ενδέχεται να συμπεριλαμβάνουν μεταρρυθμίσεις για την ενίσχυση της διακυβέρνησης του χρηματοπιστωτικού τομέα,  τη διαχείριση των δημόσιων οικονομικών, τον τομέα της ενέργειας καθώς και συνοδευτικά μέτρα για την ενίσχυση του δ</w:t>
      </w:r>
      <w:r>
        <w:rPr>
          <w:noProof/>
        </w:rPr>
        <w:t xml:space="preserve">ικτύου κοινωνικής προστασίας, τη βελτίωση του επενδυτικού κλίματος και την υποστήριξη της εφαρμογής της συμφωνίας ΕΟΖΕΣ. </w:t>
      </w:r>
    </w:p>
    <w:p w:rsidR="00EB61C4" w:rsidRDefault="00A8283A">
      <w:pPr>
        <w:rPr>
          <w:rFonts w:cs="Arial"/>
          <w:iCs/>
          <w:noProof/>
        </w:rPr>
      </w:pPr>
      <w:r>
        <w:rPr>
          <w:noProof/>
        </w:rPr>
        <w:t xml:space="preserve">Η απόφαση για εκταμίευση της προτεινόμενης συνδρομής με τη μορφή επιχορηγήσεων και δανείων αιτιολογείται από το επίπεδο ανάπτυξης της </w:t>
      </w:r>
      <w:r>
        <w:rPr>
          <w:noProof/>
        </w:rPr>
        <w:t>χώρας (όπως μετράται από το κατά κεφαλήν εισόδημα) και τους δείκτες χρέους. Συνάδει επίσης με την αντιμετώπιση της Μολδαβίας από το ΔΝΤ και την Παγκόσμια Τράπεζα. Πράγματι, η Μολδαβία είναι επιλέξιμη για προνομιακή χρηματοδότηση τόσο από το</w:t>
      </w:r>
      <w:r>
        <w:rPr>
          <w:b/>
          <w:noProof/>
        </w:rPr>
        <w:t xml:space="preserve"> </w:t>
      </w:r>
      <w:r>
        <w:rPr>
          <w:noProof/>
        </w:rPr>
        <w:t xml:space="preserve">ταμείο του ΔΝΤ </w:t>
      </w:r>
      <w:r>
        <w:rPr>
          <w:noProof/>
        </w:rPr>
        <w:t xml:space="preserve">για τη Μείωση της Φτώχειας και την Ενίσχυση της Ανάπτυξης όσο και από την Παγκόσμια Τράπεζα του Διεθνούς Οργανισμού Ανάπτυξης (ΔΟΑ). </w:t>
      </w:r>
    </w:p>
    <w:p w:rsidR="00EB61C4" w:rsidRDefault="00A8283A">
      <w:pPr>
        <w:pStyle w:val="ManualHeading2"/>
        <w:rPr>
          <w:noProof/>
          <w:u w:color="000000"/>
          <w:bdr w:val="nil"/>
        </w:rPr>
      </w:pPr>
      <w:r>
        <w:rPr>
          <w:noProof/>
        </w:rPr>
        <w:t>•</w:t>
      </w:r>
      <w:r>
        <w:rPr>
          <w:noProof/>
        </w:rPr>
        <w:tab/>
        <w:t>Νομική βάση</w:t>
      </w:r>
    </w:p>
    <w:p w:rsidR="00EB61C4" w:rsidRDefault="00A8283A">
      <w:pPr>
        <w:rPr>
          <w:noProof/>
        </w:rPr>
      </w:pPr>
      <w:r>
        <w:rPr>
          <w:noProof/>
        </w:rPr>
        <w:t>Νομική βάση της παρούσας πρότασης αποτελεί το άρθρο 212 της Συνθήκης για τη λειτουργία της Ευρωπαϊκής Ένωσης</w:t>
      </w:r>
      <w:r>
        <w:rPr>
          <w:noProof/>
        </w:rPr>
        <w:t xml:space="preserve"> (ΣΛΕΕ). </w:t>
      </w:r>
    </w:p>
    <w:p w:rsidR="00EB61C4" w:rsidRDefault="00A8283A">
      <w:pPr>
        <w:pStyle w:val="ManualHeading2"/>
        <w:rPr>
          <w:noProof/>
          <w:u w:color="000000"/>
          <w:bdr w:val="nil"/>
        </w:rPr>
      </w:pPr>
      <w:r>
        <w:rPr>
          <w:noProof/>
        </w:rPr>
        <w:t>•</w:t>
      </w:r>
      <w:r>
        <w:rPr>
          <w:noProof/>
        </w:rPr>
        <w:tab/>
        <w:t xml:space="preserve">Επικουρικότητα (σε περίπτωση μη αποκλειστικής αρμοδιότητας) </w:t>
      </w:r>
    </w:p>
    <w:p w:rsidR="00EB61C4" w:rsidRDefault="00A8283A">
      <w:pPr>
        <w:rPr>
          <w:noProof/>
        </w:rPr>
      </w:pPr>
      <w:r>
        <w:rPr>
          <w:noProof/>
        </w:rPr>
        <w:t>Η αρχή της επικουρικότητας τηρείται στον βαθμό που οι στόχοι της αποκατάστασης της βραχυπρόθεσμης μακροοικονομικής σταθερότητας στη Δημοκρατία της Μολδαβίας δεν μπορούν να επιτευχθούν</w:t>
      </w:r>
      <w:r>
        <w:rPr>
          <w:noProof/>
        </w:rPr>
        <w:t xml:space="preserve"> επαρκώς από τα κράτη μέλη μόνον και μπορούν να επιτευχθούν καλύτερα από την Ευρωπαϊκή Ένωση. Οι κύριοι λόγοι είναι οι δημοσιονομικοί περιορισμοί που ισχύουν σε εθνικό επίπεδο και η ανάγκη αυξημένου συντονισμού των χορηγών με σκοπό τη μεγιστοποίηση της κλί</w:t>
      </w:r>
      <w:r>
        <w:rPr>
          <w:noProof/>
        </w:rPr>
        <w:t xml:space="preserve">μακας και της αποτελεσματικότητας της συνδρομής. </w:t>
      </w:r>
    </w:p>
    <w:p w:rsidR="00EB61C4" w:rsidRDefault="00A8283A">
      <w:pPr>
        <w:pStyle w:val="ManualHeading2"/>
        <w:rPr>
          <w:noProof/>
          <w:u w:color="000000"/>
          <w:bdr w:val="nil"/>
        </w:rPr>
      </w:pPr>
      <w:r>
        <w:rPr>
          <w:noProof/>
        </w:rPr>
        <w:t>•</w:t>
      </w:r>
      <w:r>
        <w:rPr>
          <w:noProof/>
        </w:rPr>
        <w:tab/>
        <w:t>Αναλογικότητα</w:t>
      </w:r>
    </w:p>
    <w:p w:rsidR="00EB61C4" w:rsidRDefault="00A8283A">
      <w:pPr>
        <w:rPr>
          <w:noProof/>
        </w:rPr>
      </w:pPr>
      <w:r>
        <w:rPr>
          <w:noProof/>
        </w:rPr>
        <w:t xml:space="preserve">Η πρόταση συνάδει με την αρχή της αναλογικότητας: περιορίζεται στο ελάχιστο αναγκαίο για την επίτευξη των στόχων βραχυπρόθεσμης μακροοικονομικής σταθερότητας και δεν υπερβαίνει τα αναγκαία όρια για τον σκοπό αυτό. </w:t>
      </w:r>
    </w:p>
    <w:p w:rsidR="00EB61C4" w:rsidRDefault="00A8283A">
      <w:pPr>
        <w:rPr>
          <w:noProof/>
        </w:rPr>
      </w:pPr>
      <w:r>
        <w:rPr>
          <w:noProof/>
        </w:rPr>
        <w:t>Όπως προσδιορίστηκε από την Επιτροπή, βάσ</w:t>
      </w:r>
      <w:r>
        <w:rPr>
          <w:noProof/>
        </w:rPr>
        <w:t>ει των εκτιμήσεων του διευρυμένου πιστωτικού μηχανισμού του ΔΝΤ, το ποσό της προτεινόμενης νέας ΜΧΣ αντιστοιχεί στο 24,9% του εκτιμώμενου εναπομένοντος χρηματοδοτικού κενού για την περίοδο 2016-2018. Αυτό συνάδει με τις συνήθεις πρακτικές για τον επιμερισμ</w:t>
      </w:r>
      <w:r>
        <w:rPr>
          <w:noProof/>
        </w:rPr>
        <w:t xml:space="preserve">ό των βαρών στις πράξεις ΜΧΣ, λαμβανομένης υπόψη της συνδρομής που έχουν υποσχεθεί στη Μολδαβία άλλοι διμερείς και πολυμερείς χορηγοί βοήθειας.  </w:t>
      </w:r>
    </w:p>
    <w:p w:rsidR="00EB61C4" w:rsidRDefault="00A8283A">
      <w:pPr>
        <w:pStyle w:val="ManualHeading2"/>
        <w:rPr>
          <w:noProof/>
          <w:u w:color="000000"/>
          <w:bdr w:val="nil"/>
        </w:rPr>
      </w:pPr>
      <w:r>
        <w:rPr>
          <w:noProof/>
        </w:rPr>
        <w:t>•</w:t>
      </w:r>
      <w:r>
        <w:rPr>
          <w:noProof/>
        </w:rPr>
        <w:tab/>
        <w:t>Επιλογή του νομικού μέσου</w:t>
      </w:r>
    </w:p>
    <w:p w:rsidR="00EB61C4" w:rsidRDefault="00A8283A">
      <w:pPr>
        <w:rPr>
          <w:noProof/>
        </w:rPr>
      </w:pPr>
      <w:r>
        <w:rPr>
          <w:noProof/>
        </w:rPr>
        <w:t>Η χρηματοδότηση έργων ή η χορήγηση τεχνικής βοήθειας δεν θα ήταν κατάλληλες ή επαρ</w:t>
      </w:r>
      <w:r>
        <w:rPr>
          <w:noProof/>
        </w:rPr>
        <w:t>κείς για την υλοποίηση των μακροοικονομικών στόχων. Η καθοριστική προστιθέμενη αξία της ΜΧΣ σε σύγκριση με άλλα ενωσιακά μέσα θα είναι η άμβλυνση των εξωτερικών χρηματοδοτικών περιορισμών και η βοήθεια για τη δημιουργία ενός σταθερού μακροοικονομικού πλαισ</w:t>
      </w:r>
      <w:r>
        <w:rPr>
          <w:noProof/>
        </w:rPr>
        <w:t>ίου, συμπεριλαμβανομένης της προαγωγής διατηρήσιμου ισοζυγίου πληρωμών και διατηρήσιμης δημοσιονομικής κατάστασης, και ενός κατάλληλου πλαισίου για διαρθρωτικές μεταρρυθμίσεις. Συμβάλλοντας στην καθιέρωση ενός κατάλληλου συνολικού πλαισίου πολιτικών, η ΜΧΣ</w:t>
      </w:r>
      <w:r>
        <w:rPr>
          <w:noProof/>
        </w:rPr>
        <w:t xml:space="preserve"> μπορεί να αυξήσει την αποτελεσματικότητα των δράσεων που χρηματοδοτούνται στη Μολδαβία βάσει άλλων χρηµατοδοτικών µέσων της ΕΕ µε στενότερη στόχευση. </w:t>
      </w:r>
    </w:p>
    <w:p w:rsidR="00EB61C4" w:rsidRDefault="00A8283A">
      <w:pPr>
        <w:pStyle w:val="ManualHeading1"/>
        <w:rPr>
          <w:noProof/>
        </w:rPr>
      </w:pPr>
      <w:r>
        <w:rPr>
          <w:noProof/>
        </w:rPr>
        <w:t>3.</w:t>
      </w:r>
      <w:r>
        <w:rPr>
          <w:noProof/>
        </w:rPr>
        <w:tab/>
        <w:t xml:space="preserve">ΑΠΟΤΕΛΕΣΜΑΤΑ ΤΩΝ ΕΚ ΤΩΝ ΥΣΤΕΡΩΝ ΑΞΙΟΛΟΓΗΣΕΩΝ, ΤΩΝ ΔΙΑΒΟΥΛΕΥΣΕΩΝ ΜΕ ΤΑ ΕΝΔΙΑΦΕΡΟΜΕΝΑ ΜΕΡΗ ΚΑΙ ΤΩΝ </w:t>
      </w:r>
      <w:r>
        <w:rPr>
          <w:noProof/>
        </w:rPr>
        <w:t>ΕΚΤΙΜΗΣΕΩΝ ΕΠΙΠΤΩΣΕΩΝ</w:t>
      </w:r>
    </w:p>
    <w:p w:rsidR="00EB61C4" w:rsidRDefault="00A8283A">
      <w:pPr>
        <w:pStyle w:val="ManualHeading2"/>
        <w:rPr>
          <w:noProof/>
        </w:rPr>
      </w:pPr>
      <w:r>
        <w:rPr>
          <w:noProof/>
        </w:rPr>
        <w:t>•</w:t>
      </w:r>
      <w:r>
        <w:rPr>
          <w:noProof/>
        </w:rPr>
        <w:tab/>
        <w:t>Διαβούλευση με τα ενδιαφερόμενα μέρη</w:t>
      </w:r>
    </w:p>
    <w:p w:rsidR="00EB61C4" w:rsidRDefault="00A8283A">
      <w:pPr>
        <w:rPr>
          <w:noProof/>
        </w:rPr>
      </w:pPr>
      <w:r>
        <w:rPr>
          <w:noProof/>
        </w:rPr>
        <w:t>Η ΜΧΣ παρέχεται ως αναπόσπαστο μέρος της διεθνούς υποστήριξης στο πρόγραμμα οικονομικής σταθεροποίησης της Δημοκρατίας της Μολδαβίας. Κατά τη σύνταξη της παρούσας πρότασης για ΜΧΣ, οι υπηρεσίες τ</w:t>
      </w:r>
      <w:r>
        <w:rPr>
          <w:noProof/>
        </w:rPr>
        <w:t xml:space="preserve">ης Επιτροπής προχώρησαν σε διαβούλευση με το ΔΝΤ και την Παγκόσμια Τράπεζα, που έχουν ήδη θεσπίσει σημαντικά χρηματοδοτικά προγράμματα και προετοιμάζουν νέα. Η Επιτροπή συμβουλεύθηκε την Οικονομική και Δημοσιονομική Επιτροπή στις 20 Σεπτεμβρίου 2016, όπου </w:t>
      </w:r>
      <w:r>
        <w:rPr>
          <w:noProof/>
        </w:rPr>
        <w:t>δόθηκε η έγκριση για το σχέδιο πρότασης. Η Επιτροπή βρίσκεται επίσης σε συχνή επαφή με τις αρχές της Μολδαβίας.</w:t>
      </w:r>
    </w:p>
    <w:p w:rsidR="00EB61C4" w:rsidRDefault="00A8283A">
      <w:pPr>
        <w:pStyle w:val="ManualHeading2"/>
        <w:rPr>
          <w:noProof/>
        </w:rPr>
      </w:pPr>
      <w:r>
        <w:rPr>
          <w:noProof/>
        </w:rPr>
        <w:t>•</w:t>
      </w:r>
      <w:r>
        <w:rPr>
          <w:noProof/>
        </w:rPr>
        <w:tab/>
        <w:t>Συλλογή και χρήση εμπειρογνωσίας</w:t>
      </w:r>
    </w:p>
    <w:p w:rsidR="00EB61C4" w:rsidRDefault="00A8283A">
      <w:pPr>
        <w:rPr>
          <w:noProof/>
        </w:rPr>
      </w:pPr>
      <w:r>
        <w:rPr>
          <w:noProof/>
        </w:rPr>
        <w:t>Σύμφωνα με τις απαιτήσεις του δημοσιονομικού κανονισμού, οι υπηρεσίες της Επιτροπής διενήργησαν επιχειρησιακή</w:t>
      </w:r>
      <w:r>
        <w:rPr>
          <w:noProof/>
        </w:rPr>
        <w:t xml:space="preserve"> αξιολόγηση των χρηματοδοτικών και διοικητικών δικτύων της Μολδαβίας προκειμένου να εξακριβώσουν αν οι ισχύουσες διαδικασίες διαχείρισης των προγραμμάτων οικονομικής βοήθειας, συμπεριλαμβανομένης της ΜΧΣ, παρέχουν επαρκείς εγγυήσεις. Έλαβαν την τελική έκθε</w:t>
      </w:r>
      <w:r>
        <w:rPr>
          <w:noProof/>
        </w:rPr>
        <w:t>ση της επιχειρησιακής αξιολόγησης, η οποία εκπονήθηκε από εταιρεία συμβούλων τον Φεβρουάριο του 2016. Η έκθεση καταλήγει στο συμπέρασμα ότι το ισχύον καθεστώς των διοικητικών και χρηματοοικονομικών δικτύων της Μολδαβίας είναι σε γενικές γραμμές επαρκές για</w:t>
      </w:r>
      <w:r>
        <w:rPr>
          <w:noProof/>
        </w:rPr>
        <w:t xml:space="preserve"> τη διαχείριση μιας νέας πράξης ΜΧΣ, μολονότι εξακολουθούν να υπάρχουν σημαντικές αδυναμίες. Οι εξελίξεις στον τομέα αυτό θα εξακολουθήσουν να παρακολουθούνται εκ του σύνεγγυς και μέσω των τακτικών εκθέσεων προόδου σχετικά με τις μεταρρυθμίσεις στον τομέα </w:t>
      </w:r>
      <w:r>
        <w:rPr>
          <w:noProof/>
        </w:rPr>
        <w:t xml:space="preserve">της Διαχείρισης Δημόσιων Οικονομικών που συντάσσει η αντιπροσωπεία της ΕΕ στο Κισινάου. </w:t>
      </w:r>
    </w:p>
    <w:p w:rsidR="00EB61C4" w:rsidRDefault="00A8283A">
      <w:pPr>
        <w:pStyle w:val="ManualHeading2"/>
        <w:rPr>
          <w:noProof/>
        </w:rPr>
      </w:pPr>
      <w:r>
        <w:rPr>
          <w:noProof/>
        </w:rPr>
        <w:t>•</w:t>
      </w:r>
      <w:r>
        <w:rPr>
          <w:noProof/>
        </w:rPr>
        <w:tab/>
        <w:t>Εκτίμηση των επιπτώσεων</w:t>
      </w:r>
    </w:p>
    <w:p w:rsidR="00EB61C4" w:rsidRDefault="00A8283A">
      <w:pPr>
        <w:rPr>
          <w:noProof/>
        </w:rPr>
      </w:pPr>
      <w:r>
        <w:rPr>
          <w:noProof/>
        </w:rPr>
        <w:t>Η Μακροοικονομική Χρηματοδοτική Συνδρομή της ΕΕ αποτελεί ένα μέσο έκτακτης ανάγκης για την αντιμετώπιση σοβαρών δυσκολιών του ισοζυγίου πληρω</w:t>
      </w:r>
      <w:r>
        <w:rPr>
          <w:noProof/>
        </w:rPr>
        <w:t>μών σε τρίτες χώρες. Ως εκ τούτου, η παρούσα πρόταση ΜΧΣ απαλλάσσεται από την υποχρέωση διενέργειας Εκτίμησης Επιπτώσεων σύμφωνα με τις κατευθυντήριες γραμμές της Επιτροπής για τη βελτίωση της νομοθεσίας (SWD(2015) 111 final), δεδομένου ότι αποτελεί πολιτι</w:t>
      </w:r>
      <w:r>
        <w:rPr>
          <w:noProof/>
        </w:rPr>
        <w:t>κή επιταγή να υπάρξει ταχεία εξέλιξη στην παρούσα κατάσταση έκτακτης ανάγκης που απαιτεί άμεση αντίδραση.</w:t>
      </w:r>
      <w:r>
        <w:rPr>
          <w:rFonts w:ascii="TimesNewRoman" w:hAnsi="TimesNewRoman"/>
          <w:noProof/>
        </w:rPr>
        <w:t xml:space="preserve"> </w:t>
      </w:r>
    </w:p>
    <w:p w:rsidR="00EB61C4" w:rsidRDefault="00A8283A">
      <w:pPr>
        <w:rPr>
          <w:noProof/>
        </w:rPr>
      </w:pPr>
      <w:r>
        <w:rPr>
          <w:noProof/>
        </w:rPr>
        <w:t>Γενικότερα, οι προτάσεις ΜΧΣ της Επιτροπής βασίζονται στα διδάγματα που αντλήθηκαν από τις εκ των υστέρων αξιολογήσεις που διενεργήθηκαν για προγενέσ</w:t>
      </w:r>
      <w:r>
        <w:rPr>
          <w:noProof/>
        </w:rPr>
        <w:t>τερες επιχειρήσεις στις γειτονικές περιοχές της ΕΕ. Η νέα ΜΧΣ και το πρόγραμμα οικονομικής προσαρμογής και μεταρρυθμίσεων που συνδέεται με τη συνδρομή αυτή, θα βοηθήσουν στην άμβλυνση των βραχυπρόθεσμων χρηματοδοτικών αναγκών της Μολδαβίας, στηρίζοντας παρ</w:t>
      </w:r>
      <w:r>
        <w:rPr>
          <w:noProof/>
        </w:rPr>
        <w:t>άλληλα μέτρα πολιτικής που σκοπό έχουν να ενισχύσουν μεσοπρόθεσμα το ισοζύγιο πληρωμών και τη δημοσιονομική βιωσιμότητα, καθώς επίσης και να αυξήσουν τη βιώσιμη ανάπτυξη, συμπληρώνοντας με τον τρόπο αυτό το πρόγραμμα που θα συμφωνηθεί με το ΔΝΤ. Οι εν λόγω</w:t>
      </w:r>
      <w:r>
        <w:rPr>
          <w:noProof/>
        </w:rPr>
        <w:t xml:space="preserve"> όροι πολιτικής θα αφορούν κάποιες από τις θεμελιώδεις διαχρονικές αδυναμίες που παρουσίασε η οικονομία της Μολδαβίας και το σύστημα οικονομικής διακυβέρνησης. Στους πιθανούς τομείς για την επιβολή όρων θα μπορούσαν, κατ’ αρχήν, να συμπεριλαμβάνουν μεταρρυ</w:t>
      </w:r>
      <w:r>
        <w:rPr>
          <w:noProof/>
        </w:rPr>
        <w:t>θμίσεις για την βελτίωση της διακυβέρνησης του χρηματοπιστωτικού τομέα, της διαχείρισης των δημόσιων οικονομικών, της μεταρρύθμισης του τομέα της ενέργειας καθώς και συνοδευτικά μέτρα για την ενίσχυση του δικτύου κοινωνικής προστασίας, τη βελτίωση του επεν</w:t>
      </w:r>
      <w:r>
        <w:rPr>
          <w:noProof/>
        </w:rPr>
        <w:t>δυτικού κλίματος και την υποστήριξη της εφαρμογής της συμφωνίας ΕΟΖΕΣ.</w:t>
      </w:r>
    </w:p>
    <w:p w:rsidR="00EB61C4" w:rsidRDefault="00A8283A">
      <w:pPr>
        <w:pStyle w:val="ManualHeading1"/>
        <w:rPr>
          <w:noProof/>
        </w:rPr>
      </w:pPr>
      <w:r>
        <w:rPr>
          <w:noProof/>
        </w:rPr>
        <w:t>4.</w:t>
      </w:r>
      <w:r>
        <w:rPr>
          <w:noProof/>
        </w:rPr>
        <w:tab/>
        <w:t>ΔΗΜΟΣΙΟΝΟΜΙΚΕΣ ΕΠΙΠΤΩΣΕΙΣ</w:t>
      </w:r>
    </w:p>
    <w:p w:rsidR="00EB61C4" w:rsidRDefault="00A8283A">
      <w:pPr>
        <w:rPr>
          <w:noProof/>
          <w:position w:val="3"/>
          <w:u w:color="000000"/>
        </w:rPr>
      </w:pPr>
      <w:r>
        <w:rPr>
          <w:noProof/>
        </w:rPr>
        <w:t>Η προβλεπόμενη συνδρομή θα χορηγηθεί με τη μορφή δανείου και επιχορήγησης. Το δάνειο θα χρηματοδοτηθεί μέσω δανειοληπτικής πράξης την οποία θα διενεργήσει η</w:t>
      </w:r>
      <w:r>
        <w:rPr>
          <w:noProof/>
        </w:rPr>
        <w:t xml:space="preserve"> Επιτροπή για λογαριασμό της ΕΕ. Οι δημοσιονομικές επιπτώσεις του δανείου συνδρομής θα αντιστοιχούν στην τροφοδότηση του Ταμείου Εγγυήσεων για εξωτερικές δράσεις σε ποσοστό 9% των ποσών που εκταμιεύονται από τη γραμμή του προϋπολογισμού 01 03 06 («Τροφοδότ</w:t>
      </w:r>
      <w:r>
        <w:rPr>
          <w:noProof/>
        </w:rPr>
        <w:t>ηση του Ταμείου Εγγυήσεων»). Με την προϋπόθεση ότι οι δύο πρώτες εκταμιεύσεις δανείων (ύψους 20 εκατομμυρίων EUR εκάστη) θα καταβληθούν το 2017 και η τρίτη εκταμίευση του δανείου (ύψους 20 εκατομμυρίων EUR) το 2018, η τροφοδότηση θα πραγματοποιηθεί, σύμφων</w:t>
      </w:r>
      <w:r>
        <w:rPr>
          <w:noProof/>
        </w:rPr>
        <w:t>α με τους κανόνες που διέπουν τον μηχανισμό του Ταμείου Εγγυήσεων, στους προϋπολογισμούς 2019-20, για ποσό ύψους 3,6 εκατομμυρίων EUR και 1,8 εκατομμυρίων EUR, αντιστοίχως</w:t>
      </w:r>
      <w:r>
        <w:rPr>
          <w:rStyle w:val="FootnoteReference"/>
          <w:noProof/>
        </w:rPr>
        <w:footnoteReference w:id="3"/>
      </w:r>
      <w:r>
        <w:rPr>
          <w:noProof/>
        </w:rPr>
        <w:t>. Η συνιστώσα «επιχορήγηση» της συνδρομής (10 εκατομμύρια EUR για τις πρώτες δύο δόσ</w:t>
      </w:r>
      <w:r>
        <w:rPr>
          <w:noProof/>
        </w:rPr>
        <w:t>εις και 20 εκατομμύρια EUR για την τρίτη δόση) θα χρηματοδοτηθεί από πιστώσεις αναλήψεων υποχρεώσεων του προϋπολογισμού του 2017 και του 2018 στη γραμμή του προϋπολογισμού 01 03 02 (μακροοικονομική συνδρομή), και οι πληρωμές θα πραγματοποιηθούν το 2017 και</w:t>
      </w:r>
      <w:r>
        <w:rPr>
          <w:noProof/>
        </w:rPr>
        <w:t xml:space="preserve"> το 2018. Με βάση τις τρέχουσες προβλέψεις για τη χρησιμοποίηση της γραμμής του προϋπολογισμού 01 03 02 και 01 03 06, η Επιτροπή εκτιμά ότι οι δημοσιονομικές επιπτώσεις της πράξης μπορούν να αντιμετωπιστούν.</w:t>
      </w:r>
    </w:p>
    <w:p w:rsidR="00EB61C4" w:rsidRDefault="00A8283A">
      <w:pPr>
        <w:pStyle w:val="ManualHeading1"/>
        <w:rPr>
          <w:noProof/>
        </w:rPr>
      </w:pPr>
      <w:r>
        <w:rPr>
          <w:noProof/>
        </w:rPr>
        <w:t>5.</w:t>
      </w:r>
      <w:r>
        <w:rPr>
          <w:noProof/>
        </w:rPr>
        <w:tab/>
        <w:t>ΛΟΙΠΑ ΣΤΟΙΧΕΙΑ</w:t>
      </w:r>
    </w:p>
    <w:p w:rsidR="00EB61C4" w:rsidRDefault="00A8283A">
      <w:pPr>
        <w:pStyle w:val="ManualHeading2"/>
        <w:rPr>
          <w:noProof/>
        </w:rPr>
      </w:pPr>
      <w:r>
        <w:rPr>
          <w:noProof/>
        </w:rPr>
        <w:t>•</w:t>
      </w:r>
      <w:r>
        <w:rPr>
          <w:noProof/>
        </w:rPr>
        <w:tab/>
        <w:t>Ρήτρα επανεξέτασης/αναθεώρησ</w:t>
      </w:r>
      <w:r>
        <w:rPr>
          <w:noProof/>
        </w:rPr>
        <w:t>ης/λήξης ισχύος</w:t>
      </w:r>
    </w:p>
    <w:p w:rsidR="00EB61C4" w:rsidRDefault="00A8283A">
      <w:pPr>
        <w:rPr>
          <w:noProof/>
        </w:rPr>
      </w:pPr>
      <w:r>
        <w:rPr>
          <w:noProof/>
        </w:rPr>
        <w:t>Η πρόταση περιλαμβάνει ρήτρα λήξης ισχύος. Η προτεινόμενη ΜΧΣ θα διατεθεί για δυόμισι έτη, αρχής γενομένης από την πρώτη ημέρα μετά την έναρξη ισχύος του μνημονίου συνεννόησης.</w:t>
      </w:r>
    </w:p>
    <w:p w:rsidR="00EB61C4" w:rsidRDefault="00EB61C4">
      <w:pPr>
        <w:pStyle w:val="Sectionbreak"/>
        <w:sectPr w:rsidR="00EB61C4">
          <w:footerReference w:type="default" r:id="rId11"/>
          <w:footerReference w:type="first" r:id="rId12"/>
          <w:pgSz w:w="11907" w:h="16839"/>
          <w:pgMar w:top="1134" w:right="1417" w:bottom="1134" w:left="1417" w:header="709" w:footer="709" w:gutter="0"/>
          <w:cols w:space="708"/>
          <w:docGrid w:linePitch="360"/>
        </w:sectPr>
      </w:pPr>
    </w:p>
    <w:p w:rsidR="00EB61C4" w:rsidRDefault="00A8283A">
      <w:pPr>
        <w:pStyle w:val="Rfrenceinterinstitutionnelle"/>
        <w:rPr>
          <w:noProof/>
        </w:rPr>
      </w:pPr>
      <w:r>
        <w:rPr>
          <w:noProof/>
        </w:rPr>
        <w:t>2017/0007 (COD)</w:t>
      </w:r>
    </w:p>
    <w:p w:rsidR="00EB61C4" w:rsidRDefault="00A8283A">
      <w:pPr>
        <w:pStyle w:val="Statut"/>
        <w:rPr>
          <w:noProof/>
        </w:rPr>
      </w:pPr>
      <w:r>
        <w:rPr>
          <w:noProof/>
        </w:rPr>
        <w:t>Πρόταση</w:t>
      </w:r>
    </w:p>
    <w:p w:rsidR="00EB61C4" w:rsidRDefault="00A8283A">
      <w:pPr>
        <w:pStyle w:val="Typedudocument"/>
        <w:rPr>
          <w:noProof/>
        </w:rPr>
      </w:pPr>
      <w:r>
        <w:rPr>
          <w:noProof/>
        </w:rPr>
        <w:t>ΑΠΟΦΑΣΗ ΤΟΥ ΕΥΡΩΠΑΪΚΟΥ ΚΟΙΝΟΒΟΥΛΙΟΥ ΚΑΙ ΤΟΥ ΣΥΜΒΟΥΛΙΟΥ</w:t>
      </w:r>
    </w:p>
    <w:p w:rsidR="00EB61C4" w:rsidRDefault="00A8283A">
      <w:pPr>
        <w:pStyle w:val="Titreobjet"/>
        <w:rPr>
          <w:noProof/>
        </w:rPr>
      </w:pPr>
      <w:r>
        <w:rPr>
          <w:noProof/>
        </w:rPr>
        <w:t>για τη χορήγηση μακροοικονομικής χρηματοδοτικής συνδρομής στη Δημοκρατία της Μολδαβίας</w:t>
      </w:r>
    </w:p>
    <w:p w:rsidR="00EB61C4" w:rsidRDefault="00A8283A">
      <w:pPr>
        <w:pStyle w:val="Institutionquiagit"/>
        <w:rPr>
          <w:noProof/>
        </w:rPr>
      </w:pPr>
      <w:r>
        <w:rPr>
          <w:noProof/>
        </w:rPr>
        <w:t>ΤΟ ΕΥΡΩΠΑΪΚΟ ΚΟΙΝΟΒΟΥΛΙΟ ΚΑΙ ΤΟ ΣΥΜΒΟΥΛΙΟ ΤΗΣ ΕΥΡΩΠ</w:t>
      </w:r>
      <w:r>
        <w:rPr>
          <w:noProof/>
        </w:rPr>
        <w:t>ΑΪΚΗΣ ΕΝΩΣΗΣ,</w:t>
      </w:r>
    </w:p>
    <w:p w:rsidR="00EB61C4" w:rsidRDefault="00A8283A">
      <w:pPr>
        <w:rPr>
          <w:noProof/>
        </w:rPr>
      </w:pPr>
      <w:r>
        <w:rPr>
          <w:noProof/>
        </w:rPr>
        <w:t>Έχοντας υπόψη τη Συνθήκη για τη λειτουργία της Ευρωπαϊκής Ένωσης, και ιδίως το άρθρο 212,</w:t>
      </w:r>
    </w:p>
    <w:p w:rsidR="00EB61C4" w:rsidRDefault="00A8283A">
      <w:pPr>
        <w:rPr>
          <w:noProof/>
        </w:rPr>
      </w:pPr>
      <w:r>
        <w:rPr>
          <w:noProof/>
        </w:rPr>
        <w:t>Έχοντας υπόψη την πρόταση της Ευρωπαϊκής Επιτροπής</w:t>
      </w:r>
      <w:r>
        <w:rPr>
          <w:rStyle w:val="FootnoteReference"/>
          <w:noProof/>
        </w:rPr>
        <w:footnoteReference w:id="4"/>
      </w:r>
      <w:r>
        <w:rPr>
          <w:noProof/>
        </w:rPr>
        <w:t xml:space="preserve">, </w:t>
      </w:r>
    </w:p>
    <w:p w:rsidR="00EB61C4" w:rsidRDefault="00A8283A">
      <w:pPr>
        <w:rPr>
          <w:noProof/>
        </w:rPr>
      </w:pPr>
      <w:r>
        <w:rPr>
          <w:noProof/>
        </w:rPr>
        <w:t>Κατόπιν διαβίβασης του σχεδίου νομοθετικής πράξης στα εθνικά κοινοβούλια,</w:t>
      </w:r>
    </w:p>
    <w:p w:rsidR="00EB61C4" w:rsidRDefault="00A8283A">
      <w:pPr>
        <w:rPr>
          <w:noProof/>
        </w:rPr>
      </w:pPr>
      <w:r>
        <w:rPr>
          <w:noProof/>
        </w:rPr>
        <w:t>Αποφασίζοντας σύμφωνα με</w:t>
      </w:r>
      <w:r>
        <w:rPr>
          <w:noProof/>
        </w:rPr>
        <w:t xml:space="preserve"> τη συνήθη νομοθετική διαδικασία</w:t>
      </w:r>
      <w:r>
        <w:rPr>
          <w:rStyle w:val="FootnoteReference"/>
          <w:noProof/>
        </w:rPr>
        <w:footnoteReference w:id="5"/>
      </w:r>
      <w:r>
        <w:rPr>
          <w:noProof/>
        </w:rPr>
        <w:t>,</w:t>
      </w:r>
    </w:p>
    <w:p w:rsidR="00EB61C4" w:rsidRDefault="00A8283A">
      <w:pPr>
        <w:rPr>
          <w:noProof/>
        </w:rPr>
      </w:pPr>
      <w:r>
        <w:rPr>
          <w:noProof/>
        </w:rPr>
        <w:t>Εκτιμώντας τα ακόλουθα:</w:t>
      </w:r>
    </w:p>
    <w:p w:rsidR="00EB61C4" w:rsidRDefault="00A8283A">
      <w:pPr>
        <w:pStyle w:val="ManualConsidrant"/>
        <w:rPr>
          <w:noProof/>
        </w:rPr>
      </w:pPr>
      <w:r>
        <w:t>(1)</w:t>
      </w:r>
      <w:r>
        <w:tab/>
      </w:r>
      <w:r>
        <w:rPr>
          <w:noProof/>
        </w:rPr>
        <w:t>Οι σχέσεις μεταξύ της Ευρωπαϊκής Ένωσης (εφεξής «Ένωση») και της Δημοκρατίας της Μολδαβίας (εφεξής «Μολδαβία») εξακολουθούν να αναπτύσσονται εντός του πλαισίου της Ευρωπαϊκής Πολιτικής Γειτονία</w:t>
      </w:r>
      <w:r>
        <w:rPr>
          <w:noProof/>
        </w:rPr>
        <w:t>ς (ΕΠΓ) και της Ανατολικής Εταιρικής Σχέσης. Η Μολδαβία προσχώρησε στην Ανατολική Εταιρική Σχέση της ΕΕ το 2009 και ακολούθησαν οι διαπραγματεύσεις για μια Συμφωνία Σύνδεσης μεταξύ της ΕΕ και της Μολδαβίας. Η συμφωνία αυτή, η οποία περιλαμβάνει τη σταδιακή</w:t>
      </w:r>
      <w:r>
        <w:rPr>
          <w:noProof/>
        </w:rPr>
        <w:t xml:space="preserve"> εφαρμογή μιας εκτενούς και ολοκληρωμένης ζώνης ελεύθερων συναλλαγών (ΕΟΖΕΣ), υπογράφηκε τον Ιούνιο του 2014 και τέθηκε σε ισχύ την 1η Ιουλίου 2016.</w:t>
      </w:r>
    </w:p>
    <w:p w:rsidR="00EB61C4" w:rsidRDefault="00A8283A">
      <w:pPr>
        <w:pStyle w:val="ManualConsidrant"/>
        <w:rPr>
          <w:noProof/>
        </w:rPr>
      </w:pPr>
      <w:r>
        <w:t>(2)</w:t>
      </w:r>
      <w:r>
        <w:tab/>
      </w:r>
      <w:r>
        <w:rPr>
          <w:noProof/>
        </w:rPr>
        <w:t xml:space="preserve">Η οικονομία της Μολδαβίας έχει πληγεί σημαντικά από την πολιτική αστάθεια κατά την περίοδο μεταξύ των εκλογών του Νοεμβρίου 2014 και του Ιανουαρίου 2016 καθώς και από ένα σκάνδαλο τραπεζικής απάτης, από την ασθενή οικονομική δραστηριότητα στην περιοχή και </w:t>
      </w:r>
      <w:r>
        <w:rPr>
          <w:noProof/>
        </w:rPr>
        <w:t xml:space="preserve">την απαγόρευση εισαγωγών που επέβαλε η Ρωσία. Η κατάσταση αυτή οδήγησε σε ύφεση, συνέβαλε στην αύξηση του εμπορικού ελλείμματος και στη σημαντική μείωση των αποθεμάτων ξένου συναλλάγματος το προηγούμενο έτος. </w:t>
      </w:r>
    </w:p>
    <w:p w:rsidR="00EB61C4" w:rsidRDefault="00A8283A">
      <w:pPr>
        <w:pStyle w:val="ManualConsidrant"/>
        <w:rPr>
          <w:noProof/>
        </w:rPr>
      </w:pPr>
      <w:r>
        <w:t>(3)</w:t>
      </w:r>
      <w:r>
        <w:tab/>
      </w:r>
      <w:r>
        <w:rPr>
          <w:noProof/>
        </w:rPr>
        <w:t>Στις αρχές του 2016, μετά τον διορισμό της</w:t>
      </w:r>
      <w:r>
        <w:rPr>
          <w:noProof/>
        </w:rPr>
        <w:t xml:space="preserve"> νέας κυβέρνησης και νέου διοικητή της Κεντρικής Τράπεζας, οι αρχές έχουν επιδείξει ανανεωμένη δέσμευση για την προώθηση των αναγκαίων πολιτικών μεταρρυθμίσεων και την αντιμετώπιση των προκλήσεων διακυβέρνησης της χώρας στον χρηματοπιστωτικό τομέα και στον</w:t>
      </w:r>
      <w:r>
        <w:rPr>
          <w:noProof/>
        </w:rPr>
        <w:t xml:space="preserve"> τομέα της διαχείρισης των δημόσιων οικονομικών. </w:t>
      </w:r>
    </w:p>
    <w:p w:rsidR="00EB61C4" w:rsidRDefault="00A8283A">
      <w:pPr>
        <w:pStyle w:val="ManualConsidrant"/>
        <w:rPr>
          <w:noProof/>
        </w:rPr>
      </w:pPr>
      <w:r>
        <w:t>(4)</w:t>
      </w:r>
      <w:r>
        <w:tab/>
      </w:r>
      <w:r>
        <w:rPr>
          <w:noProof/>
        </w:rPr>
        <w:t>Προς στήριξη της νέας μεταρρυθμιστικής πορείας η ΕΕ και η Μολδαβία συμφώνησαν σε ένα χάρτη πορείας για μεταρρυθμίσεις προτεραιότητας μετά τα συμπεράσματα του Συμβουλίου Εξωτερικών Υποθέσεων της 15ης Φεβ</w:t>
      </w:r>
      <w:r>
        <w:rPr>
          <w:noProof/>
        </w:rPr>
        <w:t xml:space="preserve">ρουαρίου 2016. Σημειώθηκε σημαντική πρόοδος όσον αφορά την εφαρμογή από τη Μολδαβία του χάρτη πορείας.  </w:t>
      </w:r>
    </w:p>
    <w:p w:rsidR="00EB61C4" w:rsidRDefault="00A8283A">
      <w:pPr>
        <w:pStyle w:val="ManualConsidrant"/>
        <w:rPr>
          <w:noProof/>
        </w:rPr>
      </w:pPr>
      <w:r>
        <w:t>(5)</w:t>
      </w:r>
      <w:r>
        <w:tab/>
      </w:r>
      <w:r>
        <w:rPr>
          <w:noProof/>
        </w:rPr>
        <w:t>Στο πλαίσιο της πολιτικής μετάβασης και της οικονομικής δυσπραγίας, τον Ιούλιο του 2016 οι αρχές της Μολδαβίας και το Διεθνές Νομισματικό Ταμείο (Δ</w:t>
      </w:r>
      <w:r>
        <w:rPr>
          <w:noProof/>
        </w:rPr>
        <w:t>ΝΤ) σύναψαν μια τριετή συμφωνία διευρυμένης χρηματοδοτικής και πιστοδοτικής διευκόλυνσης (ECF/EFF) ύψους 178,7 εκατομμυρίων δολαρίων ΗΠΑ. Η συμφωνία αυτή εγκρίθηκε από το Διοικητικό Συμβούλιο του ΔΝΤ στις 7 Νοεμβρίου 2016. Στο πλαίσιο αυτού του προγράμματο</w:t>
      </w:r>
      <w:r>
        <w:rPr>
          <w:noProof/>
        </w:rPr>
        <w:t>ς του ΔΝΤ, οι αρχές της Μολδαβίας αναμένεται να προβούν σε ταχεία βελτίωση της διακυβέρνησης και της εποπτείας του χρηματοπιστωτικού τομέα, να ενισχύσουν τις πολιτικές που εξασφαλίζουν μακροοικονομική και δημοσιονομική σταθερότητα καθώς και να προωθήσουν τ</w:t>
      </w:r>
      <w:r>
        <w:rPr>
          <w:noProof/>
        </w:rPr>
        <w:t>η βιώσιμη και χωρίς αποκλεισμούς ανάπτυξη.</w:t>
      </w:r>
    </w:p>
    <w:p w:rsidR="00EB61C4" w:rsidRDefault="00A8283A">
      <w:pPr>
        <w:pStyle w:val="ManualConsidrant"/>
        <w:rPr>
          <w:noProof/>
        </w:rPr>
      </w:pPr>
      <w:r>
        <w:t>(6)</w:t>
      </w:r>
      <w:r>
        <w:tab/>
      </w:r>
      <w:r>
        <w:rPr>
          <w:noProof/>
        </w:rPr>
        <w:t>Ενόψει της επιδείνωσης της οικονομικής κατάστασης και των προοπτικών, η Μολδαβία ζήτησε συμπληρωματική μακροοικονομική χρηματοδοτική συνδρομή από την Ένωση τον Αύγουστο του 2015 και επανέλαβε το αίτημα αυτό το</w:t>
      </w:r>
      <w:r>
        <w:rPr>
          <w:noProof/>
        </w:rPr>
        <w:t xml:space="preserve">ν Μάρτιο του 2016. </w:t>
      </w:r>
    </w:p>
    <w:p w:rsidR="00EB61C4" w:rsidRDefault="00A8283A">
      <w:pPr>
        <w:pStyle w:val="ManualConsidrant"/>
        <w:rPr>
          <w:noProof/>
        </w:rPr>
      </w:pPr>
      <w:r>
        <w:t>(7)</w:t>
      </w:r>
      <w:r>
        <w:tab/>
      </w:r>
      <w:r>
        <w:rPr>
          <w:noProof/>
        </w:rPr>
        <w:t>Η ενδεικτική  χρηματοδότηση της ΕΕ για τη στήριξη της Μολδαβίας στο πλαίσιο του Ευρωπαϊκού Μηχανισμού Γειτονίας (ΕΜΓ) ανέρχεται σε 610-746 εκατομμύρια EUR, συμπεριλαμβανομένης της δημοσιονομικής στήριξης και της τεχνικής βοήθειας. Ω</w:t>
      </w:r>
      <w:r>
        <w:rPr>
          <w:noProof/>
        </w:rPr>
        <w:t>στόσο, οι εκταμιεύσεις της δημοσιονομικής στήριξης από την Ένωση διακόπηκαν στις αρχές του 2015 και η συνέχισή τους εξαρτήθηκε από την έγκριση ενός νέου προγράμματος του ΔΝΤ και την πλήρωση όλων των προϋποθέσεων δημοσιονομικής στήριξης.</w:t>
      </w:r>
    </w:p>
    <w:p w:rsidR="00EB61C4" w:rsidRDefault="00A8283A">
      <w:pPr>
        <w:pStyle w:val="ManualConsidrant"/>
        <w:rPr>
          <w:noProof/>
        </w:rPr>
      </w:pPr>
      <w:r>
        <w:t>(8)</w:t>
      </w:r>
      <w:r>
        <w:tab/>
      </w:r>
      <w:r>
        <w:rPr>
          <w:noProof/>
        </w:rPr>
        <w:t>Λαμβάνοντας υπό</w:t>
      </w:r>
      <w:r>
        <w:rPr>
          <w:noProof/>
        </w:rPr>
        <w:t>ψη ότι η Μολδαβία είναι χώρα που καλύπτεται από την Ευρωπαϊκή Πολιτική Γειτονίας, θα πρέπει να θεωρείται επιλέξιμη για να λάβει μακροοικονομική χρηματοδοτική συνδρομή από την Ένωση.</w:t>
      </w:r>
    </w:p>
    <w:p w:rsidR="00EB61C4" w:rsidRDefault="00A8283A">
      <w:pPr>
        <w:pStyle w:val="ManualConsidrant"/>
        <w:rPr>
          <w:noProof/>
        </w:rPr>
      </w:pPr>
      <w:r>
        <w:t>(9)</w:t>
      </w:r>
      <w:r>
        <w:tab/>
      </w:r>
      <w:r>
        <w:rPr>
          <w:noProof/>
        </w:rPr>
        <w:t>Η μακροοικονομική χρηματοδοτική συνδρομή της Ένωσης θα πρέπει να συνισ</w:t>
      </w:r>
      <w:r>
        <w:rPr>
          <w:noProof/>
        </w:rPr>
        <w:t>τά έκτακτο χρηματοδοτικό μέσο μη δεσμευτικής και μη προσδιορισμένης στήριξης του ισοζυγίου πληρωμών, το οποίο αποσκοπεί στην αντιμετώπιση των άμεσων αναγκών εξωτερικής χρηματοδότησης του δικαιούχου και θα πρέπει να στηρίζει την εφαρμογή προγράμματος πολιτι</w:t>
      </w:r>
      <w:r>
        <w:rPr>
          <w:noProof/>
        </w:rPr>
        <w:t>κής που περιέχει ισχυρά μέτρα άμεσης προσαρμογής και διαρθρωτικών μεταρρυθμίσεων που έχουν σχεδιαστεί για τη βελτίωση της θέσης του ισοζυγίου πληρωμών βραχυπρόθεσμα.</w:t>
      </w:r>
    </w:p>
    <w:p w:rsidR="00EB61C4" w:rsidRDefault="00A8283A">
      <w:pPr>
        <w:pStyle w:val="ManualConsidrant"/>
        <w:rPr>
          <w:noProof/>
        </w:rPr>
      </w:pPr>
      <w:r>
        <w:t>(10)</w:t>
      </w:r>
      <w:r>
        <w:tab/>
      </w:r>
      <w:r>
        <w:rPr>
          <w:noProof/>
        </w:rPr>
        <w:t>Δεδομένου ότι εξακολουθεί να υπάρχει σημαντικό υπολειπόμενο κενό εξωτερικής χρηματοδό</w:t>
      </w:r>
      <w:r>
        <w:rPr>
          <w:noProof/>
        </w:rPr>
        <w:t>τησης στο ισοζύγιο πληρωμών της Μολδαβίας που υπερβαίνει τους πόρους που χορηγούν το ΔΝΤ και άλλοι πολυμερείς οργανισμοί, η μακροοικονομική χρηματοδοτική συνδρομή της Ένωσης στη Μολδαβία, υπό τις παρούσες έκτακτες περιστάσεις, θεωρείται πως καλύπτει επαρκώ</w:t>
      </w:r>
      <w:r>
        <w:rPr>
          <w:noProof/>
        </w:rPr>
        <w:t>ς το αίτημα της Μολδαβίας για στήριξη της οικονομικής σταθεροποίησης, σε συνδυασμό με το πρόγραμμα του ΔΝΤ. Η μακροοικονομική χρηματοδοτική συνδρομή της Ένωσης θα στηρίξει την οικονομική σταθεροποίηση και το πρόγραμμα διαρθρωτικών μεταρρυθμίσεων της Μολδαβ</w:t>
      </w:r>
      <w:r>
        <w:rPr>
          <w:noProof/>
        </w:rPr>
        <w:t>ίας, συμπληρώνοντας τους πόρους που διατίθενται στο πλαίσιο των χρηματοδοτικών ρυθμίσεων του ΔΝΤ.</w:t>
      </w:r>
    </w:p>
    <w:p w:rsidR="00EB61C4" w:rsidRDefault="00A8283A">
      <w:pPr>
        <w:pStyle w:val="ManualConsidrant"/>
        <w:rPr>
          <w:noProof/>
        </w:rPr>
      </w:pPr>
      <w:r>
        <w:t>(11)</w:t>
      </w:r>
      <w:r>
        <w:tab/>
      </w:r>
      <w:r>
        <w:rPr>
          <w:noProof/>
        </w:rPr>
        <w:t>Η μακροοικονομική χρηματοδοτική συνδρομή της Ένωσης θα πρέπει να αποσκοπεί στην αποκατάσταση μιας βιώσιμης θέσης εξωτερικής χρηματοδότησης για τη Μολδαβί</w:t>
      </w:r>
      <w:r>
        <w:rPr>
          <w:noProof/>
        </w:rPr>
        <w:t>α, στηρίζοντας με τον τρόπο αυτόν την οικονομική και κοινωνική ανάπτυξή της.</w:t>
      </w:r>
    </w:p>
    <w:p w:rsidR="00EB61C4" w:rsidRDefault="00A8283A">
      <w:pPr>
        <w:pStyle w:val="ManualConsidrant"/>
        <w:rPr>
          <w:noProof/>
        </w:rPr>
      </w:pPr>
      <w:r>
        <w:t>(12)</w:t>
      </w:r>
      <w:r>
        <w:tab/>
      </w:r>
      <w:r>
        <w:rPr>
          <w:noProof/>
        </w:rPr>
        <w:t>Η μακροοικονομική χρηματοδοτική συνδρομή της Ένωσης αναμένεται να συνάδει με την εφαρμογή των εκταμιεύσεων της δημοσιονομικής στήριξης στο πλαίσιο του Ευρωπαϊκού Μηχανισμού Γ</w:t>
      </w:r>
      <w:r>
        <w:rPr>
          <w:noProof/>
        </w:rPr>
        <w:t xml:space="preserve">ειτονίας. </w:t>
      </w:r>
    </w:p>
    <w:p w:rsidR="00EB61C4" w:rsidRDefault="00A8283A">
      <w:pPr>
        <w:pStyle w:val="ManualConsidrant"/>
        <w:rPr>
          <w:noProof/>
        </w:rPr>
      </w:pPr>
      <w:r>
        <w:t>(13)</w:t>
      </w:r>
      <w:r>
        <w:tab/>
      </w:r>
      <w:r>
        <w:rPr>
          <w:noProof/>
        </w:rPr>
        <w:t>Ο προσδιορισμός του ποσού της μακροοικονομικής χρηματοδοτικής συνδρομής της Ένωσης βασίζεται σε μια ολοκληρωμένη ποσοτική εκτίμηση των υπολειπόμενων αναγκών εξωτερικής χρηματοδότησης της Μολδαβίας, και λαμβάνει υπόψη την ικανότητά της για α</w:t>
      </w:r>
      <w:r>
        <w:rPr>
          <w:noProof/>
        </w:rPr>
        <w:t>υτοχρηματοδότηση μέσω ιδίων πόρων, και ιδίως μέσω των συναλλαγματικών αποθεμάτων που διαθέτει. Η μακροοικονομική χρηματοδοτική συνδρομή της Ένωσης θα πρέπει να συμπληρώνει τα προγράμματα και τους πόρους που χορηγούν το ΔΝΤ και η Παγκόσμια Τράπεζα. Κατά τον</w:t>
      </w:r>
      <w:r>
        <w:rPr>
          <w:noProof/>
        </w:rPr>
        <w:t xml:space="preserve"> καθορισμό του ποσού της συνδρομής λαμβάνονται επίσης υπόψη οι αναμενόμενες χρηματοδοτικές συνεισφορές πολυμερών χορηγών και η ανάγκη να διασφαλιστεί δίκαιη κατανομή των βαρών μεταξύ της Ένωσης και των άλλων χορηγών, καθώς και η προϋπάρχουσα διάθεση εκ μέρ</w:t>
      </w:r>
      <w:r>
        <w:rPr>
          <w:noProof/>
        </w:rPr>
        <w:t xml:space="preserve">ους της Ένωσης άλλων μέσων εξωτερικής χρηματοδότησης στη Μολδαβία και η προστιθέμενη αξία της συνολικής συμμετοχής της Ένωσης.  </w:t>
      </w:r>
    </w:p>
    <w:p w:rsidR="00EB61C4" w:rsidRDefault="00A8283A">
      <w:pPr>
        <w:pStyle w:val="ManualConsidrant"/>
        <w:rPr>
          <w:noProof/>
        </w:rPr>
      </w:pPr>
      <w:r>
        <w:t>(14)</w:t>
      </w:r>
      <w:r>
        <w:tab/>
      </w:r>
      <w:r>
        <w:rPr>
          <w:noProof/>
        </w:rPr>
        <w:t>Λαμβάνοντας υπόψη τις υπολειπόμενες ανάγκες εξωτερικής χρηματοδότησης της Μολδαβίας, το επίπεδο της οικονομικής της ανάπτυ</w:t>
      </w:r>
      <w:r>
        <w:rPr>
          <w:noProof/>
        </w:rPr>
        <w:t>ξης, που μετράται με βάση το κατά κεφαλήν εισόδημα και τα ποσοστά φτώχειας, την ικανότητά της για αυτοχρηματοδότηση μέσω ιδίων πόρων, ιδίως μέσω των συναλλαγματικών αποθεμάτων που διαθέτει και την αξιολόγηση της ικανότητάς της για αποπληρωμή με βάση την αν</w:t>
      </w:r>
      <w:r>
        <w:rPr>
          <w:noProof/>
        </w:rPr>
        <w:t>άλυση βιωσιμότητας του χρέους, ένα μέρος της συνδρομής θα πρέπει να παρέχεται υπό μορφή επιδοτήσεων.</w:t>
      </w:r>
    </w:p>
    <w:p w:rsidR="00EB61C4" w:rsidRDefault="00A8283A">
      <w:pPr>
        <w:pStyle w:val="ManualConsidrant"/>
        <w:rPr>
          <w:noProof/>
        </w:rPr>
      </w:pPr>
      <w:r>
        <w:t>(15)</w:t>
      </w:r>
      <w:r>
        <w:tab/>
      </w:r>
      <w:r>
        <w:rPr>
          <w:noProof/>
        </w:rPr>
        <w:t xml:space="preserve"> Η Επιτροπή θα πρέπει να μεριμνήσει ώστε η μακροοικονομική χρηματοδοτική συνδρομή της Ένωσης να συμπλέει νομικά και ουσιαστικά με τις βασικές αρχές, τ</w:t>
      </w:r>
      <w:r>
        <w:rPr>
          <w:noProof/>
        </w:rPr>
        <w:t>ους στόχους και τα μέτρα που λαμβάνονται στους διάφορους τομείς της εξωτερικής δράσης και τις άλλες συναφείς πολιτικές της Ένωσης.</w:t>
      </w:r>
    </w:p>
    <w:p w:rsidR="00EB61C4" w:rsidRDefault="00A8283A">
      <w:pPr>
        <w:pStyle w:val="ManualConsidrant"/>
        <w:rPr>
          <w:noProof/>
        </w:rPr>
      </w:pPr>
      <w:r>
        <w:t>(16)</w:t>
      </w:r>
      <w:r>
        <w:tab/>
      </w:r>
      <w:r>
        <w:rPr>
          <w:noProof/>
        </w:rPr>
        <w:t>Η μακροοικονομική χρηματοδοτική συνδρομή της Ένωσης θα πρέπει να στηρίξει την εξωτερική πολιτική της σε ό,τι αφορά τη Μο</w:t>
      </w:r>
      <w:r>
        <w:rPr>
          <w:noProof/>
        </w:rPr>
        <w:t>λδαβία. Οι υπηρεσίες της Επιτροπής και η Ευρωπαϊκή Υπηρεσία Εξωτερικής Δράσης θα πρέπει να συνεργάζονται στενά σε όλη τη διάρκεια της επιχείρησης μακροοικονομικής χρηματοδοτικής συνδρομής για τον συντονισμό και την εξασφάλιση της συνοχής της εξωτερικής πολ</w:t>
      </w:r>
      <w:r>
        <w:rPr>
          <w:noProof/>
        </w:rPr>
        <w:t>ιτικής της Ένωσης.</w:t>
      </w:r>
    </w:p>
    <w:p w:rsidR="00EB61C4" w:rsidRDefault="00A8283A">
      <w:pPr>
        <w:pStyle w:val="ManualConsidrant"/>
        <w:rPr>
          <w:noProof/>
        </w:rPr>
      </w:pPr>
      <w:r>
        <w:t>(17)</w:t>
      </w:r>
      <w:r>
        <w:tab/>
      </w:r>
      <w:r>
        <w:rPr>
          <w:noProof/>
        </w:rPr>
        <w:t>Η μακροοικονομική χρηματοδοτική συνδρομή της Ένωσης θα πρέπει να στηρίζει την προσήλωση της Μολδαβίας στις κοινές με την Ένωση αξίες, στις οποίες περιλαμβάνονται η δημοκρατία, το κράτος δικαίου, η χρηστή διακυβέρνηση, ο σεβασμός των</w:t>
      </w:r>
      <w:r>
        <w:rPr>
          <w:noProof/>
        </w:rPr>
        <w:t xml:space="preserve"> ανθρωπίνων δικαιωμάτων, η βιώσιμη ανάπτυξη και η μείωση της φτώχειας, καθώς και την προσήλωσή της στις αρχές ενός ελεύθερου και θεμιτού εμπορίου βάσει κανόνων.</w:t>
      </w:r>
    </w:p>
    <w:p w:rsidR="00EB61C4" w:rsidRDefault="00A8283A">
      <w:pPr>
        <w:pStyle w:val="ManualConsidrant"/>
        <w:rPr>
          <w:noProof/>
        </w:rPr>
      </w:pPr>
      <w:r>
        <w:t>(18)</w:t>
      </w:r>
      <w:r>
        <w:tab/>
      </w:r>
      <w:r>
        <w:rPr>
          <w:noProof/>
        </w:rPr>
        <w:t>Προϋπόθεση για να χορηγήσει η Ένωση μακροοικονομική χρηματοδοτική συνδρομή  θα πρέπει να ε</w:t>
      </w:r>
      <w:r>
        <w:rPr>
          <w:noProof/>
        </w:rPr>
        <w:t>ίναι ο σεβασμός, εκ μέρους της Μολδαβίας, των ουσιαστικών θεσμών της δημοκρατίας, στους οποίους περιλαμβάνονται το πολυκομματικό κοινοβουλευτικό σύστημα, το κράτος δικαίου και η εγγύηση του σεβασμού των ανθρωπίνων δικαιωμάτων. Επιπλέον, οι ειδικοί στόχοι τ</w:t>
      </w:r>
      <w:r>
        <w:rPr>
          <w:noProof/>
        </w:rPr>
        <w:t>ης μακροοικονομικής χρηματοδοτικής συνδρομής της Ένωσης θα πρέπει να αφορούν την ενίσχυση της αποτελεσματικότητας, της διαφάνειας και της λογοδοσίας όσον αφορά τη διαχείριση των δημοσίων οικονομικών, της διακυβέρνησης και της εποπτεία του χρηματοπιστωτικού</w:t>
      </w:r>
      <w:r>
        <w:rPr>
          <w:noProof/>
        </w:rPr>
        <w:t xml:space="preserve"> τομέα στη Μολδαβία και να προωθούν τις διαρθρωτικές μεταρρυθμίσεις που σκοπό έχουν να στηρίξουν τη βιώσιμη και χωρίς αποκλεισμούς ανάπτυξη, τη δημιουργία θέσεων εργασίας και τη δημοσιονομική εξυγίανση. Τόσο η πλήρωση των προϋποθέσεων όσο και η επίτευξη τω</w:t>
      </w:r>
      <w:r>
        <w:rPr>
          <w:noProof/>
        </w:rPr>
        <w:t>ν στόχων αυτών θα πρέπει να παρακολουθούνται τακτικά από την Επιτροπή και την Ευρωπαϊκή Υπηρεσία Εξωτερικής Δράσης.</w:t>
      </w:r>
    </w:p>
    <w:p w:rsidR="00EB61C4" w:rsidRDefault="00A8283A">
      <w:pPr>
        <w:pStyle w:val="ManualConsidrant"/>
        <w:rPr>
          <w:noProof/>
        </w:rPr>
      </w:pPr>
      <w:r>
        <w:t>(19)</w:t>
      </w:r>
      <w:r>
        <w:tab/>
      </w:r>
      <w:r>
        <w:rPr>
          <w:noProof/>
        </w:rPr>
        <w:t>Προκειμένου να διασφαλιστεί ότι τα οικονομικά συμφέροντα της Ένωσης που συνδέονται με τη μακροοικονομική χρηματοδοτική συνδρομή της Ένω</w:t>
      </w:r>
      <w:r>
        <w:rPr>
          <w:noProof/>
        </w:rPr>
        <w:t>σης προστατεύονται αποτελεσματικά, η Μολδαβία πρέπει να λάβει τα κατάλληλα μέτρα για την πρόληψη και την καταπολέμηση της απάτης, της διαφθοράς και άλλων παρατυπιών που συνδέονται με τη συνδρομή. Επιπλέον, θα πρέπει να προβλεφθεί ότι η Επιτροπή θα διενεργε</w:t>
      </w:r>
      <w:r>
        <w:rPr>
          <w:noProof/>
        </w:rPr>
        <w:t>ί ελέγχους ενώ το Ελεγκτικό Συνέδριο θα διενεργεί λογιστικούς ελέγχους.</w:t>
      </w:r>
    </w:p>
    <w:p w:rsidR="00EB61C4" w:rsidRDefault="00A8283A">
      <w:pPr>
        <w:pStyle w:val="ManualConsidrant"/>
        <w:rPr>
          <w:noProof/>
        </w:rPr>
      </w:pPr>
      <w:r>
        <w:t>(20)</w:t>
      </w:r>
      <w:r>
        <w:tab/>
      </w:r>
      <w:r>
        <w:rPr>
          <w:noProof/>
        </w:rPr>
        <w:t xml:space="preserve">Η αποδέσμευση της μακροοικονομικής χρηματοδοτικής συνδρομής της Ένωσης δεν θίγει τις εξουσίες του Ευρωπαϊκού Κοινοβουλίου και του Συμβουλίου (ως δημοσιονομικής αρχής). </w:t>
      </w:r>
    </w:p>
    <w:p w:rsidR="00EB61C4" w:rsidRDefault="00A8283A">
      <w:pPr>
        <w:pStyle w:val="ManualConsidrant"/>
        <w:rPr>
          <w:noProof/>
        </w:rPr>
      </w:pPr>
      <w:r>
        <w:t>(21)</w:t>
      </w:r>
      <w:r>
        <w:tab/>
      </w:r>
      <w:r>
        <w:rPr>
          <w:noProof/>
        </w:rPr>
        <w:t>Τα πο</w:t>
      </w:r>
      <w:r>
        <w:rPr>
          <w:noProof/>
        </w:rPr>
        <w:t>σά της μακροοικονομικής χρηματοδοτικής συνδρομής που χορηγούνται υπό μορφή επιχορηγήσεων και τα ποσά της μακροοικονομικής χρηματοδοτικής συνδρομής που χορηγούνται υπό μορφή δανείου θα πρέπει να είναι σύμφωνα με τις πιστώσεις του προϋπολογισμού που προβλέπο</w:t>
      </w:r>
      <w:r>
        <w:rPr>
          <w:noProof/>
        </w:rPr>
        <w:t>νται στο πολυετές δημοσιονομικό πλαίσιο.</w:t>
      </w:r>
    </w:p>
    <w:p w:rsidR="00EB61C4" w:rsidRDefault="00A8283A">
      <w:pPr>
        <w:pStyle w:val="ManualConsidrant"/>
        <w:rPr>
          <w:noProof/>
        </w:rPr>
      </w:pPr>
      <w:r>
        <w:t>(22)</w:t>
      </w:r>
      <w:r>
        <w:tab/>
      </w:r>
      <w:r>
        <w:rPr>
          <w:noProof/>
        </w:rPr>
        <w:t>Η διαχείριση της μακροοικονομικής χρηματοδοτικής συνδρομής της Ένωσης θα πρέπει να αναληφθεί από την Επιτροπή. Για να εξασφαλισθεί η δυνατότητα παρακολούθησης της εφαρμογής της παρούσας απόφασης από το Ευρωπαϊκ</w:t>
      </w:r>
      <w:r>
        <w:rPr>
          <w:noProof/>
        </w:rPr>
        <w:t>ό Κοινοβούλιο και το Συμβούλιο, η Επιτροπή θα πρέπει να τους ενημερώνει τακτικά για τις εξελίξεις τις σχετικές με τη μακροοικονομική χρηματοδοτική συνδρομή και να τους παρέχει τα σχετικά έγγραφα.</w:t>
      </w:r>
    </w:p>
    <w:p w:rsidR="00EB61C4" w:rsidRDefault="00A8283A">
      <w:pPr>
        <w:pStyle w:val="ManualConsidrant"/>
        <w:rPr>
          <w:noProof/>
        </w:rPr>
      </w:pPr>
      <w:r>
        <w:t>(23)</w:t>
      </w:r>
      <w:r>
        <w:tab/>
      </w:r>
      <w:r>
        <w:rPr>
          <w:noProof/>
        </w:rPr>
        <w:t>Προκειμένου να διασφαλισθούν ενιαίες συνθήκες για την ε</w:t>
      </w:r>
      <w:r>
        <w:rPr>
          <w:noProof/>
        </w:rPr>
        <w:t>φαρμογή της παρούσας απόφασης, θα πρέπει να ανατεθούν εκτελεστικές εξουσίες στην Επιτροπή. Οι εν λόγω εξουσίες θα πρέπει να ασκούνται σύμφωνα με τον κανονισμό (ΕΕ) 182/2011 του Ευρωπαϊκού Κοινοβουλίου και του Συμβουλίου</w:t>
      </w:r>
      <w:r>
        <w:rPr>
          <w:rStyle w:val="FootnoteReference"/>
          <w:noProof/>
        </w:rPr>
        <w:footnoteReference w:id="6"/>
      </w:r>
      <w:r>
        <w:rPr>
          <w:noProof/>
        </w:rPr>
        <w:t>.</w:t>
      </w:r>
    </w:p>
    <w:p w:rsidR="00EB61C4" w:rsidRDefault="00A8283A">
      <w:pPr>
        <w:pStyle w:val="ManualConsidrant"/>
        <w:rPr>
          <w:noProof/>
        </w:rPr>
      </w:pPr>
      <w:r>
        <w:t>(24)</w:t>
      </w:r>
      <w:r>
        <w:tab/>
      </w:r>
      <w:r>
        <w:rPr>
          <w:noProof/>
        </w:rPr>
        <w:t>Η μακροοικονομική χρηματοδοτι</w:t>
      </w:r>
      <w:r>
        <w:rPr>
          <w:noProof/>
        </w:rPr>
        <w:t>κή συνδρομή της Ένωσης θα πρέπει να υπόκειται σε όρους οικονομικής πολιτικής που θα καθοριστούν σε μνημόνιο συνεννόησης. Προκειμένου να υπάρξουν ενιαίοι όροι εφαρμογής και για λόγους αποτελεσματικότητας, η Επιτροπή πρέπει να έχει την αρμοδιότητα να διαπραγ</w:t>
      </w:r>
      <w:r>
        <w:rPr>
          <w:noProof/>
        </w:rPr>
        <w:t>ματευθεί τους εν λόγω όρους με τις αρχές της Μολδαβίας υπό την εποπτεία της επιτροπής των αντιπροσώπων των κρατών μελών δυνάμει του κανονισμού (ΕΕ) 182/2011. Δυνάμει του εν λόγω κανονισμού, η συμβουλευτική διαδικασία θα πρέπει κατά γενικό κανόνα να εφαρμόζ</w:t>
      </w:r>
      <w:r>
        <w:rPr>
          <w:noProof/>
        </w:rPr>
        <w:t xml:space="preserve">εται σε όλες τις περιπτώσεις εκτός από αυτές που προβλέπονται στον εν λόγω κανονισμό. Λαμβάνοντας υπόψη τις δυνητικά σημαντικές επιπτώσεις της συνδρομής άνω των 90 εκατομμυρίων EUR, είναι σκόπιμο να χρησιμοποιηθεί η διαδικασία εξέτασης για τις πράξεις που </w:t>
      </w:r>
      <w:r>
        <w:rPr>
          <w:noProof/>
        </w:rPr>
        <w:t>υπερβαίνουν το εν λόγω κατώτατο όριο. Λαμβάνοντας υπόψη το ποσό της μακροοικονομικής χρηματοδοτικής συνδρομής της Ένωσης στη Μολδαβία, θα πρέπει να εφαρμόζεται η διαδικασία εξέτασης για την έγκριση του Μνημονίου Συνεννόησης και για οποιαδήποτε μείωση, ανασ</w:t>
      </w:r>
      <w:r>
        <w:rPr>
          <w:noProof/>
        </w:rPr>
        <w:t>τολή ή ακύρωση της συνδρομής,</w:t>
      </w:r>
    </w:p>
    <w:p w:rsidR="00EB61C4" w:rsidRDefault="00A8283A">
      <w:pPr>
        <w:pStyle w:val="Formuledadoption"/>
        <w:rPr>
          <w:noProof/>
        </w:rPr>
      </w:pPr>
      <w:r>
        <w:rPr>
          <w:noProof/>
        </w:rPr>
        <w:t>ΕΞΕΔΩΣΕ ΤΗΝ ΠΑΡΟΥΣΑ ΑΠΟΦΑΣΗ:</w:t>
      </w:r>
    </w:p>
    <w:p w:rsidR="00EB61C4" w:rsidRDefault="00A8283A">
      <w:pPr>
        <w:pStyle w:val="Titrearticle"/>
        <w:rPr>
          <w:noProof/>
        </w:rPr>
      </w:pPr>
      <w:r>
        <w:rPr>
          <w:noProof/>
        </w:rPr>
        <w:t>Άρθρο 1</w:t>
      </w:r>
    </w:p>
    <w:p w:rsidR="00EB61C4" w:rsidRDefault="00A8283A">
      <w:pPr>
        <w:pStyle w:val="ManualNumPar1"/>
        <w:rPr>
          <w:noProof/>
        </w:rPr>
      </w:pPr>
      <w:r>
        <w:t>1.</w:t>
      </w:r>
      <w:r>
        <w:tab/>
      </w:r>
      <w:r>
        <w:rPr>
          <w:noProof/>
        </w:rPr>
        <w:t>Η Ένωση χορηγεί μακροοικονομική χρηματοδοτική συνδρομή ανώτατου ποσού 100 εκατομμυρίων EUR στη Μολδαβία («μακροοικονομική χρηματοδοτική συνδρομή της Ένωσης»), με σκοπό τη στήριξη της οικ</w:t>
      </w:r>
      <w:r>
        <w:rPr>
          <w:noProof/>
        </w:rPr>
        <w:t>ονομικής σταθεροποίησης της χώρας και μιας ατζέντας ουσιαστικών μεταρρυθμίσεων. Από αυτό το ανώτατο ποσό, έως 60 εκατομμύρια EUR θα διατεθούν με τη μορφή δανείων και έως 40 εκατομμύρια EUR με τη μορφή επιχορηγήσεων. Η αποδέσμευση της μακροοικονομικής χρημα</w:t>
      </w:r>
      <w:r>
        <w:rPr>
          <w:noProof/>
        </w:rPr>
        <w:t>τοδοτικής συνδρομής της Ένωσης εξαρτάται από την έγκριση του προϋπολογισμού της Ένωσης για το σχετικό έτος από το Ευρωπαϊκό Κοινοβούλιο και το Συμβούλιο. Η χρηματοδοτική συνδρομή συμβάλλει στην κάλυψη των αναγκών που σχετίζονται με ισοζύγιο πληρωμών της Μο</w:t>
      </w:r>
      <w:r>
        <w:rPr>
          <w:noProof/>
        </w:rPr>
        <w:t xml:space="preserve">λδαβίας, όπως αυτές προσδιορίζονται στο πρόγραμμα του ΔΝΤ. </w:t>
      </w:r>
    </w:p>
    <w:p w:rsidR="00EB61C4" w:rsidRDefault="00A8283A">
      <w:pPr>
        <w:pStyle w:val="ManualNumPar1"/>
        <w:rPr>
          <w:noProof/>
        </w:rPr>
      </w:pPr>
      <w:r>
        <w:t>2.</w:t>
      </w:r>
      <w:r>
        <w:tab/>
      </w:r>
      <w:r>
        <w:rPr>
          <w:noProof/>
        </w:rPr>
        <w:t xml:space="preserve">Για τη χρηματοδότηση της δανειακής συνιστώσας της μακροοικονομικής χρηματοδοτικής συνδρομής της Ένωσης, η Επιτροπή εξουσιοδοτείται εξ ονόματος της Ένωσης να δανείζεται τα αναγκαία κεφάλαια από </w:t>
      </w:r>
      <w:r>
        <w:rPr>
          <w:noProof/>
        </w:rPr>
        <w:t>τις κεφαλαιαγορές ή από χρηματοπιστωτικούς οργανισμούς και να τα δανείζει στη Δημοκρατία της Μολδαβίας. Τα δάνεια έχουν μέγιστη μέση διάρκεια 15 ετών.</w:t>
      </w:r>
    </w:p>
    <w:p w:rsidR="00EB61C4" w:rsidRDefault="00A8283A">
      <w:pPr>
        <w:pStyle w:val="ManualNumPar1"/>
        <w:rPr>
          <w:noProof/>
        </w:rPr>
      </w:pPr>
      <w:r>
        <w:t>3.</w:t>
      </w:r>
      <w:r>
        <w:tab/>
      </w:r>
      <w:r>
        <w:rPr>
          <w:noProof/>
        </w:rPr>
        <w:t>Η Επιτροπή διαχειρίζεται την αποδέσμευση της μακροοικονομικής χρηματοδοτικής συνδρομής της Ένωσης κατά</w:t>
      </w:r>
      <w:r>
        <w:rPr>
          <w:noProof/>
        </w:rPr>
        <w:t xml:space="preserve"> τρόπο συνεπή προς τις συμφωνίες ή τις συνεννοήσεις μεταξύ του Διεθνούς Νομισματικού Ταμείου (ΔΝΤ) και της Μολδαβίας και προς τις βασικές αξίες και τους στόχους των οικονομικών μεταρρυθμίσεων που ορίζονται στη Συμφωνία Σύνδεσης ΕΕ- Μολδαβίας, συμπεριλαμβαν</w:t>
      </w:r>
      <w:r>
        <w:rPr>
          <w:noProof/>
        </w:rPr>
        <w:t>ομένης της ΕΟΖΕΣ, που συμφωνήθηκε στο πλαίσιο της Ευρωπαϊκής Πολιτικής Γειτονίας.</w:t>
      </w:r>
    </w:p>
    <w:p w:rsidR="00EB61C4" w:rsidRDefault="00A8283A">
      <w:pPr>
        <w:pStyle w:val="Text1"/>
        <w:rPr>
          <w:noProof/>
        </w:rPr>
      </w:pPr>
      <w:r>
        <w:rPr>
          <w:noProof/>
        </w:rPr>
        <w:t xml:space="preserve">Η Επιτροπή ενημερώνει τακτικά το Ευρωπαϊκό Κοινοβούλιο και το Συμβούλιο για τις εξελίξεις που αφορούν τη μακροοικονομική χρηματοδοτική συνδρομή της Ένωσης, </w:t>
      </w:r>
      <w:r>
        <w:rPr>
          <w:noProof/>
        </w:rPr>
        <w:t>συμπεριλαμβανομένων των σχετικών εκταμιεύσεων και θα διαβιβάζει τα σχετικά έγγραφα στα εν λόγω όργανα εγκαίρως.</w:t>
      </w:r>
    </w:p>
    <w:p w:rsidR="00EB61C4" w:rsidRDefault="00A8283A">
      <w:pPr>
        <w:pStyle w:val="ManualNumPar1"/>
        <w:rPr>
          <w:noProof/>
        </w:rPr>
      </w:pPr>
      <w:r>
        <w:t>4.</w:t>
      </w:r>
      <w:r>
        <w:tab/>
      </w:r>
      <w:r>
        <w:rPr>
          <w:noProof/>
        </w:rPr>
        <w:t>Η μακροοικονομική χρηματοδοτική συνδρομή της Ένωσης</w:t>
      </w:r>
      <w:r>
        <w:rPr>
          <w:b/>
          <w:i/>
          <w:noProof/>
        </w:rPr>
        <w:t xml:space="preserve"> </w:t>
      </w:r>
      <w:r>
        <w:rPr>
          <w:noProof/>
        </w:rPr>
        <w:t>θα είναι διαθέσιμη για δυόμισι έτη, αρχής γενομένης από την πρώτη ημέρα μετά την έναρξη ι</w:t>
      </w:r>
      <w:r>
        <w:rPr>
          <w:noProof/>
        </w:rPr>
        <w:t>σχύος του μνημονίου συνεννόησης που αναφέρεται στο άρθρο 3 παράγραφος 1.</w:t>
      </w:r>
    </w:p>
    <w:p w:rsidR="00EB61C4" w:rsidRDefault="00A8283A">
      <w:pPr>
        <w:pStyle w:val="ManualNumPar1"/>
        <w:rPr>
          <w:noProof/>
        </w:rPr>
      </w:pPr>
      <w:r>
        <w:t>5.</w:t>
      </w:r>
      <w:r>
        <w:tab/>
      </w:r>
      <w:r>
        <w:rPr>
          <w:noProof/>
        </w:rPr>
        <w:t>Εάν οι ανάγκες χρηματοδότησης της Μολδαβίας μειωθούν σημαντικά κατά την περίοδο εκταμίευσης της μακροοικονομικής χρηματοδοτικής συνδρομής της Ένωσης, σε σύγκριση με τις αρχικές προ</w:t>
      </w:r>
      <w:r>
        <w:rPr>
          <w:noProof/>
        </w:rPr>
        <w:t>βλέψεις, η Επιτροπή, ενεργώντας σύμφωνα με τη διαδικασία εξέτασης που αναφέρεται στο άρθρο 7 παράγραφος 2,  μειώνει το ποσό της συνδρομής ή την αναστέλλει ή την ακυρώνει..</w:t>
      </w:r>
    </w:p>
    <w:p w:rsidR="00EB61C4" w:rsidRDefault="00A8283A">
      <w:pPr>
        <w:pStyle w:val="Titrearticle"/>
        <w:rPr>
          <w:noProof/>
        </w:rPr>
      </w:pPr>
      <w:r>
        <w:rPr>
          <w:noProof/>
        </w:rPr>
        <w:t>Άρθρο 2</w:t>
      </w:r>
    </w:p>
    <w:p w:rsidR="00EB61C4" w:rsidRDefault="00A8283A">
      <w:pPr>
        <w:pStyle w:val="ManualNumPar1"/>
        <w:rPr>
          <w:noProof/>
        </w:rPr>
      </w:pPr>
      <w:r>
        <w:t>1.</w:t>
      </w:r>
      <w:r>
        <w:tab/>
      </w:r>
      <w:r>
        <w:rPr>
          <w:noProof/>
        </w:rPr>
        <w:t xml:space="preserve">Προϋπόθεση για τη χορήγηση της μακροοικονομικής χρηματοδοτικής συνδρομής </w:t>
      </w:r>
      <w:r>
        <w:rPr>
          <w:noProof/>
        </w:rPr>
        <w:t>από την ΕΕ είναι ο σεβασμός εκ μέρους της Μολδαβίας, των ουσιαστικών θεσμών της δημοκρατίας, στους οποίους περιλαμβάνονται το πολυκομματικό κοινοβουλευτικό σύστημα, το κράτος δικαίου και η εγγύηση του σεβασμού των ανθρωπίνων δικαιωμάτων.</w:t>
      </w:r>
    </w:p>
    <w:p w:rsidR="00EB61C4" w:rsidRDefault="00A8283A">
      <w:pPr>
        <w:pStyle w:val="ManualNumPar1"/>
        <w:rPr>
          <w:noProof/>
        </w:rPr>
      </w:pPr>
      <w:r>
        <w:t>2.</w:t>
      </w:r>
      <w:r>
        <w:tab/>
      </w:r>
      <w:r>
        <w:rPr>
          <w:noProof/>
        </w:rPr>
        <w:t xml:space="preserve">Η Επιτροπή και </w:t>
      </w:r>
      <w:r>
        <w:rPr>
          <w:noProof/>
        </w:rPr>
        <w:t xml:space="preserve">η Ευρωπαϊκή Υπηρεσία Εξωτερικής Δράσης θα παρακολουθούν την τήρηση αυτής της προϋπόθεσης καθ’ όλη τη διάρκεια ισχύος της μακροοικονομικής χρηματοδοτικής συνδρομής της Ένωσης. </w:t>
      </w:r>
    </w:p>
    <w:p w:rsidR="00EB61C4" w:rsidRDefault="00A8283A">
      <w:pPr>
        <w:pStyle w:val="ManualNumPar1"/>
        <w:rPr>
          <w:noProof/>
        </w:rPr>
      </w:pPr>
      <w:r>
        <w:t>3.</w:t>
      </w:r>
      <w:r>
        <w:tab/>
      </w:r>
      <w:r>
        <w:rPr>
          <w:noProof/>
        </w:rPr>
        <w:t>Οι παράγραφοι 1 και 2 εφαρμόζονται σύμφωνα με την Απόφαση 2010/427/ΕΕ του Συμ</w:t>
      </w:r>
      <w:r>
        <w:rPr>
          <w:noProof/>
        </w:rPr>
        <w:t>βουλίου</w:t>
      </w:r>
      <w:r>
        <w:rPr>
          <w:rStyle w:val="FootnoteReference"/>
          <w:noProof/>
        </w:rPr>
        <w:footnoteReference w:id="7"/>
      </w:r>
      <w:r>
        <w:rPr>
          <w:noProof/>
        </w:rPr>
        <w:t>.</w:t>
      </w:r>
    </w:p>
    <w:p w:rsidR="00EB61C4" w:rsidRDefault="00A8283A">
      <w:pPr>
        <w:pStyle w:val="Titrearticle"/>
        <w:rPr>
          <w:noProof/>
        </w:rPr>
      </w:pPr>
      <w:r>
        <w:rPr>
          <w:noProof/>
        </w:rPr>
        <w:t>Άρθρο 3</w:t>
      </w:r>
    </w:p>
    <w:p w:rsidR="00EB61C4" w:rsidRDefault="00A8283A">
      <w:pPr>
        <w:pStyle w:val="ManualNumPar1"/>
        <w:rPr>
          <w:noProof/>
        </w:rPr>
      </w:pPr>
      <w:r>
        <w:t>1.</w:t>
      </w:r>
      <w:r>
        <w:tab/>
      </w:r>
      <w:r>
        <w:rPr>
          <w:noProof/>
        </w:rPr>
        <w:t>Η Επιτροπή, σύμφωνα με τη διαδικασία εξέτασης που αναφέρεται στο άρθρο 7 παράγραφος 2, συμφωνεί με τις αρχές της Μολδαβίας σχετικά με σαφώς καθορισμένους όρους οικονομικής και χρηματοπιστωτικής πολιτικής -εστιάζοντας ιδιαίτερα στις δια</w:t>
      </w:r>
      <w:r>
        <w:rPr>
          <w:noProof/>
        </w:rPr>
        <w:t xml:space="preserve">ρθρωτικές μεταρρυθμίσεις και την εξυγίανση των δημόσιων οικονομικών από τις οποίες εξαρτάται  η μακροοικονομική χρηματοδοτική συνδρομή της Ένωσης- οι οποίοι πρόκειται να καθοριστούν σε μνημόνιο συνεννόησης («το μνημόνιο συνεννόησης») το οποίο περιλαμβάνει </w:t>
      </w:r>
      <w:r>
        <w:rPr>
          <w:noProof/>
        </w:rPr>
        <w:t>χρονοδιάγραμμα για την εκπλήρωση των εν λόγω όρων. Οι όροι οικονομικής και χρηματοπιστωτικής πολιτικής που ορίζονται στο μνημόνιο συνεννόησης πρέπει να συνάδουν με τις συμφωνίες ή τα μνημόνια που αναφέρονται στο άρθρο 1 παράγραφος 3, συμπεριλαμβανομένων τω</w:t>
      </w:r>
      <w:r>
        <w:rPr>
          <w:noProof/>
        </w:rPr>
        <w:t xml:space="preserve">ν προγραμμάτων μακροοικονομικής προσαρμογής και διαρθρωτικών μεταρρυθμίσεων που εφαρμόζει η Μολδαβία με τη στήριξη του ΔΝΤ. </w:t>
      </w:r>
    </w:p>
    <w:p w:rsidR="00EB61C4" w:rsidRDefault="00A8283A">
      <w:pPr>
        <w:pStyle w:val="ManualNumPar1"/>
        <w:rPr>
          <w:noProof/>
        </w:rPr>
      </w:pPr>
      <w:r>
        <w:t>2.</w:t>
      </w:r>
      <w:r>
        <w:tab/>
      </w:r>
      <w:r>
        <w:rPr>
          <w:noProof/>
        </w:rPr>
        <w:t>Οι όροι που αναφέρονται στην παράγραφο 1 αποσκοπούν, ειδικότερα, στην ενίσχυση της αποτελεσματικότητας, της διαφάνειας και της λ</w:t>
      </w:r>
      <w:r>
        <w:rPr>
          <w:noProof/>
        </w:rPr>
        <w:t>ογοδοσίας των συστημάτων διαχείρισης των δημόσιων οικονομικών στη Μολδαβία, περιλαμβανομένης της χρήσης της μακροοικονομικής χρηματοδοτικής συνδρομής της Ένωσης. Η πρόοδος όσον αφορά το αμοιβαίο άνοιγμα των αγορών, η ανάπτυξη θεμιτών εμπορικών συναλλαγών β</w:t>
      </w:r>
      <w:r>
        <w:rPr>
          <w:noProof/>
        </w:rPr>
        <w:t>άσει κανόνων και άλλες προτεραιότητες στο πλαίσιο της εξωτερικής πολιτικής της Ένωσης, θα λαμβάνονται επίσης δεόντως υπόψη κατά τον σχεδιασμό των μέτρων πολιτικής. Η Επιτροπή παρακολουθεί τακτικά την πρόοδο που σημειώνεται στην επίτευξη των στόχων αυτών.</w:t>
      </w:r>
    </w:p>
    <w:p w:rsidR="00EB61C4" w:rsidRDefault="00A8283A">
      <w:pPr>
        <w:pStyle w:val="ManualNumPar1"/>
        <w:rPr>
          <w:noProof/>
        </w:rPr>
      </w:pPr>
      <w:r>
        <w:t>3</w:t>
      </w:r>
      <w:r>
        <w:t>.</w:t>
      </w:r>
      <w:r>
        <w:tab/>
      </w:r>
      <w:r>
        <w:rPr>
          <w:noProof/>
        </w:rPr>
        <w:t xml:space="preserve">Οι λεπτομερείς χρηματοδοτικοί όροι της μακροοικονομικής χρηματοδοτικής συνδρομής της Ένωσης θα καθορίζονται στη συμφωνία δανειοδότησης και στη συμφωνία επιχορήγησης που πρόκειται να συναφθεί μεταξύ της Επιτροπής και των αρχών της Μολδαβίας. </w:t>
      </w:r>
    </w:p>
    <w:p w:rsidR="00EB61C4" w:rsidRDefault="00A8283A">
      <w:pPr>
        <w:pStyle w:val="ManualNumPar1"/>
        <w:rPr>
          <w:noProof/>
        </w:rPr>
      </w:pPr>
      <w:r>
        <w:t>4.</w:t>
      </w:r>
      <w:r>
        <w:tab/>
      </w:r>
      <w:r>
        <w:rPr>
          <w:noProof/>
        </w:rPr>
        <w:t>Η Επιτροπ</w:t>
      </w:r>
      <w:r>
        <w:rPr>
          <w:noProof/>
        </w:rPr>
        <w:t>ή επαληθεύει, σε τακτικά διαστήματα, ότι οι όροι που αναφέρονται στο άρθρο 4 παράγραφος 3, εξακολουθούν να τηρούνται, συμπεριλαμβανομένου και του κατά πόσον οι οικονομικές πολιτικές της Μολδαβίας συνάδουν με τους στόχους της μακροοικονομικής χρηματοδοτικής</w:t>
      </w:r>
      <w:r>
        <w:rPr>
          <w:noProof/>
        </w:rPr>
        <w:t xml:space="preserve"> συνδρομής της Ένωσης. Στο πλαίσιο αυτό, η Επιτροπή συνεργάζεται στενά με το ΔΝΤ και την Παγκόσμια Τράπεζα και, εφόσον είναι αναγκαίο, με το Ευρωπαϊκό Κοινοβούλιο και το Συμβούλιο.</w:t>
      </w:r>
    </w:p>
    <w:p w:rsidR="00EB61C4" w:rsidRDefault="00A8283A">
      <w:pPr>
        <w:pStyle w:val="Titrearticle"/>
        <w:rPr>
          <w:noProof/>
        </w:rPr>
      </w:pPr>
      <w:r>
        <w:rPr>
          <w:noProof/>
        </w:rPr>
        <w:t>Άρθρο 4</w:t>
      </w:r>
    </w:p>
    <w:p w:rsidR="00EB61C4" w:rsidRDefault="00A8283A">
      <w:pPr>
        <w:pStyle w:val="ManualNumPar1"/>
        <w:rPr>
          <w:noProof/>
        </w:rPr>
      </w:pPr>
      <w:r>
        <w:t>1.</w:t>
      </w:r>
      <w:r>
        <w:tab/>
      </w:r>
      <w:r>
        <w:rPr>
          <w:noProof/>
        </w:rPr>
        <w:t>Με την επιφύλαξη των όρων της παραγράφου 3, η μακροοικονομική χρ</w:t>
      </w:r>
      <w:r>
        <w:rPr>
          <w:noProof/>
        </w:rPr>
        <w:t xml:space="preserve">ηματοδοτική συνδρομή της Ένωσης θα χορηγηθεί από την Επιτροπή σε δόσεις, εκάστη των οποίων περιλαμβάνει μία συνιστώσα δανείου και μία συνιστώσα επιχορήγησης. Το ύψος κάθε δόσης καθορίζεται στο μνημόνιο συνεννόησης που αναφέρεται στο άρθρο 3. </w:t>
      </w:r>
    </w:p>
    <w:p w:rsidR="00EB61C4" w:rsidRDefault="00A8283A">
      <w:pPr>
        <w:pStyle w:val="ManualNumPar1"/>
        <w:rPr>
          <w:noProof/>
        </w:rPr>
      </w:pPr>
      <w:r>
        <w:t>2.</w:t>
      </w:r>
      <w:r>
        <w:tab/>
      </w:r>
      <w:r>
        <w:rPr>
          <w:noProof/>
        </w:rPr>
        <w:t>Τα ποσά τη</w:t>
      </w:r>
      <w:r>
        <w:rPr>
          <w:noProof/>
        </w:rPr>
        <w:t>ς μακροοικονομικής χρηματοδοτικής συνδρομής της Ένωσης που χορηγούνται υπό μορφή δανείου θα πρέπει να διατίθενται, κατά περίπτωση, σύμφωνα με τον κανονισμό (ΕΚ, Ευρατόμ) 480/2009 του Συμβουλίου</w:t>
      </w:r>
      <w:r>
        <w:rPr>
          <w:rStyle w:val="FootnoteReference"/>
          <w:noProof/>
        </w:rPr>
        <w:footnoteReference w:id="8"/>
      </w:r>
      <w:r>
        <w:rPr>
          <w:noProof/>
        </w:rPr>
        <w:t xml:space="preserve">. </w:t>
      </w:r>
    </w:p>
    <w:p w:rsidR="00EB61C4" w:rsidRDefault="00A8283A">
      <w:pPr>
        <w:pStyle w:val="ManualNumPar1"/>
        <w:rPr>
          <w:noProof/>
        </w:rPr>
      </w:pPr>
      <w:r>
        <w:t>3.</w:t>
      </w:r>
      <w:r>
        <w:tab/>
      </w:r>
      <w:r>
        <w:rPr>
          <w:noProof/>
        </w:rPr>
        <w:t>Η απόφαση της Επιτροπής για την αποδέσμευση των δόσεων ε</w:t>
      </w:r>
      <w:r>
        <w:rPr>
          <w:noProof/>
        </w:rPr>
        <w:t>ξαρτάται από την εκπλήρωση όλων των ακόλουθων όρων:</w:t>
      </w:r>
    </w:p>
    <w:p w:rsidR="00EB61C4" w:rsidRDefault="00A8283A">
      <w:pPr>
        <w:pStyle w:val="Point1"/>
        <w:rPr>
          <w:noProof/>
        </w:rPr>
      </w:pPr>
      <w:r>
        <w:rPr>
          <w:noProof/>
        </w:rPr>
        <w:t>α)</w:t>
      </w:r>
      <w:r>
        <w:rPr>
          <w:noProof/>
        </w:rPr>
        <w:tab/>
        <w:t>την προϋπόθεση που ορίζεται στο άρθρο 2,</w:t>
      </w:r>
    </w:p>
    <w:p w:rsidR="00EB61C4" w:rsidRDefault="00A8283A">
      <w:pPr>
        <w:pStyle w:val="Point1"/>
        <w:rPr>
          <w:noProof/>
        </w:rPr>
      </w:pPr>
      <w:r>
        <w:rPr>
          <w:noProof/>
        </w:rPr>
        <w:t>β)</w:t>
      </w:r>
      <w:r>
        <w:rPr>
          <w:noProof/>
        </w:rPr>
        <w:tab/>
        <w:t>τις συνεχείς ικανοποιητικές επιδόσεις ως προς την εφαρμογή προγράμματος πολιτικής που περιέχει μέτρα σοβαρής προσαρμογής και διαρθρωτικών μεταρρυθμίσεων τα ο</w:t>
      </w:r>
      <w:r>
        <w:rPr>
          <w:noProof/>
        </w:rPr>
        <w:t>ποία στηρίζονται από μη προληπτική πιστωτική συμφωνία του ΔΝΤ, και</w:t>
      </w:r>
    </w:p>
    <w:p w:rsidR="00EB61C4" w:rsidRDefault="00A8283A">
      <w:pPr>
        <w:pStyle w:val="Point1"/>
        <w:rPr>
          <w:noProof/>
        </w:rPr>
      </w:pPr>
      <w:r>
        <w:rPr>
          <w:noProof/>
        </w:rPr>
        <w:t>γ)</w:t>
      </w:r>
      <w:r>
        <w:rPr>
          <w:noProof/>
        </w:rPr>
        <w:tab/>
        <w:t>την ικανοποιητική εφαρμογή, των όρων οικονομικής πολιτικής και των χρηματοδοτικών όρων που περιέχονται στο μνημόνιο συνεννόησης.</w:t>
      </w:r>
    </w:p>
    <w:p w:rsidR="00EB61C4" w:rsidRDefault="00A8283A">
      <w:pPr>
        <w:pStyle w:val="Text1"/>
        <w:rPr>
          <w:noProof/>
        </w:rPr>
      </w:pPr>
      <w:r>
        <w:rPr>
          <w:noProof/>
        </w:rPr>
        <w:t>Η εκταμίευση της δεύτερης δόσης πραγματοποιείται, καταρχή</w:t>
      </w:r>
      <w:r>
        <w:rPr>
          <w:noProof/>
        </w:rPr>
        <w:t xml:space="preserve">ν, το νωρίτερο τρεις μήνες μετά την εκταμίευση της πρώτης δόσης. Η εκταμίευση της τρίτης δόσης πραγματοποιείται, καταρχήν, το νωρίτερο τρεις μήνες μετά την εκταμίευση της δεύτερης δόσης. </w:t>
      </w:r>
    </w:p>
    <w:p w:rsidR="00EB61C4" w:rsidRDefault="00A8283A">
      <w:pPr>
        <w:pStyle w:val="ManualNumPar1"/>
        <w:rPr>
          <w:noProof/>
        </w:rPr>
      </w:pPr>
      <w:r>
        <w:t>4.</w:t>
      </w:r>
      <w:r>
        <w:tab/>
      </w:r>
      <w:r>
        <w:rPr>
          <w:noProof/>
        </w:rPr>
        <w:t>Όταν δεν τηρούνται οι όροι της παραγράφου 3, η Επιτροπή αναστέλλε</w:t>
      </w:r>
      <w:r>
        <w:rPr>
          <w:noProof/>
        </w:rPr>
        <w:t xml:space="preserve">ι προσωρινά ή ακυρώνει την εκταμίευση της μακροοικονομικής χρηματοδοτικής συνδρομής της Ένωσης. Σε τέτοιες περιπτώσεις, η Επιτροπή ενημερώνει το Ευρωπαϊκό Κοινοβούλιο και το Συμβούλιο σχετικά με τους λόγους της εν λόγω αναστολής ή ακύρωσης. </w:t>
      </w:r>
    </w:p>
    <w:p w:rsidR="00EB61C4" w:rsidRDefault="00A8283A">
      <w:pPr>
        <w:pStyle w:val="ManualNumPar1"/>
        <w:rPr>
          <w:noProof/>
        </w:rPr>
      </w:pPr>
      <w:r>
        <w:t>5.</w:t>
      </w:r>
      <w:r>
        <w:tab/>
      </w:r>
      <w:r>
        <w:rPr>
          <w:noProof/>
        </w:rPr>
        <w:t>Η μακροοικο</w:t>
      </w:r>
      <w:r>
        <w:rPr>
          <w:noProof/>
        </w:rPr>
        <w:t>νομική χρηματοδοτική συνδρομή της Ένωσης θα εκταμιεύεται στην Εθνική Τράπεζα της Μολδαβίας. Με την επιφύλαξη των όρων που πρόκειται να συμφωνηθούν στο μνημόνιο συνεννόησης, περιλαμβανομένης της επιβεβαίωσης των υπολειπόμενων δημοσιονομικών χρηματοδοτικών α</w:t>
      </w:r>
      <w:r>
        <w:rPr>
          <w:noProof/>
        </w:rPr>
        <w:t xml:space="preserve">ναγκών, τα ενωσιακά κονδύλια μπορεί να έχουν ως τελικό αποδέκτη το Υπουργείο Οικονομικών της Μολδαβίας. </w:t>
      </w:r>
    </w:p>
    <w:p w:rsidR="00EB61C4" w:rsidRDefault="00A8283A">
      <w:pPr>
        <w:pStyle w:val="Titrearticle"/>
        <w:rPr>
          <w:noProof/>
        </w:rPr>
      </w:pPr>
      <w:r>
        <w:rPr>
          <w:noProof/>
        </w:rPr>
        <w:t>Άρθρο 5</w:t>
      </w:r>
    </w:p>
    <w:p w:rsidR="00EB61C4" w:rsidRDefault="00A8283A">
      <w:pPr>
        <w:pStyle w:val="ManualNumPar1"/>
        <w:rPr>
          <w:noProof/>
        </w:rPr>
      </w:pPr>
      <w:r>
        <w:t>1.</w:t>
      </w:r>
      <w:r>
        <w:tab/>
      </w:r>
      <w:r>
        <w:rPr>
          <w:noProof/>
        </w:rPr>
        <w:t>Οι δανειοληπτικές και δανειοδοτικές πράξεις που σχετίζονται με την δανειακή συνιστώσα της μακροοικονομικής χρηματοδοτικής συνδρομής της Ένωσ</w:t>
      </w:r>
      <w:r>
        <w:rPr>
          <w:noProof/>
        </w:rPr>
        <w:t>ης θα διενεργούνται σε ευρώ με την ίδια τοκοφόρο ημερομηνία και δεν εμπλέκουν την Ένωση σε μεταβολή της διάρκειας ούτε την εκθέτουν σε ανάληψη οποιουδήποτε κινδύνου συναλλάγματος ή επιτοκίου, ούτε σε  ανάληψη οποιουδήποτε άλλου εμπορικού κινδύνου.</w:t>
      </w:r>
    </w:p>
    <w:p w:rsidR="00EB61C4" w:rsidRDefault="00A8283A">
      <w:pPr>
        <w:pStyle w:val="ManualNumPar1"/>
        <w:rPr>
          <w:noProof/>
        </w:rPr>
      </w:pPr>
      <w:r>
        <w:t>2.</w:t>
      </w:r>
      <w:r>
        <w:tab/>
      </w:r>
      <w:r>
        <w:rPr>
          <w:noProof/>
        </w:rPr>
        <w:t>Όποτε</w:t>
      </w:r>
      <w:r>
        <w:rPr>
          <w:noProof/>
        </w:rPr>
        <w:t xml:space="preserve"> το επιτρέπουν οι περιστάσεις και εφόσον το ζητήσει η Μολδαβία, η Επιτροπή μπορεί να προβεί στις προσήκουσες ενέργειες προκειμένου να διασφαλίσει την προσθήκη ρήτρας πρόωρης εξόφλησης στους όρους και τις προϋποθέσεις του δανείου και την ύπαρξη ανάλογης ρήτ</w:t>
      </w:r>
      <w:r>
        <w:rPr>
          <w:noProof/>
        </w:rPr>
        <w:t xml:space="preserve">ρας στους όρους και τις προϋποθέσεις των δανειοληπτικών πράξεων. </w:t>
      </w:r>
    </w:p>
    <w:p w:rsidR="00EB61C4" w:rsidRDefault="00A8283A">
      <w:pPr>
        <w:pStyle w:val="ManualNumPar1"/>
        <w:rPr>
          <w:noProof/>
        </w:rPr>
      </w:pPr>
      <w:r>
        <w:t>3.</w:t>
      </w:r>
      <w:r>
        <w:tab/>
      </w:r>
      <w:r>
        <w:rPr>
          <w:noProof/>
        </w:rPr>
        <w:t>Όταν οι περιστάσεις επιτρέπουν βελτίωση του επιτοκίου του δανείου και εφόσον το ζητήσει η Μολδαβία, η Επιτροπή μπορεί να αποφασίσει την αναχρηματοδότηση του συνόλου ή μέρους των αρχικών δ</w:t>
      </w:r>
      <w:r>
        <w:rPr>
          <w:noProof/>
        </w:rPr>
        <w:t xml:space="preserve">ανειοληπτικών πράξεών της ή μπορεί να αναπροσαρμόσει τους αντίστοιχους χρηματοδοτικούς όρους. Οι πράξεις αναχρηματοδότησης ή αναπροσαρμογής διενεργούνται σύμφωνα με τις παραγράφους 1 και 4 και δεν έχουν ως αποτέλεσμα την παράταση της διάρκειας των οικείων </w:t>
      </w:r>
      <w:r>
        <w:rPr>
          <w:noProof/>
        </w:rPr>
        <w:t>δανειοληπτικών πράξεων ή την αύξηση του οφειλόμενου κεφαλαίου κατά την ημερομηνία διεξαγωγής των πράξεων αναχρηματοδότησης ή αναπροσαρμογής.</w:t>
      </w:r>
    </w:p>
    <w:p w:rsidR="00EB61C4" w:rsidRDefault="00A8283A">
      <w:pPr>
        <w:pStyle w:val="ManualNumPar1"/>
        <w:rPr>
          <w:noProof/>
        </w:rPr>
      </w:pPr>
      <w:r>
        <w:t>4.</w:t>
      </w:r>
      <w:r>
        <w:tab/>
      </w:r>
      <w:r>
        <w:rPr>
          <w:noProof/>
        </w:rPr>
        <w:t>Το σύνολο των εξόδων της Ένωσης που συνδέονται με τις δανειοληπτικές και τις δανειοδοτικές πράξεις στο πλαίσιο τ</w:t>
      </w:r>
      <w:r>
        <w:rPr>
          <w:noProof/>
        </w:rPr>
        <w:t>ης παρούσας απόφασης βαρύνουν την Μολδαβία.</w:t>
      </w:r>
    </w:p>
    <w:p w:rsidR="00EB61C4" w:rsidRDefault="00A8283A">
      <w:pPr>
        <w:pStyle w:val="ManualNumPar1"/>
        <w:rPr>
          <w:noProof/>
        </w:rPr>
      </w:pPr>
      <w:r>
        <w:t>5.</w:t>
      </w:r>
      <w:r>
        <w:tab/>
      </w:r>
      <w:r>
        <w:rPr>
          <w:noProof/>
        </w:rPr>
        <w:t>Η Επιτροπή ενημερώνει το Ευρωπαϊκό Κοινοβούλιο και το Συμβούλιο για τις εξελίξεις ως προς τις πράξεις που αναφέρονται στις παραγράφους 2 και 3.</w:t>
      </w:r>
    </w:p>
    <w:p w:rsidR="00EB61C4" w:rsidRDefault="00A8283A">
      <w:pPr>
        <w:pStyle w:val="Titrearticle"/>
        <w:rPr>
          <w:noProof/>
        </w:rPr>
      </w:pPr>
      <w:r>
        <w:rPr>
          <w:noProof/>
        </w:rPr>
        <w:t>Άρθρο 6</w:t>
      </w:r>
    </w:p>
    <w:p w:rsidR="00EB61C4" w:rsidRDefault="00A8283A">
      <w:pPr>
        <w:pStyle w:val="ManualNumPar1"/>
        <w:rPr>
          <w:noProof/>
        </w:rPr>
      </w:pPr>
      <w:r>
        <w:t>1.</w:t>
      </w:r>
      <w:r>
        <w:tab/>
      </w:r>
      <w:r>
        <w:rPr>
          <w:noProof/>
        </w:rPr>
        <w:t xml:space="preserve">Η μακροοικονομική χρηματοδοτική συνδρομή της Ένωσης </w:t>
      </w:r>
      <w:r>
        <w:rPr>
          <w:noProof/>
        </w:rPr>
        <w:t>υλοποιείται σύμφωνα με τον κανονισμό (ΕΕ, Ευρατόμ) 966/2012 του Ευρωπαϊκού Κοινοβουλίου και του Συμβουλίου και τον</w:t>
      </w:r>
      <w:r>
        <w:rPr>
          <w:rStyle w:val="FootnoteReference"/>
          <w:noProof/>
        </w:rPr>
        <w:footnoteReference w:id="9"/>
      </w:r>
      <w:r>
        <w:rPr>
          <w:noProof/>
        </w:rPr>
        <w:t xml:space="preserve"> </w:t>
      </w:r>
      <w:r>
        <w:rPr>
          <w:noProof/>
          <w:color w:val="000000"/>
        </w:rPr>
        <w:t>κατ’ εξουσιοδότηση κανονισμό (ΕΕ) 1268/2012 της Επιτροπής</w:t>
      </w:r>
      <w:r>
        <w:rPr>
          <w:rStyle w:val="FootnoteReference"/>
          <w:noProof/>
        </w:rPr>
        <w:footnoteReference w:id="10"/>
      </w:r>
      <w:r>
        <w:rPr>
          <w:noProof/>
        </w:rPr>
        <w:t>.</w:t>
      </w:r>
    </w:p>
    <w:p w:rsidR="00EB61C4" w:rsidRDefault="00A8283A">
      <w:pPr>
        <w:pStyle w:val="ManualNumPar1"/>
        <w:rPr>
          <w:noProof/>
        </w:rPr>
      </w:pPr>
      <w:r>
        <w:t>2.</w:t>
      </w:r>
      <w:r>
        <w:tab/>
      </w:r>
      <w:r>
        <w:rPr>
          <w:noProof/>
        </w:rPr>
        <w:t xml:space="preserve">Η υλοποίηση της μακροοικονομικής χρηματοδοτικής συνδρομής της Ένωσης τελεί υπό άμεση διαχείριση. </w:t>
      </w:r>
    </w:p>
    <w:p w:rsidR="00EB61C4" w:rsidRDefault="00A8283A">
      <w:pPr>
        <w:pStyle w:val="ManualNumPar1"/>
        <w:rPr>
          <w:noProof/>
        </w:rPr>
      </w:pPr>
      <w:r>
        <w:t>3.</w:t>
      </w:r>
      <w:r>
        <w:tab/>
      </w:r>
      <w:r>
        <w:rPr>
          <w:noProof/>
        </w:rPr>
        <w:t xml:space="preserve">Η συμφωνία δανειοδότησης και η συμφωνία επιχορήγησης που πρόκειται να συνομολογηθούν με τις αρχές της Μολδαβίας περιλαμβάνουν διατάξεις οι οποίες: </w:t>
      </w:r>
    </w:p>
    <w:p w:rsidR="00EB61C4" w:rsidRDefault="00A8283A">
      <w:pPr>
        <w:pStyle w:val="Point1"/>
        <w:rPr>
          <w:noProof/>
        </w:rPr>
      </w:pPr>
      <w:r>
        <w:rPr>
          <w:noProof/>
        </w:rPr>
        <w:t>α)</w:t>
      </w:r>
      <w:r>
        <w:rPr>
          <w:noProof/>
        </w:rPr>
        <w:tab/>
        <w:t>διασ</w:t>
      </w:r>
      <w:r>
        <w:rPr>
          <w:noProof/>
        </w:rPr>
        <w:t>φαλίζουν ότι η  Μολδαβίας ελέγχει τακτικά εάν η χρηματοδότηση που χορηγείται από τον προϋπολογισμό της Ένωσης χρησιμοποιείται ορθά, λαμβάνει τα αναγκαία μέτρα για την πρόληψη παρατυπιών και απάτης και, εάν είναι απαραίτητο, κινεί δικαστική διαδικασία για τ</w:t>
      </w:r>
      <w:r>
        <w:rPr>
          <w:noProof/>
        </w:rPr>
        <w:t>ην ανάκτηση αχρεωστήτως καταβληθέντων ποσών που χορηγήθηκαν βάσει της παρούσας απόφασης·</w:t>
      </w:r>
    </w:p>
    <w:p w:rsidR="00EB61C4" w:rsidRDefault="00A8283A">
      <w:pPr>
        <w:pStyle w:val="Point1"/>
        <w:rPr>
          <w:noProof/>
        </w:rPr>
      </w:pPr>
      <w:r>
        <w:rPr>
          <w:noProof/>
        </w:rPr>
        <w:t>β)</w:t>
      </w:r>
      <w:r>
        <w:rPr>
          <w:noProof/>
        </w:rPr>
        <w:tab/>
        <w:t xml:space="preserve">διασφαλίζουν την προστασία των οικονομικών συμφερόντων της Ένωσης, προβλέποντας ιδίως την εφαρμογή ειδικών </w:t>
      </w:r>
      <w:r>
        <w:rPr>
          <w:rStyle w:val="FootnoteReference"/>
          <w:noProof/>
        </w:rPr>
        <w:footnoteReference w:id="11"/>
      </w:r>
      <w:r>
        <w:rPr>
          <w:noProof/>
        </w:rPr>
        <w:t xml:space="preserve">μέτρων για την πρόληψη και καταπολέμηση της απάτης, της </w:t>
      </w:r>
      <w:r>
        <w:rPr>
          <w:noProof/>
        </w:rPr>
        <w:t xml:space="preserve">διαφθοράς και κάθε άλλης παρατυπίας που επηρεάζουν τη </w:t>
      </w:r>
      <w:r>
        <w:rPr>
          <w:rStyle w:val="FootnoteReference"/>
          <w:noProof/>
        </w:rPr>
        <w:footnoteReference w:id="12"/>
      </w:r>
      <w:r>
        <w:rPr>
          <w:noProof/>
        </w:rPr>
        <w:t xml:space="preserve">μακροοικονομική χρηματοδοτική συνδρομή της Ένωσης, σύμφωνα με τον κανονισμό (ΕΚ, Ευρατόμ) 2988/95· </w:t>
      </w:r>
      <w:r>
        <w:rPr>
          <w:noProof/>
          <w:color w:val="000000"/>
        </w:rPr>
        <w:t xml:space="preserve">του Συμβουλίου, </w:t>
      </w:r>
      <w:r>
        <w:rPr>
          <w:noProof/>
          <w:color w:val="000000"/>
          <w:sz w:val="20"/>
        </w:rPr>
        <w:t xml:space="preserve">τον κανονισμό (ΕΚ, Ευρατόμ) </w:t>
      </w:r>
      <w:r>
        <w:rPr>
          <w:noProof/>
        </w:rPr>
        <w:t>2185/96 του Συμβουλίου και τον κανονισμό (ΕΕ, Ευρατόμ) 883</w:t>
      </w:r>
      <w:r>
        <w:rPr>
          <w:noProof/>
        </w:rPr>
        <w:t>/2013 του Ευρωπαϊκού Κοινοβουλίου και του Συμβουλίου</w:t>
      </w:r>
      <w:r>
        <w:rPr>
          <w:rStyle w:val="FootnoteReference"/>
          <w:noProof/>
        </w:rPr>
        <w:footnoteReference w:id="13"/>
      </w:r>
      <w:r>
        <w:rPr>
          <w:noProof/>
        </w:rPr>
        <w:t xml:space="preserve">· </w:t>
      </w:r>
    </w:p>
    <w:p w:rsidR="00EB61C4" w:rsidRDefault="00A8283A">
      <w:pPr>
        <w:pStyle w:val="Point1"/>
        <w:rPr>
          <w:noProof/>
        </w:rPr>
      </w:pPr>
      <w:r>
        <w:rPr>
          <w:noProof/>
        </w:rPr>
        <w:t>γ)</w:t>
      </w:r>
      <w:r>
        <w:rPr>
          <w:noProof/>
        </w:rPr>
        <w:tab/>
        <w:t>επιτρέπουν ρητά στην Επιτροπή, καθώς και στην Ευρωπαϊκή Υπηρεσία Καταπολέμησης της Απάτης ή στους εκπροσώπους τους, να πραγματοποιούν ελέγχους, συμπεριλαμβανομένων επιτόπιων ελέγχων και επιθεωρήσεω</w:t>
      </w:r>
      <w:r>
        <w:rPr>
          <w:noProof/>
        </w:rPr>
        <w:t xml:space="preserve">ν· </w:t>
      </w:r>
    </w:p>
    <w:p w:rsidR="00EB61C4" w:rsidRDefault="00A8283A">
      <w:pPr>
        <w:pStyle w:val="Point1"/>
        <w:rPr>
          <w:noProof/>
        </w:rPr>
      </w:pPr>
      <w:r>
        <w:rPr>
          <w:noProof/>
        </w:rPr>
        <w:t>δ)</w:t>
      </w:r>
      <w:r>
        <w:rPr>
          <w:noProof/>
        </w:rPr>
        <w:tab/>
        <w:t>επιτρέπουν ρητά στην Επιτροπή και στο Ελεγκτικό Συνέδριο να διενεργούν ελέγχους πριν και μετά από την περίοδο διαθεσιμότητας της μακροοικονομικής χρηματοδοτικής συνδρομής της Ένωσης, συμπεριλαμβανομένων των ελέγχων εγγράφων και των επιτόπιων ελέγχων</w:t>
      </w:r>
      <w:r>
        <w:rPr>
          <w:noProof/>
        </w:rPr>
        <w:t>, όπως οι επιχειρησιακές αξιολογήσεις·</w:t>
      </w:r>
    </w:p>
    <w:p w:rsidR="00EB61C4" w:rsidRDefault="00A8283A">
      <w:pPr>
        <w:pStyle w:val="Point1"/>
        <w:rPr>
          <w:noProof/>
        </w:rPr>
      </w:pPr>
      <w:r>
        <w:rPr>
          <w:noProof/>
        </w:rPr>
        <w:t>ε)</w:t>
      </w:r>
      <w:r>
        <w:rPr>
          <w:noProof/>
        </w:rPr>
        <w:tab/>
        <w:t>διασφαλίζουν ότι η Ένωση δικαιούται την πρόωρη αποπληρωμή του δανείου, ή/και την πλήρη επιστροφή της επιχορήγησης, εάν διαπιστωθεί ότι, σε σχέση με τη διαχείριση της μακροοικονομικής χρηματοδοτικής συνδρομής της Έν</w:t>
      </w:r>
      <w:r>
        <w:rPr>
          <w:noProof/>
        </w:rPr>
        <w:t>ωσης, η Μολδαβία έχει εμπλακεί σε οποιαδήποτε πράξη απάτης ή διαφθοράς ή οποιαδήποτε άλλη παράνομη δραστηριότητα σε βάρος των οικονομικών συμφερόντων της Ένωσης.</w:t>
      </w:r>
    </w:p>
    <w:p w:rsidR="00EB61C4" w:rsidRDefault="00A8283A">
      <w:pPr>
        <w:pStyle w:val="ManualNumPar1"/>
        <w:rPr>
          <w:noProof/>
        </w:rPr>
      </w:pPr>
      <w:r>
        <w:t>4.</w:t>
      </w:r>
      <w:r>
        <w:tab/>
      </w:r>
      <w:r>
        <w:rPr>
          <w:noProof/>
        </w:rPr>
        <w:t>Πριν από την υλοποίηση της μακροοικονομικής χρηματοδοτικής συνδρομής της Ένωσης, η Επιτροπή</w:t>
      </w:r>
      <w:r>
        <w:rPr>
          <w:noProof/>
        </w:rPr>
        <w:t xml:space="preserve"> θα αξιολογήσει, μέσω επιχειρησιακής αξιολόγησης, την ορθότητα των δημοσιονομικών ρυθμίσεων , των διοικητικών διαδικασιών και των μηχανισμών εσωτερικού και εξωτερικού ελέγχου της Μολδαβίας που σχετίζονται με τη συνδρομή.</w:t>
      </w:r>
    </w:p>
    <w:p w:rsidR="00EB61C4" w:rsidRDefault="00A8283A">
      <w:pPr>
        <w:pStyle w:val="Titrearticle"/>
        <w:rPr>
          <w:noProof/>
        </w:rPr>
      </w:pPr>
      <w:r>
        <w:rPr>
          <w:noProof/>
        </w:rPr>
        <w:t>Άρθρο 7</w:t>
      </w:r>
    </w:p>
    <w:p w:rsidR="00EB61C4" w:rsidRDefault="00A8283A">
      <w:pPr>
        <w:pStyle w:val="ManualNumPar1"/>
        <w:rPr>
          <w:noProof/>
        </w:rPr>
      </w:pPr>
      <w:r>
        <w:t>1.</w:t>
      </w:r>
      <w:r>
        <w:tab/>
      </w:r>
      <w:r>
        <w:rPr>
          <w:noProof/>
        </w:rPr>
        <w:t xml:space="preserve">Η Ευρωπαϊκή Επιτροπή θα </w:t>
      </w:r>
      <w:r>
        <w:rPr>
          <w:noProof/>
        </w:rPr>
        <w:t>επικουρείται από επιτροπή. Πρόκειται για επιτροπή κατά την έννοια του κανονισμού (ΕΕ) 182/2011.</w:t>
      </w:r>
    </w:p>
    <w:p w:rsidR="00EB61C4" w:rsidRDefault="00A8283A">
      <w:pPr>
        <w:pStyle w:val="ManualNumPar1"/>
        <w:rPr>
          <w:noProof/>
        </w:rPr>
      </w:pPr>
      <w:r>
        <w:t>2.</w:t>
      </w:r>
      <w:r>
        <w:tab/>
      </w:r>
      <w:r>
        <w:rPr>
          <w:noProof/>
        </w:rPr>
        <w:t>Όταν γίνεται αναφορά στην παρούσα παράγραφο, εφαρμόζεται το άρθρο 5 του κανονισμού (ΕΕ) 182/2011.</w:t>
      </w:r>
    </w:p>
    <w:p w:rsidR="00EB61C4" w:rsidRDefault="00A8283A">
      <w:pPr>
        <w:pStyle w:val="Titrearticle"/>
        <w:rPr>
          <w:noProof/>
        </w:rPr>
      </w:pPr>
      <w:r>
        <w:rPr>
          <w:noProof/>
        </w:rPr>
        <w:t>Άρθρο 8</w:t>
      </w:r>
    </w:p>
    <w:p w:rsidR="00EB61C4" w:rsidRDefault="00A8283A">
      <w:pPr>
        <w:pStyle w:val="ManualNumPar1"/>
        <w:rPr>
          <w:noProof/>
        </w:rPr>
      </w:pPr>
      <w:r>
        <w:t>1.</w:t>
      </w:r>
      <w:r>
        <w:tab/>
      </w:r>
      <w:r>
        <w:rPr>
          <w:noProof/>
        </w:rPr>
        <w:t>Η Επιτροπή υποβάλλει, έως τις 30 Ιουνίου κάθε έτ</w:t>
      </w:r>
      <w:r>
        <w:rPr>
          <w:noProof/>
        </w:rPr>
        <w:t>ους, έκθεση στο Ευρωπαϊκό Κοινοβούλιο και στο Συμβούλιο σχετικά με την εφαρμογή της παρούσας απόφασης κατά το προηγούμενο έτος, η οποία περιλαμβάνει αξιολόγηση αυτής της εφαρμογής. Η έκθεση:</w:t>
      </w:r>
    </w:p>
    <w:p w:rsidR="00EB61C4" w:rsidRDefault="00A8283A">
      <w:pPr>
        <w:pStyle w:val="Point1"/>
        <w:rPr>
          <w:noProof/>
        </w:rPr>
      </w:pPr>
      <w:r>
        <w:rPr>
          <w:noProof/>
        </w:rPr>
        <w:t>α)</w:t>
      </w:r>
      <w:r>
        <w:rPr>
          <w:noProof/>
        </w:rPr>
        <w:tab/>
        <w:t>εξετάζει την πρόοδο που σημειώθηκε κατά την εφαρμογή της μακρο</w:t>
      </w:r>
      <w:r>
        <w:rPr>
          <w:noProof/>
        </w:rPr>
        <w:t>οικονομικής χρηματοδοτικής συνδρομής της Ένωσης·</w:t>
      </w:r>
    </w:p>
    <w:p w:rsidR="00EB61C4" w:rsidRDefault="00A8283A">
      <w:pPr>
        <w:pStyle w:val="Point1"/>
        <w:rPr>
          <w:noProof/>
        </w:rPr>
      </w:pPr>
      <w:r>
        <w:rPr>
          <w:noProof/>
        </w:rPr>
        <w:t>β)</w:t>
      </w:r>
      <w:r>
        <w:rPr>
          <w:noProof/>
        </w:rPr>
        <w:tab/>
        <w:t>αξιολογεί την οικονομική κατάσταση και τις προοπτικές της Μολδαβίας, καθώς και την πρόοδο στην εφαρμογή των μέτρων πολιτικής που αναφέρονται στο άρθρο 3 παράγραφος 1·</w:t>
      </w:r>
    </w:p>
    <w:p w:rsidR="00EB61C4" w:rsidRDefault="00A8283A">
      <w:pPr>
        <w:pStyle w:val="Point1"/>
        <w:rPr>
          <w:noProof/>
        </w:rPr>
      </w:pPr>
      <w:r>
        <w:rPr>
          <w:noProof/>
        </w:rPr>
        <w:t>γ)</w:t>
      </w:r>
      <w:r>
        <w:rPr>
          <w:noProof/>
        </w:rPr>
        <w:tab/>
        <w:t>παρουσιάζει τη σχέση μεταξύ των όρ</w:t>
      </w:r>
      <w:r>
        <w:rPr>
          <w:noProof/>
        </w:rPr>
        <w:t>ων οικονομικής πολιτικής που καθορίζονται στο μνημόνιο συνεννόησης, των τρεχουσών οικονομικών και δημοσιονομικών επιδόσεων  της Μολδαβίας και των αποφάσεων της Επιτροπής να εκταμιεύσει τις δόσεις της μακροοικονομικής χρηματοδοτικής συνδρομής της Ένωσης.</w:t>
      </w:r>
    </w:p>
    <w:p w:rsidR="00EB61C4" w:rsidRDefault="00A8283A">
      <w:pPr>
        <w:pStyle w:val="ManualNumPar1"/>
        <w:rPr>
          <w:noProof/>
        </w:rPr>
      </w:pPr>
      <w:r>
        <w:t>2.</w:t>
      </w:r>
      <w:r>
        <w:tab/>
      </w:r>
      <w:r>
        <w:rPr>
          <w:noProof/>
        </w:rPr>
        <w:t>Το αργότερο δύο έτη μετά τη λήξη της περιόδου διάθεσης που αναφέρεται στο άρθρο 1 παράγραφος 4, η Επιτροπή υποβάλλει στο Ευρωπαϊκό Κοινοβούλιο και στο Συμβούλιο έκθεση της εκ των υστέρων αξιολόγησης, αξιολογώντας τα αποτελέσματα και την αποτελεσματικότητα</w:t>
      </w:r>
      <w:r>
        <w:rPr>
          <w:noProof/>
        </w:rPr>
        <w:t xml:space="preserve"> της περατωθείσας μακροοικονομικής χρηματοδοτικής συνδρομής της Ένωσης, καθώς και τον βαθμό στον οποίο συνέβαλε στην επίτευξη των σκοπών της.</w:t>
      </w:r>
    </w:p>
    <w:p w:rsidR="00EB61C4" w:rsidRDefault="00A8283A">
      <w:pPr>
        <w:pStyle w:val="Titrearticle"/>
        <w:rPr>
          <w:noProof/>
        </w:rPr>
      </w:pPr>
      <w:r>
        <w:rPr>
          <w:noProof/>
        </w:rPr>
        <w:t>Άρθρο 9</w:t>
      </w:r>
    </w:p>
    <w:p w:rsidR="00EB61C4" w:rsidRDefault="00A8283A">
      <w:pPr>
        <w:rPr>
          <w:noProof/>
        </w:rPr>
      </w:pPr>
      <w:r>
        <w:rPr>
          <w:noProof/>
        </w:rPr>
        <w:t xml:space="preserve">Η παρούσα απόφαση αρχίζει να ισχύει την τρίτη ημέρα από τη δημοσίευσή της στην </w:t>
      </w:r>
      <w:r>
        <w:rPr>
          <w:i/>
          <w:noProof/>
        </w:rPr>
        <w:t>Επίσημη Εφημερίδα της Ευρωπ</w:t>
      </w:r>
      <w:r>
        <w:rPr>
          <w:i/>
          <w:noProof/>
        </w:rPr>
        <w:t>αϊκής Ένωσης</w:t>
      </w:r>
      <w:r>
        <w:rPr>
          <w:noProof/>
        </w:rPr>
        <w:t>.</w:t>
      </w:r>
    </w:p>
    <w:p w:rsidR="00EB61C4" w:rsidRDefault="00A8283A">
      <w:pPr>
        <w:pStyle w:val="Fait"/>
        <w:rPr>
          <w:noProof/>
        </w:rPr>
      </w:pPr>
      <w:r>
        <w:rPr>
          <w:noProof/>
        </w:rPr>
        <w:t>Βρυξέλλες,</w:t>
      </w:r>
    </w:p>
    <w:p w:rsidR="00EB61C4" w:rsidRDefault="00A8283A">
      <w:pPr>
        <w:pStyle w:val="Institutionquisigne"/>
        <w:rPr>
          <w:noProof/>
        </w:rPr>
      </w:pPr>
      <w:r>
        <w:rPr>
          <w:noProof/>
        </w:rPr>
        <w:t>Για το Ευρωπαϊκό Κοινοβούλιο</w:t>
      </w:r>
      <w:r>
        <w:rPr>
          <w:noProof/>
        </w:rPr>
        <w:tab/>
      </w:r>
      <w:r>
        <w:rPr>
          <w:noProof/>
        </w:rPr>
        <w:tab/>
      </w:r>
      <w:r>
        <w:rPr>
          <w:noProof/>
        </w:rPr>
        <w:tab/>
      </w:r>
      <w:r>
        <w:rPr>
          <w:noProof/>
        </w:rPr>
        <w:tab/>
        <w:t>Για το Συμβούλιο</w:t>
      </w:r>
    </w:p>
    <w:p w:rsidR="00EB61C4" w:rsidRDefault="00A8283A">
      <w:pPr>
        <w:pStyle w:val="Personnequisigne"/>
        <w:rPr>
          <w:noProof/>
        </w:rPr>
      </w:pPr>
      <w:r>
        <w:rPr>
          <w:noProof/>
        </w:rPr>
        <w:t>Ο/Η Πρόεδρος</w:t>
      </w:r>
      <w:r>
        <w:rPr>
          <w:noProof/>
        </w:rPr>
        <w:tab/>
      </w:r>
      <w:r>
        <w:rPr>
          <w:noProof/>
        </w:rPr>
        <w:tab/>
      </w:r>
      <w:r>
        <w:rPr>
          <w:noProof/>
        </w:rPr>
        <w:tab/>
      </w:r>
      <w:r>
        <w:rPr>
          <w:noProof/>
        </w:rPr>
        <w:tab/>
        <w:t>Ο/Η Πρόεδρος</w:t>
      </w:r>
    </w:p>
    <w:p w:rsidR="00EB61C4" w:rsidRDefault="00EB61C4">
      <w:pPr>
        <w:pStyle w:val="Sectionbreak"/>
        <w:sectPr w:rsidR="00EB61C4">
          <w:pgSz w:w="11907" w:h="16840" w:code="9"/>
          <w:pgMar w:top="1418" w:right="1134" w:bottom="1418" w:left="1134" w:header="709" w:footer="709" w:gutter="0"/>
          <w:cols w:space="708"/>
          <w:docGrid w:linePitch="360"/>
        </w:sectPr>
      </w:pPr>
    </w:p>
    <w:p w:rsidR="00EB61C4" w:rsidRDefault="00A8283A">
      <w:pPr>
        <w:pStyle w:val="Fichefinanciretitre"/>
        <w:rPr>
          <w:noProof/>
        </w:rPr>
      </w:pPr>
      <w:r>
        <w:rPr>
          <w:noProof/>
        </w:rPr>
        <w:t>ΝΟΜΟΘΕΤΙΚΟ ΔΗΜΟΣΙΟΝΟΜΙΚΟ ΔΕΛΤΙΟ</w:t>
      </w:r>
    </w:p>
    <w:p w:rsidR="00EB61C4" w:rsidRDefault="00A8283A">
      <w:pPr>
        <w:pStyle w:val="ManualNumPar1"/>
        <w:rPr>
          <w:noProof/>
        </w:rPr>
      </w:pPr>
      <w:r>
        <w:t>1.</w:t>
      </w:r>
      <w:r>
        <w:tab/>
      </w:r>
      <w:r>
        <w:rPr>
          <w:noProof/>
        </w:rPr>
        <w:t xml:space="preserve">ΠΛΑΙΣΙΟ ΤΗΣ ΠΡΟΤΑΣΗΣ/ΠΡΩΤΟΒΟΥΛΙΑΣ </w:t>
      </w:r>
    </w:p>
    <w:p w:rsidR="00EB61C4" w:rsidRDefault="00A8283A">
      <w:pPr>
        <w:pStyle w:val="Heading30"/>
        <w:rPr>
          <w:b/>
        </w:rPr>
      </w:pPr>
      <w:r>
        <w:rPr>
          <w:b/>
        </w:rPr>
        <w:t>1.1.</w:t>
      </w:r>
      <w:r>
        <w:tab/>
      </w:r>
      <w:r>
        <w:rPr>
          <w:b/>
        </w:rPr>
        <w:t xml:space="preserve">Τίτλος της πρότασης/πρωτοβουλίας </w:t>
      </w:r>
    </w:p>
    <w:p w:rsidR="00EB61C4" w:rsidRDefault="00A8283A">
      <w:pPr>
        <w:pStyle w:val="Text1"/>
        <w:rPr>
          <w:noProof/>
        </w:rPr>
      </w:pPr>
      <w:r>
        <w:rPr>
          <w:noProof/>
        </w:rPr>
        <w:t xml:space="preserve">Πρόταση απόφασης του Ευρωπαϊκού Κοινοβουλίου και του Συμβουλίου για τη χορήγηση μακροοικονομικής χρηματοδοτικής συνδρομής στη Δημοκρατία της Μολδαβίας </w:t>
      </w:r>
    </w:p>
    <w:p w:rsidR="00EB61C4" w:rsidRDefault="00A8283A">
      <w:pPr>
        <w:pStyle w:val="Heading30"/>
        <w:rPr>
          <w:b/>
        </w:rPr>
      </w:pPr>
      <w:r>
        <w:rPr>
          <w:b/>
        </w:rPr>
        <w:t>1.2.</w:t>
      </w:r>
      <w:r>
        <w:tab/>
      </w:r>
      <w:r>
        <w:rPr>
          <w:b/>
        </w:rPr>
        <w:t xml:space="preserve"> Σχετικός(οί) τομέας(είς)πολιτικής που αφορά(ούν) τη δομή ΔΒΔ/ΠΒΔ</w:t>
      </w:r>
      <w:r>
        <w:rPr>
          <w:rStyle w:val="FootnoteReference"/>
          <w:b/>
        </w:rPr>
        <w:footnoteReference w:id="14"/>
      </w:r>
      <w:r>
        <w:rPr>
          <w:b/>
        </w:rPr>
        <w:t xml:space="preserve"> </w:t>
      </w:r>
    </w:p>
    <w:p w:rsidR="00EB61C4" w:rsidRDefault="00A8283A">
      <w:pPr>
        <w:pStyle w:val="Text1"/>
        <w:rPr>
          <w:noProof/>
        </w:rPr>
      </w:pPr>
      <w:r>
        <w:rPr>
          <w:noProof/>
        </w:rPr>
        <w:t>Τομέας πολιτικής:</w:t>
      </w:r>
      <w:r>
        <w:rPr>
          <w:noProof/>
        </w:rPr>
        <w:tab/>
        <w:t xml:space="preserve">Τίτλος 01 — </w:t>
      </w:r>
      <w:r>
        <w:rPr>
          <w:noProof/>
        </w:rPr>
        <w:t>Οικονομικές και χρηματοδοτικές υποθέσεις</w:t>
      </w:r>
    </w:p>
    <w:p w:rsidR="00EB61C4" w:rsidRDefault="00A8283A">
      <w:pPr>
        <w:pStyle w:val="Text1"/>
        <w:rPr>
          <w:noProof/>
        </w:rPr>
      </w:pPr>
      <w:r>
        <w:rPr>
          <w:noProof/>
        </w:rPr>
        <w:t>Δραστηριότητα:</w:t>
      </w:r>
      <w:r>
        <w:rPr>
          <w:noProof/>
        </w:rPr>
        <w:tab/>
        <w:t>03 — Διεθνείς οικονομικές και χρηματοδοτικές υποθέσεις</w:t>
      </w:r>
    </w:p>
    <w:p w:rsidR="00EB61C4" w:rsidRDefault="00A8283A">
      <w:pPr>
        <w:pStyle w:val="Heading30"/>
        <w:rPr>
          <w:b/>
        </w:rPr>
      </w:pPr>
      <w:r>
        <w:rPr>
          <w:b/>
        </w:rPr>
        <w:t>1.3.</w:t>
      </w:r>
      <w:r>
        <w:tab/>
      </w:r>
      <w:r>
        <w:rPr>
          <w:b/>
        </w:rPr>
        <w:t xml:space="preserve">Χαρακτήρας της πρότασης/πρωτοβουλίας </w:t>
      </w:r>
    </w:p>
    <w:p w:rsidR="00EB61C4" w:rsidRDefault="00A8283A">
      <w:pPr>
        <w:pStyle w:val="Text1"/>
        <w:rPr>
          <w:b/>
          <w:noProof/>
        </w:rPr>
      </w:pPr>
      <w:r>
        <w:rPr>
          <w:noProof/>
        </w:rPr>
        <w:t>X</w:t>
      </w:r>
      <w:r>
        <w:rPr>
          <w:b/>
          <w:i/>
          <w:noProof/>
        </w:rPr>
        <w:t xml:space="preserve"> </w:t>
      </w:r>
      <w:r>
        <w:rPr>
          <w:noProof/>
        </w:rPr>
        <w:t>Η πρόταση/πρωτοβουλία αφορά</w:t>
      </w:r>
      <w:r>
        <w:rPr>
          <w:b/>
          <w:noProof/>
        </w:rPr>
        <w:t xml:space="preserve"> νέα δράση </w:t>
      </w:r>
    </w:p>
    <w:p w:rsidR="00EB61C4" w:rsidRDefault="00A8283A">
      <w:pPr>
        <w:pStyle w:val="Heading30"/>
        <w:rPr>
          <w:b/>
        </w:rPr>
      </w:pPr>
      <w:r>
        <w:rPr>
          <w:b/>
        </w:rPr>
        <w:t>1.4.</w:t>
      </w:r>
      <w:r>
        <w:tab/>
      </w:r>
      <w:r>
        <w:rPr>
          <w:b/>
        </w:rPr>
        <w:t>Στόχοι</w:t>
      </w:r>
    </w:p>
    <w:p w:rsidR="00EB61C4" w:rsidRDefault="00A8283A">
      <w:pPr>
        <w:pStyle w:val="Heading40"/>
        <w:rPr>
          <w:b/>
        </w:rPr>
      </w:pPr>
      <w:r>
        <w:t>1.4.1.</w:t>
      </w:r>
      <w:r>
        <w:tab/>
        <w:t>Ο (Οι) πολυετής(-είς) στρατηγικός(-οί) στό</w:t>
      </w:r>
      <w:r>
        <w:t>χος(-οι) της Επιτροπής τον(τους) οποίο(οποίους) αφορά η πρόταση/πρωτοβουλία</w:t>
      </w:r>
      <w:r>
        <w:rPr>
          <w:b/>
        </w:rPr>
        <w:t xml:space="preserve"> </w:t>
      </w:r>
    </w:p>
    <w:p w:rsidR="00EB61C4" w:rsidRDefault="00A8283A">
      <w:pPr>
        <w:pStyle w:val="Text1"/>
        <w:rPr>
          <w:noProof/>
        </w:rPr>
      </w:pPr>
      <w:r>
        <w:rPr>
          <w:noProof/>
        </w:rPr>
        <w:t>«Νέα ώθηση στην απασχόληση, την ανάπτυξη και τις επενδύσεις: προώθηση της ευημερίας πέραν των συνόρων της ΕΕ»</w:t>
      </w:r>
    </w:p>
    <w:p w:rsidR="00EB61C4" w:rsidRDefault="00A8283A">
      <w:pPr>
        <w:pStyle w:val="Text1"/>
        <w:rPr>
          <w:noProof/>
        </w:rPr>
      </w:pPr>
      <w:r>
        <w:rPr>
          <w:noProof/>
        </w:rPr>
        <w:t>Ο κύριος σχετικός τομέας δραστηριότητας της ΓΔ Οικονομικών και Χρηματ</w:t>
      </w:r>
      <w:r>
        <w:rPr>
          <w:noProof/>
        </w:rPr>
        <w:t xml:space="preserve">οδοτικών Υποθέσεων (ECFIN) είναι: </w:t>
      </w:r>
    </w:p>
    <w:p w:rsidR="00EB61C4" w:rsidRDefault="00A8283A">
      <w:pPr>
        <w:pStyle w:val="Text1"/>
        <w:rPr>
          <w:noProof/>
        </w:rPr>
      </w:pPr>
      <w:r>
        <w:rPr>
          <w:noProof/>
        </w:rPr>
        <w:t>1. Προώθηση της εφαρμογής της ευρωπαϊκής πολιτικής γειτονίας με την εμβάθυνση της οικονομικής ανάλυσης και την ενίσχυση του πολιτικού διαλόγου και της παροχής συμβουλών επί των οικονομικών πτυχών των σχεδίων δράσης.</w:t>
      </w:r>
    </w:p>
    <w:p w:rsidR="00EB61C4" w:rsidRDefault="00A8283A">
      <w:pPr>
        <w:pStyle w:val="Text1"/>
        <w:rPr>
          <w:noProof/>
        </w:rPr>
      </w:pPr>
      <w:r>
        <w:rPr>
          <w:noProof/>
        </w:rPr>
        <w:t>2. Αν</w:t>
      </w:r>
      <w:r>
        <w:rPr>
          <w:noProof/>
        </w:rPr>
        <w:t xml:space="preserve">άπτυξη, παρακολούθηση και υλοποίηση της μακροοικονομικής χρηματοδοτικής συνδρομής για τρίτες χώρες εταίρους, σε συνεργασία με τους συναφείς διεθνείς χρηματοδοτικούς οργανισμούς. </w:t>
      </w:r>
    </w:p>
    <w:p w:rsidR="00EB61C4" w:rsidRDefault="00A8283A">
      <w:pPr>
        <w:pStyle w:val="Heading40"/>
      </w:pPr>
      <w:r>
        <w:t>1.4.2.</w:t>
      </w:r>
      <w:r>
        <w:tab/>
        <w:t>Ειδικός(-οί) στόχος(-οι) και δραστηριότητα(-ες) ΔΒΔ/ΠΒΔ</w:t>
      </w:r>
    </w:p>
    <w:p w:rsidR="00EB61C4" w:rsidRDefault="00A8283A">
      <w:pPr>
        <w:pStyle w:val="Text1"/>
        <w:rPr>
          <w:noProof/>
        </w:rPr>
      </w:pPr>
      <w:r>
        <w:rPr>
          <w:noProof/>
          <w:u w:val="single"/>
        </w:rPr>
        <w:t>Ειδικός στόχος</w:t>
      </w:r>
      <w:r>
        <w:rPr>
          <w:noProof/>
          <w:u w:val="single"/>
        </w:rPr>
        <w:t xml:space="preserve"> αριθ. 1:</w:t>
      </w:r>
      <w:r>
        <w:rPr>
          <w:noProof/>
        </w:rPr>
        <w:t xml:space="preserve"> «Προώθηση της ευημερίας πέραν των συνόρων της ΕΕ: στήριξη της μακροοικονομικής σταθερότητας και προώθηση των μεταρρυθμίσεων που ενισχύουν την ανάπτυξη εκτός της ΕΕ, μεταξύ άλλων μέσω τακτικού οικονομικού διαλόγου με τους βασικούς εταίρους και με </w:t>
      </w:r>
      <w:r>
        <w:rPr>
          <w:noProof/>
        </w:rPr>
        <w:t>τη χορήγηση μακροοικονομικής χρηματοδοτικής συνδρομής»</w:t>
      </w:r>
    </w:p>
    <w:p w:rsidR="00EB61C4" w:rsidRDefault="00A8283A">
      <w:pPr>
        <w:pStyle w:val="Text1"/>
        <w:rPr>
          <w:bCs/>
          <w:noProof/>
        </w:rPr>
      </w:pPr>
      <w:r>
        <w:rPr>
          <w:noProof/>
          <w:u w:val="single"/>
        </w:rPr>
        <w:t>Σχετική(-ές) δραστηριότητα(-ες) ΔΒΔ/ΠΒΔ:</w:t>
      </w:r>
      <w:r>
        <w:rPr>
          <w:noProof/>
        </w:rPr>
        <w:t xml:space="preserve"> Διεθνείς οικονομικές και χρηματοδοτικές υποθέσεις. </w:t>
      </w:r>
    </w:p>
    <w:p w:rsidR="00EB61C4" w:rsidRDefault="00A8283A">
      <w:pPr>
        <w:pStyle w:val="Heading40"/>
        <w:rPr>
          <w:b/>
        </w:rPr>
      </w:pPr>
      <w:r>
        <w:t>1.4.3.</w:t>
      </w:r>
      <w:r>
        <w:tab/>
        <w:t>Αναμενόμενο(-α) αποτέλεσμα(-τα) και επιπτώσεις</w:t>
      </w:r>
    </w:p>
    <w:p w:rsidR="00EB61C4" w:rsidRDefault="00A8283A">
      <w:pPr>
        <w:pStyle w:val="Text1"/>
        <w:rPr>
          <w:b/>
          <w:noProof/>
          <w:u w:val="single"/>
        </w:rPr>
      </w:pPr>
      <w:r>
        <w:rPr>
          <w:noProof/>
        </w:rPr>
        <w:t xml:space="preserve">Η προτεινόμενη συνδρομή αποτελείται από δάνειο της ΕΕ </w:t>
      </w:r>
      <w:r>
        <w:rPr>
          <w:noProof/>
        </w:rPr>
        <w:t>ανώτατου ποσού 60 εκατομμυρίων EUR και επιχορήγηση ανώτατου ποσού 40 εκατομμύρια EUR προς τη Δημοκρατία της Μολδαβίας («Μολδαβία»), με σκοπό να συμβάλλει στην εδραίωση ενός βιωσιμότερου ισοζυγίου πληρωμών. Η συνδρομή, που θα εκταμιευθεί σε τρεις δόσεις, θα</w:t>
      </w:r>
      <w:r>
        <w:rPr>
          <w:noProof/>
        </w:rPr>
        <w:t xml:space="preserve"> βοηθήσει τη χώρα να ξεπεράσει τη δυσχερή οικονομική κατάσταση και την κατάσταση του ισοζυγίου πληρωμών που αντιμετωπίζει. Επίσης, θα προωθήσει διαρθρωτικές μεταρρυθμίσεις που αποσκοπούν στην αύξηση της βιώσιμης οικονομικής ανάπτυξης, στη μείωση των μακροο</w:t>
      </w:r>
      <w:r>
        <w:rPr>
          <w:noProof/>
        </w:rPr>
        <w:t xml:space="preserve">ικονομικών ανισορροπιών και στη βελτίωση της διαχείρισης των δημόσιων οικονομικών. </w:t>
      </w:r>
    </w:p>
    <w:p w:rsidR="00EB61C4" w:rsidRDefault="00A8283A">
      <w:pPr>
        <w:pStyle w:val="Heading40"/>
      </w:pPr>
      <w:r>
        <w:t>1.4.4.</w:t>
      </w:r>
      <w:r>
        <w:tab/>
        <w:t xml:space="preserve">Δείκτες αποτελεσμάτων και επιπτώσεων </w:t>
      </w:r>
    </w:p>
    <w:p w:rsidR="00EB61C4" w:rsidRDefault="00A8283A">
      <w:pPr>
        <w:pStyle w:val="Text1"/>
        <w:rPr>
          <w:noProof/>
        </w:rPr>
      </w:pPr>
      <w:r>
        <w:rPr>
          <w:noProof/>
        </w:rPr>
        <w:t>Οι αρχές θα πρέπει να υποβάλλουν αναφορά σε σύνολο δεικτών στις υπηρεσίες της Επιτροπής σε τακτική βάση και να παρέχουν μια διε</w:t>
      </w:r>
      <w:r>
        <w:rPr>
          <w:noProof/>
        </w:rPr>
        <w:t xml:space="preserve">ξοδική έκθεση περί της συμμόρφωσης με τους συμφωνηθέντες όρους πολιτικής πριν από την εκταμίευση των τριών δόσεων της συνδρομής. </w:t>
      </w:r>
    </w:p>
    <w:p w:rsidR="00EB61C4" w:rsidRDefault="00A8283A">
      <w:pPr>
        <w:pStyle w:val="Text1"/>
        <w:rPr>
          <w:noProof/>
        </w:rPr>
      </w:pPr>
      <w:r>
        <w:rPr>
          <w:noProof/>
        </w:rPr>
        <w:t>Οι υπηρεσίες της Επιτροπής θα συνεχίσουν να παρακολουθούν τη διαχείριση των δημόσιων οικονομικών, μετά την επιχειρησιακή αξιολ</w:t>
      </w:r>
      <w:r>
        <w:rPr>
          <w:noProof/>
        </w:rPr>
        <w:t>όγηση των χρηματοδοτικών κυκλωμάτων και των διοικητικών διαδικασιών της Μολδαβίας που διενεργήθηκε κατά την προετοιμασία της παρούσας πράξης. Η αντιπροσωπία της ΕΕ στη Μολδαβία θα υποβάλλει επίσης τακτική αναφορά επί των πτυχών που είναι συναφείς με την πα</w:t>
      </w:r>
      <w:r>
        <w:rPr>
          <w:noProof/>
        </w:rPr>
        <w:t xml:space="preserve">ρακολούθηση της συνδρομής. Οι υπηρεσίες της Επιτροπής θα βρίσκονται σε στενή συνεργασία με το ΔΝΤ και την Παγκόσμια Τράπεζα προκειμένου να επωφεληθούν από την πείρα και τις δραστηριότητες που αναπτύσσουν οι οργανισμοί αυτοί στη Μολδαβία. </w:t>
      </w:r>
    </w:p>
    <w:p w:rsidR="00EB61C4" w:rsidRDefault="00A8283A">
      <w:pPr>
        <w:pStyle w:val="Text1"/>
        <w:rPr>
          <w:noProof/>
        </w:rPr>
      </w:pPr>
      <w:r>
        <w:rPr>
          <w:noProof/>
        </w:rPr>
        <w:t>Η πρόταση νομοθετ</w:t>
      </w:r>
      <w:r>
        <w:rPr>
          <w:noProof/>
        </w:rPr>
        <w:t>ικής απόφασης προβλέπει την υποβολή ετήσιας έκθεσης προς το Συμβούλιο και το Ευρωπαϊκό Κοινοβούλιο, που θα περιέχει εκτίμηση της υλοποίησης της παρούσας συνδρομής. Διενεργείται ανεξάρτητη εκ των υστέρων αξιολόγηση εντός δύο ετών από τη λήξη της περιόδου δι</w:t>
      </w:r>
      <w:r>
        <w:rPr>
          <w:noProof/>
        </w:rPr>
        <w:t>αθεσιμότητας.</w:t>
      </w:r>
    </w:p>
    <w:p w:rsidR="00EB61C4" w:rsidRDefault="00A8283A">
      <w:pPr>
        <w:pStyle w:val="Heading30"/>
        <w:rPr>
          <w:b/>
        </w:rPr>
      </w:pPr>
      <w:r>
        <w:rPr>
          <w:b/>
        </w:rPr>
        <w:t>1.5.</w:t>
      </w:r>
      <w:r>
        <w:tab/>
      </w:r>
      <w:r>
        <w:rPr>
          <w:b/>
        </w:rPr>
        <w:t xml:space="preserve">Αιτιολόγηση της πρότασης/πρωτοβουλίας </w:t>
      </w:r>
    </w:p>
    <w:p w:rsidR="00EB61C4" w:rsidRDefault="00A8283A">
      <w:pPr>
        <w:pStyle w:val="Heading40"/>
        <w:rPr>
          <w:b/>
        </w:rPr>
      </w:pPr>
      <w:r>
        <w:t>1.5.1.</w:t>
      </w:r>
      <w:r>
        <w:tab/>
        <w:t>Βραχυπρόθεσμη ή μακροπρόθεσμη κάλυψη αναγκών</w:t>
      </w:r>
      <w:r>
        <w:rPr>
          <w:b/>
        </w:rPr>
        <w:t xml:space="preserve"> </w:t>
      </w:r>
    </w:p>
    <w:p w:rsidR="00EB61C4" w:rsidRDefault="00A8283A">
      <w:pPr>
        <w:pStyle w:val="Text1"/>
        <w:rPr>
          <w:noProof/>
        </w:rPr>
      </w:pPr>
      <w:r>
        <w:rPr>
          <w:noProof/>
        </w:rPr>
        <w:t xml:space="preserve">Η εκταμίευση της συνδρομής θα εξαρτηθεί από την ικανοποιητική εφαρμογή του οικονομικού προγράμματος μεταξύ Μολδαβίας και ΔΝΤ, το οποίο εγκρίθηκε </w:t>
      </w:r>
      <w:r>
        <w:rPr>
          <w:noProof/>
        </w:rPr>
        <w:t xml:space="preserve">από το Συμβούλιο στις 7 Νοεμβρίου 2016, μετά την εφαρμογή  ορισμένων προγενέστερων μέτρων από τις μολδαβικές αρχές. Επιπλέον, η Επιτροπή θα συμφωνήσει με τις αρχές της Μολδαβίας  ορισμένους όρους πολιτικής, όπως αυτοί ορίζονται στο μνημόνιο συνεννόησης, η </w:t>
      </w:r>
      <w:r>
        <w:rPr>
          <w:noProof/>
        </w:rPr>
        <w:t xml:space="preserve">ικανοποιητική τήρηση των οποίων αποτελεί προαπαιτούμενο για την αποδέσμευση των τριών δόσεων από την Επιτροπή. </w:t>
      </w:r>
    </w:p>
    <w:p w:rsidR="00EB61C4" w:rsidRDefault="00A8283A">
      <w:pPr>
        <w:pStyle w:val="Heading40"/>
      </w:pPr>
      <w:r>
        <w:t>1.5.2.</w:t>
      </w:r>
      <w:r>
        <w:tab/>
        <w:t>Προστιθέμενη αξία παρέμβασης της ΕΕ</w:t>
      </w:r>
    </w:p>
    <w:p w:rsidR="00EB61C4" w:rsidRDefault="00A8283A">
      <w:pPr>
        <w:pStyle w:val="Text1"/>
        <w:rPr>
          <w:noProof/>
        </w:rPr>
      </w:pPr>
      <w:r>
        <w:rPr>
          <w:noProof/>
        </w:rPr>
        <w:t>Η προτεινόμενη ΜΧΣ θα βοηθήσει τη Μολδαβία να αντιμετωπίσει τον οικονομικό κλονισμό που προκλήθηκε απ</w:t>
      </w:r>
      <w:r>
        <w:rPr>
          <w:noProof/>
        </w:rPr>
        <w:t>ό</w:t>
      </w:r>
      <w:r>
        <w:rPr>
          <w:noProof/>
          <w:color w:val="FF0000"/>
        </w:rPr>
        <w:t xml:space="preserve"> </w:t>
      </w:r>
      <w:r>
        <w:rPr>
          <w:noProof/>
        </w:rPr>
        <w:t>την εξασθένηση της δημοσιονομικής θέσης και του ισοζυγίου πληρωμών, έπειτα από μια μεγάλη τραπεζική απάτη το Νοέμβριο του 2014 και από την μείωση των εξαγωγών και των εμβασμάτων ως απόρροια της ύφεσης που έπληξε ορισμένους από τους βασικούς περιφερειακού</w:t>
      </w:r>
      <w:r>
        <w:rPr>
          <w:noProof/>
        </w:rPr>
        <w:t xml:space="preserve">ς εμπορικούς εταίρους της Μολδαβίας. Με αυτό τον τρόπο, θα συμβάλει στην προώθηση της μακροοικονομικής σταθερότητας και των διαρθρωτικών μεταρρυθμίσεων στη χώρα. Συμπληρώνοντας τους πόρους που χορηγούν οι διεθνείς χρηματοπιστωτικοί οργανισμοί, η ΕΕ και οι </w:t>
      </w:r>
      <w:r>
        <w:rPr>
          <w:noProof/>
        </w:rPr>
        <w:t xml:space="preserve">λοιποί χορηγοί, θα συμβάλει στη συνολική αποτελεσματικότητα του πακέτου χρηματοδοτικής στήριξης που χορηγήθηκε από τη διεθνή κοινότητα χορηγών. </w:t>
      </w:r>
    </w:p>
    <w:p w:rsidR="00EB61C4" w:rsidRDefault="00A8283A">
      <w:pPr>
        <w:pStyle w:val="Text1"/>
        <w:rPr>
          <w:noProof/>
        </w:rPr>
      </w:pPr>
      <w:r>
        <w:rPr>
          <w:noProof/>
        </w:rPr>
        <w:t xml:space="preserve">Το προτεινόμενο πρόγραμμα θα ενισχύσει επίσης τη δέσμευση της κυβέρνησης για μεταρρυθμίσεις και τη βούλησή της </w:t>
      </w:r>
      <w:r>
        <w:rPr>
          <w:noProof/>
        </w:rPr>
        <w:t xml:space="preserve">για στενότερες σχέσεις με την ΕΕ. Το αποτέλεσμα αυτό θα επιτευχθεί, μεταξύ άλλων, με την επιβολή κατάλληλων όρων για την εκταμίευση της συνδρομής. Σε ευρύτερο πλαίσιο, το πρόγραμμα θα μεταδώσει στις άλλες χώρες της περιοχής το μήνυμα ότι η ΕΕ συνεχίζει να </w:t>
      </w:r>
      <w:r>
        <w:rPr>
          <w:noProof/>
        </w:rPr>
        <w:t>στηρίζει χώρες που εισέρχονται σε μια σαφή διαδικασία πολιτικών μεταρρυθμίσεων σε περιόδους οικονομικών δυσκολιών.</w:t>
      </w:r>
    </w:p>
    <w:p w:rsidR="00EB61C4" w:rsidRDefault="00A8283A">
      <w:pPr>
        <w:pStyle w:val="Heading40"/>
      </w:pPr>
      <w:r>
        <w:t>1.5.3.</w:t>
      </w:r>
      <w:r>
        <w:tab/>
        <w:t>Διδάγματα που αποκομίστηκαν από ανάλογες εμπειρίες του παρελθόντος</w:t>
      </w:r>
    </w:p>
    <w:p w:rsidR="00EB61C4" w:rsidRDefault="00A8283A">
      <w:pPr>
        <w:pStyle w:val="Text1"/>
        <w:rPr>
          <w:noProof/>
        </w:rPr>
      </w:pPr>
      <w:r>
        <w:rPr>
          <w:noProof/>
        </w:rPr>
        <w:t xml:space="preserve">Από το 2004 έχουν διενεργηθεί συνολικά δεκαέξι εκ των υστέρων </w:t>
      </w:r>
      <w:r>
        <w:rPr>
          <w:noProof/>
        </w:rPr>
        <w:t>αξιολογήσεις πράξεων μακροοικονομικής χρηματοδοτικής συνδρομής. Σύμφωνα με το συμπέρασμα των αξιολογήσεων αυτών, οι πράξεις ΜΧΣ συμβάλλουν όντως, αν και ενίοτε σε μέτριο βαθμό και με έμμεσο τρόπο, στη βελτίωση της εξωτερικής βιωσιμότητας, στη μακροοικονομι</w:t>
      </w:r>
      <w:r>
        <w:rPr>
          <w:noProof/>
        </w:rPr>
        <w:t>κή σταθερότητα και στην επίτευξη διαρθρωτικών μεταρρυθμίσεων στην αποδέκτρια χώρα. Στις περισσότερες περιπτώσεις, οι πράξεις ΜΧΣ είχαν θετικό αντίκτυπο στο ισοζύγιο πληρωμών της αποδέκτριας χώρας και συνέβαλαν στη χαλάρωση των δημοσιονομικών περιορισμών τη</w:t>
      </w:r>
      <w:r>
        <w:rPr>
          <w:noProof/>
        </w:rPr>
        <w:t>ς. Οδήγησαν επίσης και σε σχετική αύξηση της οικονομικής ανάπτυξης</w:t>
      </w:r>
      <w:r>
        <w:rPr>
          <w:rStyle w:val="FootnoteReference"/>
          <w:noProof/>
        </w:rPr>
        <w:footnoteReference w:id="15"/>
      </w:r>
      <w:r>
        <w:rPr>
          <w:noProof/>
        </w:rPr>
        <w:t>.</w:t>
      </w:r>
      <w:r>
        <w:rPr>
          <w:rStyle w:val="CommentReference"/>
          <w:noProof/>
        </w:rPr>
        <w:t xml:space="preserve"> </w:t>
      </w:r>
    </w:p>
    <w:p w:rsidR="00EB61C4" w:rsidRDefault="00A8283A">
      <w:pPr>
        <w:pStyle w:val="Heading40"/>
      </w:pPr>
      <w:r>
        <w:t>1.5.4.</w:t>
      </w:r>
      <w:r>
        <w:tab/>
        <w:t>Συμβατότητα και ενδεχόμενη συνέργεια με άλλα κατάλληλα μέσα</w:t>
      </w:r>
    </w:p>
    <w:p w:rsidR="00EB61C4" w:rsidRDefault="00A8283A">
      <w:pPr>
        <w:pStyle w:val="Text1"/>
        <w:rPr>
          <w:noProof/>
        </w:rPr>
      </w:pPr>
      <w:r>
        <w:rPr>
          <w:noProof/>
        </w:rPr>
        <w:t>Η ΕΕ είναι ο σημαντικότερος χορηγός βοήθειας στη Μολδαβία. Η χρηματοδοτική ενίσχυση  για τη Μολδαβία στο πλαίσιο του Ευ</w:t>
      </w:r>
      <w:r>
        <w:rPr>
          <w:noProof/>
        </w:rPr>
        <w:t>ρωπαϊκού Μηχανισμού Γειτονίας και Εταιρικής Σχέσης (ΕΜΓΕΣ) για την περίοδο 2007-2013 ανήλθε σε 561 εκατομμύρια EUR. Αυτό περιλαμβάνει 63 εκατομμύρια EUR που χορηγήθηκαν το 2012-2013 μέσω του προγράμματος παροχής κινήτρων ολοκλήρωσης και συνεργασίας για την</w:t>
      </w:r>
      <w:r>
        <w:rPr>
          <w:noProof/>
        </w:rPr>
        <w:t xml:space="preserve"> Ανατολική Εταιρική Σχέση (EaPIC). Για την περίοδο 2014-2016, στο πλαίσιο του Ευρωπαϊκού Μηχανισμού Γειτονίας (ΕΜΓ), η συνδρομή της ΕΕ προς τη Μολδαβία ανήλθε στα 310 εκατομμύρια EUR. Τα κεφάλαια αυτά συμπληρώθηκαν με χρηματοδότηση από άλλα μέσα της ΕΕ, όπ</w:t>
      </w:r>
      <w:r>
        <w:rPr>
          <w:noProof/>
        </w:rPr>
        <w:t>ως το Ταμείο Επενδύσεων Γειτονίας. Εκτός από τα προγράμματα διμερούς συνεργασίας, η Μολδαβία επωφελείται επίσης από διάφορα περιφερειακά προγράμματα, κυρίως στον τομέα των μεταφορών, της ενέργειας και του περιβάλλοντος. Η Μολδαβία συμμετέχει επίσης σε πρωτ</w:t>
      </w:r>
      <w:r>
        <w:rPr>
          <w:noProof/>
        </w:rPr>
        <w:t xml:space="preserve">οβουλίες ανοικτές σε όλες τις γειτονικές χώρες, όπως: Erasmus +, TAIEX, SIGMA. Εκτός από τον ΕΜΓ, η Μολδαβία είναι επιλέξιμη για χρηματοδότηση στο πλαίσιο των παρακάτω θεματικών μέσων και προγραμμάτων: το Ευρωπαϊκό Μέσο για τη δημοκρατία και τα δικαιώματα </w:t>
      </w:r>
      <w:r>
        <w:rPr>
          <w:noProof/>
        </w:rPr>
        <w:t>του ανθρώπου (EIDHR), τον μηχανισμό που συμβάλλει στη σταθερότητα και την ειρήνη (IcSP), καθώς και  τα προγράμματα για τις οργανώσεις της κοινωνίας των πολιτών και τις τοπικές αρχές, για τη ανθρώπινη ανάπτυξη και τη μετανάστευση και το άσυλο. Η Ευρωπαϊκή Τ</w:t>
      </w:r>
      <w:r>
        <w:rPr>
          <w:noProof/>
        </w:rPr>
        <w:t xml:space="preserve">ράπεζα Επενδύσεων έχει χορηγήσει δάνεια ύψους 658 εκατομμυρίων EUR από το 2007, εκ των οποίων 50 εκατομμύρια EUR το 2016. </w:t>
      </w:r>
    </w:p>
    <w:p w:rsidR="00EB61C4" w:rsidRDefault="00A8283A">
      <w:pPr>
        <w:pStyle w:val="Text1"/>
        <w:rPr>
          <w:noProof/>
        </w:rPr>
      </w:pPr>
      <w:r>
        <w:rPr>
          <w:noProof/>
        </w:rPr>
        <w:t>Η καθοριστική προστιθέμενη αξία της ΜΧΣ σε σύγκριση με άλλα ενωσιακά μέσα θα είναι η δημιουργία ενός σταθερού μακροοικονομικού πλαισί</w:t>
      </w:r>
      <w:r>
        <w:rPr>
          <w:noProof/>
        </w:rPr>
        <w:t>ου, συμπεριλαμβανομένης της προαγωγής διατηρήσιμου ισοζυγίου πληρωμών και διατηρήσιμης δημοσιονομικής κατάστασης, και ενός κατάλληλου πλαισίου για διαρθρωτικές μεταρρυθμίσεις. Η ΜΧΣ δεν έχει χαρακτήρα τακτικής χρηματοδοτικής συνδρομής για την οικονομική κα</w:t>
      </w:r>
      <w:r>
        <w:rPr>
          <w:noProof/>
        </w:rPr>
        <w:t>ι κοινωνική ανάπτυξη των δικαιούχων χωρών. Θα διακοπεί μόλις η κατάσταση των εξωτερικών συναλλαγών της χώρας επανέλθει σε διατηρήσιμη τροχιά. Στη συνέχεια θα χρησιμοποιηθούν τα κανονικά μέσα συνδρομής της ΕΕ.</w:t>
      </w:r>
    </w:p>
    <w:p w:rsidR="00EB61C4" w:rsidRDefault="00A8283A">
      <w:pPr>
        <w:pStyle w:val="Text1"/>
        <w:rPr>
          <w:noProof/>
        </w:rPr>
      </w:pPr>
      <w:r>
        <w:rPr>
          <w:noProof/>
        </w:rPr>
        <w:t xml:space="preserve">Η ΜΧΣ θα πρέπει επίσης να είναι συμπληρωματική </w:t>
      </w:r>
      <w:r>
        <w:rPr>
          <w:noProof/>
        </w:rPr>
        <w:t>των παρεμβάσεων των διεθνών χρηματοδοτικών οργανισμών, ιδιαίτερα δε των προγραμμάτων εξυγίανσης και μεταρρύθμισης που στηρίζονται από τον Διευρυμένο Πιστωτικό Μηχανισμό του ΔΝΤ και το δάνειο ανάπτυξης πολιτικής της Παγκόσμιας Τράπεζας.</w:t>
      </w:r>
    </w:p>
    <w:p w:rsidR="00EB61C4" w:rsidRDefault="00A8283A">
      <w:pPr>
        <w:pStyle w:val="Heading30"/>
        <w:rPr>
          <w:b/>
        </w:rPr>
      </w:pPr>
      <w:r>
        <w:rPr>
          <w:b/>
        </w:rPr>
        <w:t>1.6.</w:t>
      </w:r>
      <w:r>
        <w:tab/>
      </w:r>
      <w:r>
        <w:rPr>
          <w:b/>
        </w:rPr>
        <w:t>Διάρκεια και δη</w:t>
      </w:r>
      <w:r>
        <w:rPr>
          <w:b/>
        </w:rPr>
        <w:t xml:space="preserve">μοσιονομικές επιπτώσεις </w:t>
      </w:r>
    </w:p>
    <w:p w:rsidR="00EB61C4" w:rsidRDefault="00A8283A">
      <w:pPr>
        <w:pStyle w:val="Text1"/>
        <w:rPr>
          <w:noProof/>
        </w:rPr>
      </w:pPr>
      <w:r>
        <w:rPr>
          <w:noProof/>
        </w:rPr>
        <w:t>X</w:t>
      </w:r>
      <w:r>
        <w:rPr>
          <w:b/>
          <w:i/>
          <w:noProof/>
        </w:rPr>
        <w:t xml:space="preserve"> </w:t>
      </w:r>
      <w:r>
        <w:rPr>
          <w:noProof/>
        </w:rPr>
        <w:t xml:space="preserve">Πρόταση/πρωτοβουλία </w:t>
      </w:r>
      <w:r>
        <w:rPr>
          <w:b/>
          <w:noProof/>
        </w:rPr>
        <w:t xml:space="preserve">περιορισμένης διάρκειας </w:t>
      </w:r>
    </w:p>
    <w:p w:rsidR="00EB61C4" w:rsidRDefault="00A8283A">
      <w:pPr>
        <w:pStyle w:val="Text1"/>
        <w:rPr>
          <w:noProof/>
        </w:rPr>
      </w:pPr>
      <w:r>
        <w:rPr>
          <w:noProof/>
        </w:rPr>
        <w:t xml:space="preserve">X Η πρόταση/πρωτοβουλία ισχύει για 2 έτη από την έναρξη ισχύος του μνημονίου συνεννόησης, μνεία του οποίου γίνεται στο άρθρο 1 παράγραφος 4 της απόφασης </w:t>
      </w:r>
    </w:p>
    <w:p w:rsidR="00EB61C4" w:rsidRDefault="00A8283A">
      <w:pPr>
        <w:pStyle w:val="Text1"/>
        <w:rPr>
          <w:noProof/>
        </w:rPr>
      </w:pPr>
      <w:r>
        <w:rPr>
          <w:noProof/>
        </w:rPr>
        <w:t>X Οι δημοσιονομικές επιπτώσεις</w:t>
      </w:r>
      <w:r>
        <w:rPr>
          <w:noProof/>
        </w:rPr>
        <w:t xml:space="preserve"> αναμένεται να γίνουν αισθητές από το 2016 έως</w:t>
      </w:r>
      <w:r>
        <w:rPr>
          <w:rStyle w:val="FootnoteReference"/>
          <w:noProof/>
        </w:rPr>
        <w:footnoteReference w:id="16"/>
      </w:r>
      <w:r>
        <w:rPr>
          <w:noProof/>
        </w:rPr>
        <w:t xml:space="preserve"> το 2020 </w:t>
      </w:r>
    </w:p>
    <w:p w:rsidR="00EB61C4" w:rsidRDefault="00A8283A">
      <w:pPr>
        <w:pStyle w:val="Heading30"/>
        <w:rPr>
          <w:b/>
        </w:rPr>
      </w:pPr>
      <w:r>
        <w:rPr>
          <w:b/>
        </w:rPr>
        <w:t>1.7.</w:t>
      </w:r>
      <w:r>
        <w:tab/>
      </w:r>
      <w:r>
        <w:rPr>
          <w:b/>
        </w:rPr>
        <w:t>Προβλεπόμενος(-οι) τρόπος(-οι) διαχείρισης</w:t>
      </w:r>
      <w:r>
        <w:rPr>
          <w:rStyle w:val="FootnoteReference"/>
          <w:b/>
        </w:rPr>
        <w:footnoteReference w:id="17"/>
      </w:r>
      <w:r>
        <w:rPr>
          <w:b/>
        </w:rPr>
        <w:t xml:space="preserve"> </w:t>
      </w:r>
    </w:p>
    <w:p w:rsidR="00EB61C4" w:rsidRDefault="00A8283A">
      <w:pPr>
        <w:pStyle w:val="Text1"/>
        <w:rPr>
          <w:noProof/>
        </w:rPr>
      </w:pPr>
      <w:r>
        <w:rPr>
          <w:noProof/>
        </w:rPr>
        <w:t xml:space="preserve">X </w:t>
      </w:r>
      <w:r>
        <w:rPr>
          <w:b/>
          <w:noProof/>
        </w:rPr>
        <w:t>Άμεση διαχείριση</w:t>
      </w:r>
      <w:r>
        <w:rPr>
          <w:noProof/>
        </w:rPr>
        <w:t xml:space="preserve"> από την Επιτροπή </w:t>
      </w:r>
    </w:p>
    <w:p w:rsidR="00EB61C4" w:rsidRDefault="00A8283A">
      <w:pPr>
        <w:pStyle w:val="Heading20"/>
        <w:rPr>
          <w:b/>
          <w:lang w:val="el-GR"/>
        </w:rPr>
      </w:pPr>
      <w:r>
        <w:rPr>
          <w:b/>
          <w:lang w:val="el-GR"/>
        </w:rPr>
        <w:t>2.</w:t>
      </w:r>
      <w:r>
        <w:rPr>
          <w:lang w:val="el-GR"/>
        </w:rPr>
        <w:tab/>
      </w:r>
      <w:r>
        <w:rPr>
          <w:b/>
          <w:lang w:val="el-GR"/>
        </w:rPr>
        <w:t xml:space="preserve">ΜΕΤΡΑ ΔΙΑΧΕΙΡΙΣΗΣ </w:t>
      </w:r>
    </w:p>
    <w:p w:rsidR="00EB61C4" w:rsidRDefault="00A8283A">
      <w:pPr>
        <w:pStyle w:val="Heading30"/>
        <w:rPr>
          <w:b/>
        </w:rPr>
      </w:pPr>
      <w:r>
        <w:rPr>
          <w:b/>
        </w:rPr>
        <w:t>2.1.</w:t>
      </w:r>
      <w:r>
        <w:tab/>
      </w:r>
      <w:r>
        <w:rPr>
          <w:b/>
        </w:rPr>
        <w:t xml:space="preserve">Διατάξεις στον τομέα της παρακολούθησης και της υποβολής εκθέσεων </w:t>
      </w:r>
    </w:p>
    <w:p w:rsidR="00EB61C4" w:rsidRDefault="00A8283A">
      <w:pPr>
        <w:pStyle w:val="Text1"/>
        <w:rPr>
          <w:noProof/>
        </w:rPr>
      </w:pPr>
      <w:r>
        <w:rPr>
          <w:noProof/>
        </w:rPr>
        <w:t>Η παρούσα ενίσχυση</w:t>
      </w:r>
      <w:r>
        <w:rPr>
          <w:noProof/>
        </w:rPr>
        <w:t xml:space="preserve"> είναι μακροοικονομικής φύσεως και έχει σχεδιαστεί έτσι ώστε να είναι συμβατή με το οικονομικό πρόγραμμα που στηρίζεται από το ΔΝΤ. Οι υπηρεσίες της Επιτροπής θα παρακολουθούν την πορεία της δράσης με βάση  την πρόοδο που πραγματοποιείται στην εφαρμογή του</w:t>
      </w:r>
      <w:r>
        <w:rPr>
          <w:noProof/>
        </w:rPr>
        <w:t xml:space="preserve"> προγράμματος του ΔΝΤ και των ειδικών μέτρων μεταρρύθμισης που θα συμφωνηθούν με τις αρχές της Μολδαβίας σε μνημόνιο συνεννόησης (βλέπε επίσης σημείο 1.4.4). </w:t>
      </w:r>
    </w:p>
    <w:p w:rsidR="00EB61C4" w:rsidRDefault="00A8283A">
      <w:pPr>
        <w:pStyle w:val="Heading30"/>
        <w:rPr>
          <w:b/>
        </w:rPr>
      </w:pPr>
      <w:r>
        <w:rPr>
          <w:b/>
        </w:rPr>
        <w:t>2.2.</w:t>
      </w:r>
      <w:r>
        <w:tab/>
      </w:r>
      <w:r>
        <w:rPr>
          <w:b/>
        </w:rPr>
        <w:t xml:space="preserve">Σύστημα διαχείρισης και ελέγχου </w:t>
      </w:r>
    </w:p>
    <w:p w:rsidR="00EB61C4" w:rsidRDefault="00A8283A">
      <w:pPr>
        <w:pStyle w:val="Heading40"/>
        <w:rPr>
          <w:b/>
        </w:rPr>
      </w:pPr>
      <w:r>
        <w:t>2.2.1.</w:t>
      </w:r>
      <w:r>
        <w:tab/>
        <w:t>Κίνδυνος(-οι) που έχει(-ουν) εντοπιστεί</w:t>
      </w:r>
      <w:r>
        <w:rPr>
          <w:b/>
        </w:rPr>
        <w:t xml:space="preserve"> </w:t>
      </w:r>
    </w:p>
    <w:p w:rsidR="00EB61C4" w:rsidRDefault="00A8283A">
      <w:pPr>
        <w:pStyle w:val="Text1"/>
        <w:rPr>
          <w:noProof/>
        </w:rPr>
      </w:pPr>
      <w:r>
        <w:rPr>
          <w:noProof/>
        </w:rPr>
        <w:t>Υπάρχουν πι</w:t>
      </w:r>
      <w:r>
        <w:rPr>
          <w:noProof/>
        </w:rPr>
        <w:t xml:space="preserve">στωτικοί κίνδυνοι, κίνδυνοι πολιτικής και πολιτικοί κίνδυνοι συνδεδεμένοι με την προτεινόμενη πράξη ΜΧΣ. </w:t>
      </w:r>
    </w:p>
    <w:p w:rsidR="00EB61C4" w:rsidRDefault="00A8283A">
      <w:pPr>
        <w:pStyle w:val="Text1"/>
        <w:rPr>
          <w:noProof/>
        </w:rPr>
      </w:pPr>
      <w:r>
        <w:rPr>
          <w:noProof/>
        </w:rPr>
        <w:t>Υπάρχει κίνδυνος η μακροοικονομική χρηματοδοτική συνδρομή, η οποία δεν καλύπτει συγκεκριμένες δαπάνες, να χρησιμοποιηθεί παρατύπως. Γενικά, ο κίνδυνος</w:t>
      </w:r>
      <w:r>
        <w:rPr>
          <w:noProof/>
        </w:rPr>
        <w:t xml:space="preserve"> αυτός συνδέεται με παράγοντες όπως η ποιότητα των συστημάτων διαχείρισης της κεντρικής τράπεζας και του Υπουργείου Οικονομικών και η καταλληλότητα των δυνατοτήτων εσωτερικού και εξωτερικού ελέγχου. </w:t>
      </w:r>
    </w:p>
    <w:p w:rsidR="00EB61C4" w:rsidRDefault="00A8283A">
      <w:pPr>
        <w:pStyle w:val="Text1"/>
        <w:rPr>
          <w:noProof/>
        </w:rPr>
      </w:pPr>
      <w:r>
        <w:rPr>
          <w:noProof/>
        </w:rPr>
        <w:t>Ένας ακόμη βασικός κίνδυνος που σχετίζεται με την εν λόγ</w:t>
      </w:r>
      <w:r>
        <w:rPr>
          <w:noProof/>
        </w:rPr>
        <w:t>ω πράξη οφείλεται στην περιφερειακή οικονομική και πολιτική αβεβαιότητα, η οποία έχει άμεσες επιπτώσεις στην οικονομία της Μολδαβίας. Οι οικονομικές επιδόσεις των βασικών περιφερειακών εμπορικών εταίρων της Μολδαβίας (κυρίως της Ρωσίας αλλά και της Λευκορω</w:t>
      </w:r>
      <w:r>
        <w:rPr>
          <w:noProof/>
        </w:rPr>
        <w:t xml:space="preserve">σίας και της Ουκρανίας), επηρεάζουν άμεσα τις εξαγωγές και τα εμβάσματα. Στο εσωτερικό μέτωπο, ο βασικός κίνδυνος συνδέεται με δυσκολίες στη διαδικασία της οικονομικής μεταρρύθμισης και στις υφιστάμενες μακροοικονομικές ευπάθειες. </w:t>
      </w:r>
    </w:p>
    <w:p w:rsidR="00EB61C4" w:rsidRDefault="00A8283A">
      <w:pPr>
        <w:pStyle w:val="Text1"/>
        <w:rPr>
          <w:i/>
          <w:noProof/>
        </w:rPr>
      </w:pPr>
      <w:r>
        <w:rPr>
          <w:noProof/>
        </w:rPr>
        <w:tab/>
        <w:t>Τελικά, υπάρχουν κίνδυν</w:t>
      </w:r>
      <w:r>
        <w:rPr>
          <w:noProof/>
        </w:rPr>
        <w:t>οι οφειλόμενοι σε πιθανή εξασθένιση του ευρωπαϊκού και παγκόσμιου περιβάλλοντος και αύξηση των διεθνών τιμών της ενέργειας και των τροφίμων.</w:t>
      </w:r>
    </w:p>
    <w:p w:rsidR="00EB61C4" w:rsidRDefault="00A8283A">
      <w:pPr>
        <w:pStyle w:val="Heading40"/>
      </w:pPr>
      <w:r>
        <w:t>2.2.2.</w:t>
      </w:r>
      <w:r>
        <w:tab/>
        <w:t xml:space="preserve">Προβλεπόμενη(-ες) μέθοδος(-οι) ελέγχου </w:t>
      </w:r>
    </w:p>
    <w:p w:rsidR="00EB61C4" w:rsidRDefault="00A8283A">
      <w:pPr>
        <w:pStyle w:val="Text1"/>
        <w:rPr>
          <w:noProof/>
        </w:rPr>
      </w:pPr>
      <w:r>
        <w:rPr>
          <w:noProof/>
        </w:rPr>
        <w:t xml:space="preserve">Η μακροοικονομική χρηματοδοτική συνδρομή υπόκειται στις διαδικασίες </w:t>
      </w:r>
      <w:r>
        <w:rPr>
          <w:noProof/>
        </w:rPr>
        <w:t xml:space="preserve">εξακρίβωσης και ελέγχου υπό την ευθύνη της Επιτροπής, συμπεριλαμβανομένης της Ευρωπαϊκής Υπηρεσίας Καταπολέμησης της Απάτης (OLAF), και του Ελεγκτικού Συνεδρίου. </w:t>
      </w:r>
    </w:p>
    <w:p w:rsidR="00EB61C4" w:rsidRDefault="00A8283A">
      <w:pPr>
        <w:pStyle w:val="Heading40"/>
      </w:pPr>
      <w:r>
        <w:t>2.2.3.</w:t>
      </w:r>
      <w:r>
        <w:tab/>
        <w:t>Κόστος και όφελος των ελέγχων και πιθανό ποσοστό μη συμμόρφωσης</w:t>
      </w:r>
    </w:p>
    <w:p w:rsidR="00EB61C4" w:rsidRDefault="00A8283A">
      <w:pPr>
        <w:pStyle w:val="Text1"/>
        <w:rPr>
          <w:noProof/>
        </w:rPr>
      </w:pPr>
      <w:r>
        <w:rPr>
          <w:noProof/>
        </w:rPr>
        <w:t xml:space="preserve">Οι βασικές δαπάνες για την Επιτροπή που σχετίζονται με τις μεθόδους επαλήθευσης και ελέγχου, περιγράφονται στον πίνακα 3.2.1. Επιπλέον, υπάρχουν και κόστη για το Ελεγκτικό Συνέδριο και για τις πιθανές παρεμβάσεις της Ευρωπαϊκής Υπηρεσίας Καταπολέμησης της </w:t>
      </w:r>
      <w:r>
        <w:rPr>
          <w:noProof/>
        </w:rPr>
        <w:t xml:space="preserve">Απάτης. Η επιχειρησιακή αξιολόγηση, που πραγματοποιήθηκε από τις υπηρεσίες της Επιτροπής το 2016, όχι μόνον συμβάλλει στην αξιολόγηση των κινδύνων κατάχρησης των κονδυλίων, αλλά έχει και το παράπλευρο όφελος ότι παρέχει χρήσιμες πληροφορίες σχετικά με τις </w:t>
      </w:r>
      <w:r>
        <w:rPr>
          <w:noProof/>
        </w:rPr>
        <w:t>απαραίτητες μεταρρυθμίσεις στον τομέα της διαχείρισης των δημόσιων οικονομικών, κάτι το οποίο αντανακλάται στους όρους πολιτικής της πράξης. Όσον αφορά το πιθανό ποσοστό μη συμμόρφωσης, ο κίνδυνος μη συμμόρφωσης (μη αποπληρωμή του δανείου ή κατάχρηση των κ</w:t>
      </w:r>
      <w:r>
        <w:rPr>
          <w:noProof/>
        </w:rPr>
        <w:t xml:space="preserve">ονδυλίων) κρίνεται χαμηλός βάσει της πείρας που έχει συσσωρευτεί σε σχέση με τον μηχανισμό της ΜΧΣ από τη δημιουργία του. </w:t>
      </w:r>
    </w:p>
    <w:p w:rsidR="00EB61C4" w:rsidRDefault="00A8283A">
      <w:pPr>
        <w:pStyle w:val="Heading40"/>
      </w:pPr>
      <w:r>
        <w:t>2.3.</w:t>
      </w:r>
      <w:r>
        <w:tab/>
        <w:t xml:space="preserve">Μέτρα για την πρόληψη περιπτώσεων απάτης και παρατυπίας </w:t>
      </w:r>
    </w:p>
    <w:p w:rsidR="00EB61C4" w:rsidRDefault="00A8283A">
      <w:pPr>
        <w:pStyle w:val="Text1"/>
        <w:rPr>
          <w:noProof/>
        </w:rPr>
      </w:pPr>
      <w:r>
        <w:rPr>
          <w:noProof/>
        </w:rPr>
        <w:t>Προκειμένου να μετριαστούν οι κίνδυνοι παράτυπης χρήσης, θα ληφθούν ορι</w:t>
      </w:r>
      <w:r>
        <w:rPr>
          <w:noProof/>
        </w:rPr>
        <w:t xml:space="preserve">σμένα μέτρα: </w:t>
      </w:r>
    </w:p>
    <w:p w:rsidR="00EB61C4" w:rsidRDefault="00A8283A">
      <w:pPr>
        <w:pStyle w:val="Text1"/>
        <w:rPr>
          <w:noProof/>
        </w:rPr>
      </w:pPr>
      <w:r>
        <w:rPr>
          <w:noProof/>
        </w:rPr>
        <w:t>Πρώτον, η δανειακή συμφωνία και η συμφωνία επιχορήγησης θα συμπεριλαμβάνουν μια δέσμη διατάξεων σχετικά με την επιθεώρηση, την πρόληψη της διαφθοράς, τους λογιστικούς ελέγχους και την ανάκτηση κεφαλαίων σε περίπτωση απάτης ή διαφθοράς. Επίσης</w:t>
      </w:r>
      <w:r>
        <w:rPr>
          <w:noProof/>
        </w:rPr>
        <w:t xml:space="preserve">, η συνδρομή καταβάλλεται σε ειδικό λογαριασμό στην Κεντρική Τράπεζα της Μολδαβίας. </w:t>
      </w:r>
    </w:p>
    <w:p w:rsidR="00EB61C4" w:rsidRDefault="00A8283A">
      <w:pPr>
        <w:pStyle w:val="Text1"/>
        <w:rPr>
          <w:noProof/>
        </w:rPr>
      </w:pPr>
      <w:r>
        <w:rPr>
          <w:noProof/>
        </w:rPr>
        <w:t>Επιπλέον, οι υπηρεσίες της Επιτροπής ολοκλήρωσαν, τον Φεβρουάριο του 2016, με τη βοήθεια εξωτερικών συμβούλων, μια επιχειρησιακή αξιολόγηση προκειμένου να αξιολογήσουν την</w:t>
      </w:r>
      <w:r>
        <w:rPr>
          <w:noProof/>
        </w:rPr>
        <w:t xml:space="preserve"> αξιοπιστία των χρηματοπιστωτικών κυκλωμάτων και των διοικητικών διαδικασιών που συνδέονται με αυτό το είδος συνδρομής. Η αξιολόγηση καταλήγει στο συμπέρασμα ότι η σημερινή κατάσταση της διαχείρισης και των χρηματοοικονομικών κυκλωμάτων της Μολδαβίας είναι</w:t>
      </w:r>
      <w:r>
        <w:rPr>
          <w:noProof/>
        </w:rPr>
        <w:t xml:space="preserve"> σε γενικές γραμμές επαρκής για τη διαχείριση μιας νέας πράξης ΜΧΣ, μολονότι εξακολουθούν να υπάρχουν σημαντικές αδυναμίες. </w:t>
      </w:r>
    </w:p>
    <w:p w:rsidR="00EB61C4" w:rsidRDefault="00A8283A">
      <w:pPr>
        <w:pStyle w:val="Text1"/>
        <w:rPr>
          <w:noProof/>
        </w:rPr>
      </w:pPr>
      <w:r>
        <w:rPr>
          <w:noProof/>
        </w:rPr>
        <w:t xml:space="preserve">Τέλος, η συνδρομή υπόκειται στις διαδικασίες εξακρίβωσης και ελέγχου υπό την ευθύνη της Επιτροπής, συμπεριλαμβανομένης της </w:t>
      </w:r>
      <w:r>
        <w:rPr>
          <w:noProof/>
        </w:rPr>
        <w:t>Ευρωπαϊκής Υπηρεσίας Καταπολέμησης της Απάτης (OLAF) και του Ελεγκτικού Συνεδρίου.</w:t>
      </w:r>
    </w:p>
    <w:p w:rsidR="00EB61C4" w:rsidRDefault="00A8283A">
      <w:pPr>
        <w:pStyle w:val="Heading20"/>
        <w:rPr>
          <w:b/>
          <w:lang w:val="el-GR"/>
        </w:rPr>
      </w:pPr>
      <w:r>
        <w:rPr>
          <w:b/>
          <w:lang w:val="el-GR"/>
        </w:rPr>
        <w:t>3.</w:t>
      </w:r>
      <w:r>
        <w:rPr>
          <w:lang w:val="el-GR"/>
        </w:rPr>
        <w:tab/>
      </w:r>
      <w:r>
        <w:rPr>
          <w:b/>
          <w:lang w:val="el-GR"/>
        </w:rPr>
        <w:t xml:space="preserve">ΕΚΤΙΜΩΜΕΝΕΣ ΔΗΜΟΣΙΟΝΟΜΙΚΕΣ ΕΠΙΠΤΩΣΕΙΣ ΤΗΣ ΠΡΟΤΑΣΗΣ/ΠΡΩΤΟΒΟΥΛΙΑΣ </w:t>
      </w:r>
    </w:p>
    <w:p w:rsidR="00EB61C4" w:rsidRDefault="00EB61C4">
      <w:pPr>
        <w:pStyle w:val="Heading20"/>
        <w:rPr>
          <w:b/>
          <w:lang w:val="el-GR"/>
        </w:rPr>
      </w:pPr>
    </w:p>
    <w:p w:rsidR="00EB61C4" w:rsidRDefault="00A8283A">
      <w:pPr>
        <w:pStyle w:val="Heading30"/>
        <w:rPr>
          <w:b/>
        </w:rPr>
      </w:pPr>
      <w:r>
        <w:rPr>
          <w:b/>
        </w:rPr>
        <w:t>3.1.</w:t>
      </w:r>
      <w:r>
        <w:tab/>
      </w:r>
      <w:r>
        <w:rPr>
          <w:b/>
        </w:rPr>
        <w:t>Τομέας(-είς) του πολυετούς δημοσιονομικού πλαισίου και γραμμή(-ές) δαπανών του προϋπολογισμού που ε</w:t>
      </w:r>
      <w:r>
        <w:rPr>
          <w:b/>
        </w:rPr>
        <w:t>πηρεάζονται</w:t>
      </w:r>
      <w:r>
        <w:rPr>
          <w:b/>
          <w:i/>
        </w:rPr>
        <w:t xml:space="preserve"> </w:t>
      </w:r>
    </w:p>
    <w:p w:rsidR="00EB61C4" w:rsidRDefault="00A8283A">
      <w:pPr>
        <w:pStyle w:val="Text1"/>
        <w:rPr>
          <w:noProof/>
        </w:rPr>
      </w:pPr>
      <w:r>
        <w:rPr>
          <w:noProof/>
        </w:rPr>
        <w:t>Υφιστάμενες γραμμές του προϋπολογισμού</w:t>
      </w:r>
    </w:p>
    <w:p w:rsidR="00EB61C4" w:rsidRDefault="00A8283A">
      <w:pPr>
        <w:pStyle w:val="Text1"/>
        <w:rPr>
          <w:noProof/>
        </w:rPr>
      </w:pPr>
      <w:r>
        <w:rPr>
          <w:noProof/>
        </w:rPr>
        <w:t>01 03 02: Μακροοικονομική χρηματοδοτική συνδρομή</w:t>
      </w:r>
    </w:p>
    <w:p w:rsidR="00EB61C4" w:rsidRDefault="00A8283A">
      <w:pPr>
        <w:pStyle w:val="Text1"/>
        <w:rPr>
          <w:noProof/>
        </w:rPr>
      </w:pPr>
      <w:r>
        <w:rPr>
          <w:noProof/>
        </w:rPr>
        <w:t>01 03 06 – Τροφοδότηση του Ταμείου Εγγυήσεων</w:t>
      </w:r>
    </w:p>
    <w:p w:rsidR="00EB61C4" w:rsidRDefault="00A8283A">
      <w:pPr>
        <w:pStyle w:val="Text1"/>
        <w:spacing w:after="240"/>
        <w:rPr>
          <w:noProof/>
        </w:rPr>
      </w:pPr>
      <w:r>
        <w:rPr>
          <w:noProof/>
          <w:u w:val="single"/>
        </w:rPr>
        <w:t>Κατά σειρά</w:t>
      </w:r>
      <w:r>
        <w:rPr>
          <w:noProof/>
        </w:rPr>
        <w:t xml:space="preserve"> τομέων πολυετούς δημοσιονομικού πλαισίου και γραμμών του προϋπολογισμού.</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985"/>
        <w:gridCol w:w="1276"/>
        <w:gridCol w:w="1134"/>
        <w:gridCol w:w="1134"/>
        <w:gridCol w:w="1275"/>
        <w:gridCol w:w="1277"/>
      </w:tblGrid>
      <w:tr w:rsidR="00EB61C4">
        <w:tc>
          <w:tcPr>
            <w:tcW w:w="1417" w:type="dxa"/>
            <w:vMerge w:val="restart"/>
            <w:vAlign w:val="center"/>
          </w:tcPr>
          <w:p w:rsidR="00EB61C4" w:rsidRDefault="00A8283A">
            <w:pPr>
              <w:pStyle w:val="Pagedecouverture"/>
              <w:rPr>
                <w:noProof/>
                <w:sz w:val="22"/>
              </w:rPr>
            </w:pPr>
            <w:r>
              <w:rPr>
                <w:noProof/>
                <w:sz w:val="22"/>
              </w:rPr>
              <w:t>Τομέας του πολυετούς δημοσ</w:t>
            </w:r>
            <w:r>
              <w:rPr>
                <w:noProof/>
                <w:sz w:val="22"/>
              </w:rPr>
              <w:t>ιονομικού πλαισίου</w:t>
            </w:r>
          </w:p>
        </w:tc>
        <w:tc>
          <w:tcPr>
            <w:tcW w:w="1985" w:type="dxa"/>
            <w:vAlign w:val="center"/>
          </w:tcPr>
          <w:p w:rsidR="00EB61C4" w:rsidRDefault="00A8283A">
            <w:pPr>
              <w:pStyle w:val="Pagedecouverture"/>
              <w:jc w:val="center"/>
              <w:rPr>
                <w:noProof/>
                <w:sz w:val="22"/>
              </w:rPr>
            </w:pPr>
            <w:r>
              <w:rPr>
                <w:noProof/>
                <w:sz w:val="22"/>
              </w:rPr>
              <w:t>Γραμμή προϋπολογισμού</w:t>
            </w:r>
          </w:p>
        </w:tc>
        <w:tc>
          <w:tcPr>
            <w:tcW w:w="1276" w:type="dxa"/>
            <w:vAlign w:val="center"/>
          </w:tcPr>
          <w:p w:rsidR="00EB61C4" w:rsidRDefault="00A8283A">
            <w:pPr>
              <w:pStyle w:val="Pagedecouverture"/>
              <w:jc w:val="center"/>
              <w:rPr>
                <w:noProof/>
                <w:sz w:val="22"/>
              </w:rPr>
            </w:pPr>
            <w:r>
              <w:rPr>
                <w:noProof/>
                <w:sz w:val="22"/>
              </w:rPr>
              <w:t xml:space="preserve">Είδος της </w:t>
            </w:r>
            <w:r>
              <w:rPr>
                <w:b/>
                <w:noProof/>
                <w:sz w:val="22"/>
              </w:rPr>
              <w:br/>
            </w:r>
            <w:r>
              <w:rPr>
                <w:noProof/>
                <w:sz w:val="22"/>
              </w:rPr>
              <w:t>δαπάνης</w:t>
            </w:r>
          </w:p>
        </w:tc>
        <w:tc>
          <w:tcPr>
            <w:tcW w:w="4820" w:type="dxa"/>
            <w:gridSpan w:val="4"/>
            <w:vAlign w:val="center"/>
          </w:tcPr>
          <w:p w:rsidR="00EB61C4" w:rsidRDefault="00A8283A">
            <w:pPr>
              <w:pStyle w:val="Pagedecouverture"/>
              <w:jc w:val="center"/>
              <w:rPr>
                <w:noProof/>
                <w:sz w:val="22"/>
              </w:rPr>
            </w:pPr>
            <w:r>
              <w:rPr>
                <w:noProof/>
                <w:sz w:val="22"/>
              </w:rPr>
              <w:t>Συμμετοχή</w:t>
            </w:r>
          </w:p>
        </w:tc>
      </w:tr>
      <w:tr w:rsidR="00EB61C4">
        <w:tc>
          <w:tcPr>
            <w:tcW w:w="1417" w:type="dxa"/>
            <w:vMerge/>
            <w:vAlign w:val="center"/>
          </w:tcPr>
          <w:p w:rsidR="00EB61C4" w:rsidRDefault="00EB61C4">
            <w:pPr>
              <w:pStyle w:val="Pagedecouverture"/>
              <w:rPr>
                <w:noProof/>
                <w:sz w:val="22"/>
              </w:rPr>
            </w:pPr>
          </w:p>
        </w:tc>
        <w:tc>
          <w:tcPr>
            <w:tcW w:w="1985" w:type="dxa"/>
            <w:vAlign w:val="center"/>
          </w:tcPr>
          <w:p w:rsidR="00EB61C4" w:rsidRDefault="00A8283A">
            <w:pPr>
              <w:pStyle w:val="Pagedecouverture"/>
              <w:rPr>
                <w:noProof/>
                <w:sz w:val="22"/>
              </w:rPr>
            </w:pPr>
            <w:r>
              <w:rPr>
                <w:noProof/>
                <w:sz w:val="22"/>
              </w:rPr>
              <w:t xml:space="preserve">Αριθμός </w:t>
            </w:r>
            <w:r>
              <w:rPr>
                <w:noProof/>
                <w:sz w:val="22"/>
              </w:rPr>
              <w:br/>
              <w:t>[Περιγραφή.................................]</w:t>
            </w:r>
          </w:p>
        </w:tc>
        <w:tc>
          <w:tcPr>
            <w:tcW w:w="1276" w:type="dxa"/>
            <w:vAlign w:val="center"/>
          </w:tcPr>
          <w:p w:rsidR="00EB61C4" w:rsidRDefault="00A8283A">
            <w:pPr>
              <w:pStyle w:val="Pagedecouverture"/>
              <w:rPr>
                <w:noProof/>
                <w:sz w:val="22"/>
              </w:rPr>
            </w:pPr>
            <w:r>
              <w:rPr>
                <w:noProof/>
                <w:sz w:val="22"/>
              </w:rPr>
              <w:t>ΔΠ/ΜΔΠ</w:t>
            </w:r>
            <w:r>
              <w:rPr>
                <w:noProof/>
                <w:sz w:val="22"/>
              </w:rPr>
              <w:br/>
            </w:r>
            <w:r>
              <w:rPr>
                <w:noProof/>
                <w:sz w:val="22"/>
                <w:vertAlign w:val="superscript"/>
              </w:rPr>
              <w:t>(</w:t>
            </w:r>
            <w:r>
              <w:rPr>
                <w:rStyle w:val="FootnoteReference"/>
                <w:noProof/>
                <w:sz w:val="22"/>
              </w:rPr>
              <w:footnoteReference w:id="18"/>
            </w:r>
            <w:r>
              <w:rPr>
                <w:noProof/>
                <w:sz w:val="22"/>
                <w:vertAlign w:val="superscript"/>
              </w:rPr>
              <w:t>)</w:t>
            </w:r>
          </w:p>
          <w:p w:rsidR="00EB61C4" w:rsidRDefault="00EB61C4">
            <w:pPr>
              <w:pStyle w:val="Pagedecouverture"/>
              <w:rPr>
                <w:noProof/>
                <w:sz w:val="22"/>
              </w:rPr>
            </w:pPr>
          </w:p>
        </w:tc>
        <w:tc>
          <w:tcPr>
            <w:tcW w:w="1134" w:type="dxa"/>
            <w:vAlign w:val="center"/>
          </w:tcPr>
          <w:p w:rsidR="00EB61C4" w:rsidRDefault="00A8283A">
            <w:pPr>
              <w:pStyle w:val="Pagedecouverture"/>
              <w:rPr>
                <w:noProof/>
                <w:sz w:val="22"/>
              </w:rPr>
            </w:pPr>
            <w:r>
              <w:rPr>
                <w:noProof/>
                <w:sz w:val="22"/>
              </w:rPr>
              <w:t>χωρών ΕΖΕΣ</w:t>
            </w:r>
            <w:r>
              <w:rPr>
                <w:rStyle w:val="FootnoteReference"/>
                <w:noProof/>
                <w:sz w:val="22"/>
              </w:rPr>
              <w:footnoteReference w:id="19"/>
            </w:r>
          </w:p>
          <w:p w:rsidR="00EB61C4" w:rsidRDefault="00EB61C4">
            <w:pPr>
              <w:pStyle w:val="Pagedecouverture"/>
              <w:rPr>
                <w:noProof/>
                <w:sz w:val="22"/>
              </w:rPr>
            </w:pPr>
          </w:p>
        </w:tc>
        <w:tc>
          <w:tcPr>
            <w:tcW w:w="1134" w:type="dxa"/>
            <w:vAlign w:val="center"/>
          </w:tcPr>
          <w:p w:rsidR="00EB61C4" w:rsidRDefault="00A8283A">
            <w:pPr>
              <w:pStyle w:val="Pagedecouverture"/>
              <w:rPr>
                <w:noProof/>
                <w:sz w:val="22"/>
              </w:rPr>
            </w:pPr>
            <w:r>
              <w:rPr>
                <w:noProof/>
                <w:sz w:val="22"/>
              </w:rPr>
              <w:t>υποψηφίων για ένταξη χωρών</w:t>
            </w:r>
            <w:r>
              <w:rPr>
                <w:rStyle w:val="FootnoteReference"/>
                <w:noProof/>
                <w:sz w:val="22"/>
              </w:rPr>
              <w:footnoteReference w:id="20"/>
            </w:r>
          </w:p>
          <w:p w:rsidR="00EB61C4" w:rsidRDefault="00EB61C4">
            <w:pPr>
              <w:pStyle w:val="Pagedecouverture"/>
              <w:rPr>
                <w:noProof/>
                <w:sz w:val="22"/>
              </w:rPr>
            </w:pPr>
          </w:p>
        </w:tc>
        <w:tc>
          <w:tcPr>
            <w:tcW w:w="1275" w:type="dxa"/>
            <w:vAlign w:val="center"/>
          </w:tcPr>
          <w:p w:rsidR="00EB61C4" w:rsidRDefault="00A8283A">
            <w:pPr>
              <w:pStyle w:val="Pagedecouverture"/>
              <w:rPr>
                <w:noProof/>
                <w:sz w:val="22"/>
              </w:rPr>
            </w:pPr>
            <w:r>
              <w:rPr>
                <w:noProof/>
                <w:sz w:val="22"/>
              </w:rPr>
              <w:t>τρίτων χωρών</w:t>
            </w:r>
          </w:p>
        </w:tc>
        <w:tc>
          <w:tcPr>
            <w:tcW w:w="1277" w:type="dxa"/>
            <w:vAlign w:val="center"/>
          </w:tcPr>
          <w:p w:rsidR="00EB61C4" w:rsidRDefault="00A8283A">
            <w:pPr>
              <w:pStyle w:val="Pagedecouverture"/>
              <w:rPr>
                <w:noProof/>
                <w:sz w:val="22"/>
              </w:rPr>
            </w:pPr>
            <w:r>
              <w:rPr>
                <w:noProof/>
                <w:sz w:val="22"/>
              </w:rPr>
              <w:t xml:space="preserve">κατά την έννοια του άρθρου 18 παράγραφος 1 στοιχείο αα) του δημοσιονομικού κανονισμού </w:t>
            </w:r>
          </w:p>
        </w:tc>
      </w:tr>
      <w:tr w:rsidR="00EB61C4">
        <w:tc>
          <w:tcPr>
            <w:tcW w:w="1417" w:type="dxa"/>
            <w:vAlign w:val="center"/>
          </w:tcPr>
          <w:p w:rsidR="00EB61C4" w:rsidRDefault="00A8283A">
            <w:pPr>
              <w:pStyle w:val="Pagedecouverture"/>
              <w:jc w:val="center"/>
              <w:rPr>
                <w:noProof/>
              </w:rPr>
            </w:pPr>
            <w:r>
              <w:rPr>
                <w:noProof/>
              </w:rPr>
              <w:t>4</w:t>
            </w:r>
          </w:p>
        </w:tc>
        <w:tc>
          <w:tcPr>
            <w:tcW w:w="1985" w:type="dxa"/>
            <w:vAlign w:val="center"/>
          </w:tcPr>
          <w:p w:rsidR="00EB61C4" w:rsidRDefault="00A8283A">
            <w:pPr>
              <w:pStyle w:val="Pagedecouverture"/>
              <w:jc w:val="left"/>
              <w:rPr>
                <w:noProof/>
              </w:rPr>
            </w:pPr>
            <w:r>
              <w:rPr>
                <w:noProof/>
              </w:rPr>
              <w:t>01 03 02</w:t>
            </w:r>
          </w:p>
          <w:p w:rsidR="00EB61C4" w:rsidRDefault="00A8283A">
            <w:pPr>
              <w:pStyle w:val="Pagedecouverture"/>
              <w:jc w:val="left"/>
              <w:rPr>
                <w:noProof/>
              </w:rPr>
            </w:pPr>
            <w:r>
              <w:rPr>
                <w:noProof/>
              </w:rPr>
              <w:t>Μακροοικονομική χρηματοδοτική συνδρομή</w:t>
            </w:r>
          </w:p>
        </w:tc>
        <w:tc>
          <w:tcPr>
            <w:tcW w:w="1276" w:type="dxa"/>
            <w:vAlign w:val="center"/>
          </w:tcPr>
          <w:p w:rsidR="00EB61C4" w:rsidRDefault="00A8283A">
            <w:pPr>
              <w:pStyle w:val="Pagedecouverture"/>
              <w:jc w:val="center"/>
              <w:rPr>
                <w:noProof/>
              </w:rPr>
            </w:pPr>
            <w:r>
              <w:rPr>
                <w:noProof/>
              </w:rPr>
              <w:t>ΔΠ</w:t>
            </w:r>
          </w:p>
        </w:tc>
        <w:tc>
          <w:tcPr>
            <w:tcW w:w="1134" w:type="dxa"/>
            <w:vAlign w:val="center"/>
          </w:tcPr>
          <w:p w:rsidR="00EB61C4" w:rsidRDefault="00A8283A">
            <w:pPr>
              <w:pStyle w:val="Pagedecouverture"/>
              <w:jc w:val="center"/>
              <w:rPr>
                <w:noProof/>
              </w:rPr>
            </w:pPr>
            <w:r>
              <w:rPr>
                <w:noProof/>
              </w:rPr>
              <w:t>ΟΧΙ</w:t>
            </w:r>
          </w:p>
        </w:tc>
        <w:tc>
          <w:tcPr>
            <w:tcW w:w="1134" w:type="dxa"/>
            <w:vAlign w:val="center"/>
          </w:tcPr>
          <w:p w:rsidR="00EB61C4" w:rsidRDefault="00A8283A">
            <w:pPr>
              <w:pStyle w:val="Pagedecouverture"/>
              <w:jc w:val="center"/>
              <w:rPr>
                <w:noProof/>
              </w:rPr>
            </w:pPr>
            <w:r>
              <w:rPr>
                <w:noProof/>
              </w:rPr>
              <w:t>ΟΧΙ</w:t>
            </w:r>
          </w:p>
        </w:tc>
        <w:tc>
          <w:tcPr>
            <w:tcW w:w="1275" w:type="dxa"/>
            <w:vAlign w:val="center"/>
          </w:tcPr>
          <w:p w:rsidR="00EB61C4" w:rsidRDefault="00A8283A">
            <w:pPr>
              <w:pStyle w:val="Pagedecouverture"/>
              <w:jc w:val="center"/>
              <w:rPr>
                <w:noProof/>
              </w:rPr>
            </w:pPr>
            <w:r>
              <w:rPr>
                <w:noProof/>
              </w:rPr>
              <w:t>ΟΧΙ</w:t>
            </w:r>
          </w:p>
        </w:tc>
        <w:tc>
          <w:tcPr>
            <w:tcW w:w="1277" w:type="dxa"/>
            <w:vAlign w:val="center"/>
          </w:tcPr>
          <w:p w:rsidR="00EB61C4" w:rsidRDefault="00A8283A">
            <w:pPr>
              <w:pStyle w:val="Pagedecouverture"/>
              <w:jc w:val="center"/>
              <w:rPr>
                <w:noProof/>
              </w:rPr>
            </w:pPr>
            <w:r>
              <w:rPr>
                <w:noProof/>
              </w:rPr>
              <w:t>ΟΧΙ</w:t>
            </w:r>
          </w:p>
        </w:tc>
      </w:tr>
      <w:tr w:rsidR="00EB61C4">
        <w:tc>
          <w:tcPr>
            <w:tcW w:w="1417" w:type="dxa"/>
            <w:vAlign w:val="center"/>
          </w:tcPr>
          <w:p w:rsidR="00EB61C4" w:rsidRDefault="00A8283A">
            <w:pPr>
              <w:pStyle w:val="Pagedecouverture"/>
              <w:jc w:val="center"/>
              <w:rPr>
                <w:noProof/>
              </w:rPr>
            </w:pPr>
            <w:r>
              <w:rPr>
                <w:noProof/>
              </w:rPr>
              <w:t>4</w:t>
            </w:r>
          </w:p>
        </w:tc>
        <w:tc>
          <w:tcPr>
            <w:tcW w:w="1985" w:type="dxa"/>
            <w:vAlign w:val="center"/>
          </w:tcPr>
          <w:p w:rsidR="00EB61C4" w:rsidRDefault="00A8283A">
            <w:pPr>
              <w:pStyle w:val="Pagedecouverture"/>
              <w:jc w:val="left"/>
              <w:rPr>
                <w:noProof/>
              </w:rPr>
            </w:pPr>
            <w:r>
              <w:rPr>
                <w:noProof/>
              </w:rPr>
              <w:t xml:space="preserve">01 03 06 </w:t>
            </w:r>
          </w:p>
          <w:p w:rsidR="00EB61C4" w:rsidRDefault="00A8283A">
            <w:pPr>
              <w:pStyle w:val="Pagedecouverture"/>
              <w:jc w:val="left"/>
              <w:rPr>
                <w:noProof/>
              </w:rPr>
            </w:pPr>
            <w:r>
              <w:rPr>
                <w:noProof/>
              </w:rPr>
              <w:t>Τροφοδότηση του Ταμείου Εγγυήσεων</w:t>
            </w:r>
          </w:p>
        </w:tc>
        <w:tc>
          <w:tcPr>
            <w:tcW w:w="1276" w:type="dxa"/>
            <w:vAlign w:val="center"/>
          </w:tcPr>
          <w:p w:rsidR="00EB61C4" w:rsidRDefault="00A8283A">
            <w:pPr>
              <w:pStyle w:val="Pagedecouverture"/>
              <w:jc w:val="center"/>
              <w:rPr>
                <w:noProof/>
              </w:rPr>
            </w:pPr>
            <w:r>
              <w:rPr>
                <w:noProof/>
              </w:rPr>
              <w:t>ΜΔΠ</w:t>
            </w:r>
          </w:p>
        </w:tc>
        <w:tc>
          <w:tcPr>
            <w:tcW w:w="1134" w:type="dxa"/>
            <w:vAlign w:val="center"/>
          </w:tcPr>
          <w:p w:rsidR="00EB61C4" w:rsidRDefault="00A8283A">
            <w:pPr>
              <w:pStyle w:val="Pagedecouverture"/>
              <w:jc w:val="center"/>
              <w:rPr>
                <w:noProof/>
              </w:rPr>
            </w:pPr>
            <w:r>
              <w:rPr>
                <w:noProof/>
              </w:rPr>
              <w:t>ΟΧΙ</w:t>
            </w:r>
          </w:p>
        </w:tc>
        <w:tc>
          <w:tcPr>
            <w:tcW w:w="1134" w:type="dxa"/>
            <w:vAlign w:val="center"/>
          </w:tcPr>
          <w:p w:rsidR="00EB61C4" w:rsidRDefault="00A8283A">
            <w:pPr>
              <w:pStyle w:val="Pagedecouverture"/>
              <w:jc w:val="center"/>
              <w:rPr>
                <w:noProof/>
              </w:rPr>
            </w:pPr>
            <w:r>
              <w:rPr>
                <w:noProof/>
              </w:rPr>
              <w:t>ΟΧΙ</w:t>
            </w:r>
          </w:p>
        </w:tc>
        <w:tc>
          <w:tcPr>
            <w:tcW w:w="1275" w:type="dxa"/>
            <w:vAlign w:val="center"/>
          </w:tcPr>
          <w:p w:rsidR="00EB61C4" w:rsidRDefault="00A8283A">
            <w:pPr>
              <w:pStyle w:val="Pagedecouverture"/>
              <w:jc w:val="center"/>
              <w:rPr>
                <w:noProof/>
              </w:rPr>
            </w:pPr>
            <w:r>
              <w:rPr>
                <w:noProof/>
              </w:rPr>
              <w:t>ΟΧΙ</w:t>
            </w:r>
          </w:p>
        </w:tc>
        <w:tc>
          <w:tcPr>
            <w:tcW w:w="1277" w:type="dxa"/>
            <w:vAlign w:val="center"/>
          </w:tcPr>
          <w:p w:rsidR="00EB61C4" w:rsidRDefault="00A8283A">
            <w:pPr>
              <w:pStyle w:val="Pagedecouverture"/>
              <w:jc w:val="center"/>
              <w:rPr>
                <w:noProof/>
              </w:rPr>
            </w:pPr>
            <w:r>
              <w:rPr>
                <w:noProof/>
              </w:rPr>
              <w:t>ΟΧΙ</w:t>
            </w:r>
          </w:p>
        </w:tc>
      </w:tr>
    </w:tbl>
    <w:p w:rsidR="00EB61C4" w:rsidRDefault="00A8283A">
      <w:pPr>
        <w:pStyle w:val="Text1"/>
        <w:spacing w:before="240"/>
        <w:rPr>
          <w:noProof/>
        </w:rPr>
      </w:pPr>
      <w:r>
        <w:rPr>
          <w:noProof/>
        </w:rPr>
        <w:t xml:space="preserve">01 03 06 – Εγγύηση της </w:t>
      </w:r>
      <w:r>
        <w:rPr>
          <w:noProof/>
        </w:rPr>
        <w:t>Ευρωπαϊκής Ένωσης για τα ενωσιακά δάνεια που αντλούνται για μακροοικονομική χρηματοδοτική συνδρομή σε τρίτες χώρες: Το Ταμείο Εγγυήσεων για τις εξωτερικές δράσεις πρέπει να τροφοδοτείται σύμφωνα με τον κανονισμό για το Ταμείο</w:t>
      </w:r>
      <w:r>
        <w:rPr>
          <w:rStyle w:val="FootnoteReference"/>
          <w:noProof/>
        </w:rPr>
        <w:footnoteReference w:id="21"/>
      </w:r>
      <w:r>
        <w:rPr>
          <w:noProof/>
        </w:rPr>
        <w:t>,με τη χρησιμοποίηση των πιστώ</w:t>
      </w:r>
      <w:r>
        <w:rPr>
          <w:noProof/>
        </w:rPr>
        <w:t>σεων της θέσης του προϋπολογισμού 01 03 06 («Τροφοδότηση του Ταμείου Εγγυήσεων»), σε ποσοστό 9% των συνολικών εκκρεμών υποχρεώσεων. Το ποσό τροφοδότησης υπολογίζεται στην αρχή του έτους «ν» ως η διαφορά μεταξύ του ποσού-στόχου και της αξίας των καθαρών δια</w:t>
      </w:r>
      <w:r>
        <w:rPr>
          <w:noProof/>
        </w:rPr>
        <w:t>θεσίμων του Ταμείου στο τέλος του έτους «ν-1». Το εν λόγω ποσό της τροφοδότησης εισάγεται στο έτος «ν» στο προσχέδιο του προϋπολογισμού για το έτος «ν +1» και καταβάλλεται εφάπαξ στην αρχή του έτους «ν +1» από τη γραμμή του προϋπολογισμού για τη γραμμή του</w:t>
      </w:r>
      <w:r>
        <w:rPr>
          <w:noProof/>
        </w:rPr>
        <w:t xml:space="preserve"> προϋπολογισμού 01 03 06. Ως εκ τούτου, 9% (δηλ. 5,4 εκατ. EUR κατ’ ανώτατο όριο) του πραγματικά εκταμιευθέντος ποσού θα ληφθεί υπόψη στο ποσό-στόχος στο τέλος του έτους «ν-1», για τον υπολογισμό της τροφοδότησης του Ταμείου.  Νέες γραμμές του προϋπολογισμ</w:t>
      </w:r>
      <w:r>
        <w:rPr>
          <w:noProof/>
        </w:rPr>
        <w:t>ού, των οποίων έχει ζητηθεί η δημιουργία: άνευ αντικειμένου.</w:t>
      </w:r>
    </w:p>
    <w:p w:rsidR="00EB61C4" w:rsidRDefault="00EB61C4">
      <w:pPr>
        <w:pStyle w:val="Heading30"/>
        <w:rPr>
          <w:b/>
        </w:rPr>
      </w:pPr>
    </w:p>
    <w:p w:rsidR="00EB61C4" w:rsidRDefault="00EB61C4">
      <w:pPr>
        <w:pStyle w:val="Heading30"/>
        <w:rPr>
          <w:b/>
        </w:rPr>
      </w:pPr>
    </w:p>
    <w:p w:rsidR="00EB61C4" w:rsidRDefault="00EB61C4">
      <w:pPr>
        <w:pStyle w:val="Heading30"/>
        <w:rPr>
          <w:b/>
        </w:rPr>
      </w:pPr>
    </w:p>
    <w:p w:rsidR="00EB61C4" w:rsidRDefault="00A8283A">
      <w:pPr>
        <w:pStyle w:val="Heading30"/>
        <w:rPr>
          <w:b/>
        </w:rPr>
      </w:pPr>
      <w:r>
        <w:rPr>
          <w:b/>
        </w:rPr>
        <w:t>3.2.</w:t>
      </w:r>
      <w:r>
        <w:tab/>
      </w:r>
      <w:r>
        <w:rPr>
          <w:b/>
        </w:rPr>
        <w:t xml:space="preserve">Εκτιμώμενες επιπτώσεις στις δαπάνες </w:t>
      </w:r>
    </w:p>
    <w:p w:rsidR="00EB61C4" w:rsidRDefault="00A8283A">
      <w:pPr>
        <w:pStyle w:val="Heading40"/>
        <w:rPr>
          <w:u w:val="single"/>
        </w:rPr>
      </w:pPr>
      <w:r>
        <w:t>3.2.1.</w:t>
      </w:r>
      <w:r>
        <w:tab/>
        <w:t xml:space="preserve">Συνοπτική παρουσίαση των εκτιμώμενων επιπτώσεων στις δαπάνες </w:t>
      </w:r>
    </w:p>
    <w:p w:rsidR="00EB61C4" w:rsidRDefault="00EB61C4">
      <w:pPr>
        <w:pStyle w:val="Text1"/>
        <w:rPr>
          <w:noProof/>
        </w:rPr>
      </w:pPr>
    </w:p>
    <w:p w:rsidR="00EB61C4" w:rsidRDefault="00A8283A">
      <w:pPr>
        <w:pStyle w:val="Text1"/>
        <w:jc w:val="right"/>
        <w:rPr>
          <w:noProof/>
          <w:sz w:val="4"/>
          <w:szCs w:val="4"/>
        </w:rPr>
      </w:pPr>
      <w:r>
        <w:rPr>
          <w:noProof/>
        </w:rPr>
        <w:t>Σε εκατ. EUR (με 3 δεκαδικά ψηφία)</w:t>
      </w:r>
    </w:p>
    <w:tbl>
      <w:tblPr>
        <w:tblW w:w="10643" w:type="dxa"/>
        <w:tblInd w:w="-318" w:type="dxa"/>
        <w:tblLayout w:type="fixed"/>
        <w:tblLook w:val="01E0" w:firstRow="1" w:lastRow="1" w:firstColumn="1" w:lastColumn="1" w:noHBand="0" w:noVBand="0"/>
      </w:tblPr>
      <w:tblGrid>
        <w:gridCol w:w="3686"/>
        <w:gridCol w:w="1418"/>
        <w:gridCol w:w="748"/>
        <w:gridCol w:w="748"/>
        <w:gridCol w:w="748"/>
        <w:gridCol w:w="748"/>
        <w:gridCol w:w="748"/>
        <w:gridCol w:w="748"/>
        <w:gridCol w:w="1051"/>
      </w:tblGrid>
      <w:tr w:rsidR="00EB61C4">
        <w:trPr>
          <w:gridAfter w:val="4"/>
          <w:wAfter w:w="3295" w:type="dxa"/>
        </w:trPr>
        <w:tc>
          <w:tcPr>
            <w:tcW w:w="3686" w:type="dxa"/>
          </w:tcPr>
          <w:p w:rsidR="00EB61C4" w:rsidRDefault="00A8283A">
            <w:pPr>
              <w:pStyle w:val="Pagedecouverture"/>
              <w:spacing w:after="240"/>
              <w:jc w:val="left"/>
              <w:rPr>
                <w:b/>
                <w:noProof/>
              </w:rPr>
            </w:pPr>
            <w:r>
              <w:rPr>
                <w:b/>
                <w:noProof/>
              </w:rPr>
              <w:t>Τομέας του πολυετούς δημοσιονομικού πλαισίου:</w:t>
            </w:r>
          </w:p>
        </w:tc>
        <w:tc>
          <w:tcPr>
            <w:tcW w:w="1418" w:type="dxa"/>
          </w:tcPr>
          <w:p w:rsidR="00EB61C4" w:rsidRDefault="00A8283A">
            <w:pPr>
              <w:pStyle w:val="Pagedecouverture"/>
              <w:jc w:val="center"/>
              <w:rPr>
                <w:b/>
                <w:noProof/>
              </w:rPr>
            </w:pPr>
            <w:r>
              <w:rPr>
                <w:noProof/>
              </w:rPr>
              <w:br/>
            </w:r>
            <w:r>
              <w:rPr>
                <w:b/>
                <w:noProof/>
              </w:rPr>
              <w:t>4</w:t>
            </w:r>
          </w:p>
        </w:tc>
        <w:tc>
          <w:tcPr>
            <w:tcW w:w="748" w:type="dxa"/>
          </w:tcPr>
          <w:p w:rsidR="00EB61C4" w:rsidRDefault="00EB61C4">
            <w:pPr>
              <w:pStyle w:val="Pagedecouverture"/>
              <w:rPr>
                <w:noProof/>
              </w:rPr>
            </w:pPr>
          </w:p>
        </w:tc>
        <w:tc>
          <w:tcPr>
            <w:tcW w:w="748" w:type="dxa"/>
          </w:tcPr>
          <w:p w:rsidR="00EB61C4" w:rsidRDefault="00EB61C4">
            <w:pPr>
              <w:pStyle w:val="Pagedecouverture"/>
              <w:rPr>
                <w:noProof/>
              </w:rPr>
            </w:pPr>
          </w:p>
        </w:tc>
        <w:tc>
          <w:tcPr>
            <w:tcW w:w="748" w:type="dxa"/>
          </w:tcPr>
          <w:p w:rsidR="00EB61C4" w:rsidRDefault="00EB61C4">
            <w:pPr>
              <w:pStyle w:val="Pagedecouverture"/>
              <w:rPr>
                <w:noProof/>
              </w:rPr>
            </w:pP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Align w:val="center"/>
          </w:tcPr>
          <w:p w:rsidR="00EB61C4" w:rsidRDefault="00A8283A">
            <w:pPr>
              <w:pStyle w:val="Pagedecouverture"/>
              <w:jc w:val="center"/>
              <w:rPr>
                <w:noProof/>
                <w:sz w:val="20"/>
              </w:rPr>
            </w:pPr>
            <w:r>
              <w:rPr>
                <w:noProof/>
                <w:sz w:val="20"/>
              </w:rPr>
              <w:t xml:space="preserve">ΓΔ: </w:t>
            </w:r>
            <w:r>
              <w:rPr>
                <w:noProof/>
              </w:rPr>
              <w:t>ECFIN</w:t>
            </w:r>
          </w:p>
        </w:tc>
        <w:tc>
          <w:tcPr>
            <w:tcW w:w="141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Έτος</w:t>
            </w:r>
            <w:r>
              <w:rPr>
                <w:noProof/>
                <w:sz w:val="20"/>
              </w:rPr>
              <w:br/>
            </w:r>
            <w:r>
              <w:rPr>
                <w:b/>
                <w:noProof/>
                <w:sz w:val="20"/>
              </w:rPr>
              <w:t>2016</w:t>
            </w:r>
          </w:p>
        </w:tc>
        <w:tc>
          <w:tcPr>
            <w:tcW w:w="748" w:type="dxa"/>
            <w:vAlign w:val="center"/>
          </w:tcPr>
          <w:p w:rsidR="00EB61C4" w:rsidRDefault="00A8283A">
            <w:pPr>
              <w:pStyle w:val="Pagedecouverture"/>
              <w:jc w:val="center"/>
              <w:rPr>
                <w:noProof/>
                <w:sz w:val="20"/>
                <w:szCs w:val="20"/>
              </w:rPr>
            </w:pPr>
            <w:r>
              <w:rPr>
                <w:noProof/>
                <w:sz w:val="20"/>
              </w:rPr>
              <w:t xml:space="preserve">Έτος </w:t>
            </w:r>
            <w:r>
              <w:rPr>
                <w:b/>
                <w:noProof/>
                <w:sz w:val="20"/>
              </w:rPr>
              <w:t>2017</w:t>
            </w:r>
            <w:r>
              <w:rPr>
                <w:rStyle w:val="FootnoteReference"/>
                <w:b/>
                <w:noProof/>
                <w:sz w:val="20"/>
              </w:rPr>
              <w:footnoteReference w:id="22"/>
            </w:r>
          </w:p>
        </w:tc>
        <w:tc>
          <w:tcPr>
            <w:tcW w:w="748" w:type="dxa"/>
            <w:vAlign w:val="center"/>
          </w:tcPr>
          <w:p w:rsidR="00EB61C4" w:rsidRDefault="00A8283A">
            <w:pPr>
              <w:pStyle w:val="Pagedecouverture"/>
              <w:jc w:val="center"/>
              <w:rPr>
                <w:noProof/>
                <w:sz w:val="20"/>
              </w:rPr>
            </w:pPr>
            <w:r>
              <w:rPr>
                <w:noProof/>
                <w:sz w:val="20"/>
              </w:rPr>
              <w:t>Έτος</w:t>
            </w:r>
            <w:r>
              <w:rPr>
                <w:noProof/>
                <w:sz w:val="20"/>
              </w:rPr>
              <w:br/>
            </w:r>
            <w:r>
              <w:rPr>
                <w:b/>
                <w:noProof/>
                <w:sz w:val="20"/>
              </w:rPr>
              <w:t>2018</w:t>
            </w:r>
          </w:p>
        </w:tc>
        <w:tc>
          <w:tcPr>
            <w:tcW w:w="748" w:type="dxa"/>
            <w:vAlign w:val="center"/>
          </w:tcPr>
          <w:p w:rsidR="00EB61C4" w:rsidRDefault="00A8283A">
            <w:pPr>
              <w:pStyle w:val="Pagedecouverture"/>
              <w:jc w:val="center"/>
              <w:rPr>
                <w:noProof/>
                <w:sz w:val="20"/>
              </w:rPr>
            </w:pPr>
            <w:r>
              <w:rPr>
                <w:noProof/>
                <w:sz w:val="20"/>
              </w:rPr>
              <w:t>Έτος</w:t>
            </w:r>
            <w:r>
              <w:rPr>
                <w:noProof/>
                <w:sz w:val="20"/>
              </w:rPr>
              <w:br/>
            </w:r>
            <w:r>
              <w:rPr>
                <w:b/>
                <w:noProof/>
                <w:sz w:val="20"/>
              </w:rPr>
              <w:t>2019</w:t>
            </w:r>
          </w:p>
        </w:tc>
        <w:tc>
          <w:tcPr>
            <w:tcW w:w="748" w:type="dxa"/>
            <w:vAlign w:val="center"/>
          </w:tcPr>
          <w:p w:rsidR="00EB61C4" w:rsidRDefault="00A8283A">
            <w:pPr>
              <w:pStyle w:val="Pagedecouverture"/>
              <w:jc w:val="center"/>
              <w:rPr>
                <w:noProof/>
                <w:sz w:val="20"/>
              </w:rPr>
            </w:pPr>
            <w:r>
              <w:rPr>
                <w:noProof/>
                <w:sz w:val="20"/>
              </w:rPr>
              <w:t>Έτος</w:t>
            </w:r>
            <w:r>
              <w:rPr>
                <w:noProof/>
                <w:sz w:val="20"/>
              </w:rPr>
              <w:br/>
            </w:r>
            <w:r>
              <w:rPr>
                <w:b/>
                <w:noProof/>
                <w:sz w:val="20"/>
              </w:rPr>
              <w:t>2020</w:t>
            </w:r>
          </w:p>
        </w:tc>
        <w:tc>
          <w:tcPr>
            <w:tcW w:w="1051" w:type="dxa"/>
            <w:vAlign w:val="center"/>
          </w:tcPr>
          <w:p w:rsidR="00EB61C4" w:rsidRDefault="00A8283A">
            <w:pPr>
              <w:pStyle w:val="Pagedecouverture"/>
              <w:jc w:val="center"/>
              <w:rPr>
                <w:b/>
                <w:noProof/>
                <w:sz w:val="20"/>
              </w:rPr>
            </w:pPr>
            <w:r>
              <w:rPr>
                <w:b/>
                <w:noProof/>
                <w:sz w:val="20"/>
              </w:rPr>
              <w:t>ΣYΝΟΛΟ</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852" w:type="dxa"/>
            <w:gridSpan w:val="3"/>
            <w:vAlign w:val="center"/>
          </w:tcPr>
          <w:p w:rsidR="00EB61C4" w:rsidRDefault="00A8283A">
            <w:pPr>
              <w:pStyle w:val="Pagedecouverture"/>
              <w:jc w:val="left"/>
              <w:rPr>
                <w:noProof/>
                <w:sz w:val="20"/>
              </w:rPr>
            </w:pPr>
            <w:r>
              <w:rPr>
                <w:noProof/>
                <w:sz w:val="20"/>
                <w:szCs w:val="20"/>
              </w:rPr>
              <w:sym w:font="Wingdings" w:char="F09F"/>
            </w:r>
            <w:r>
              <w:rPr>
                <w:noProof/>
                <w:sz w:val="20"/>
              </w:rPr>
              <w:t xml:space="preserve"> Επιχειρησιακές πιστώσεις</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1051" w:type="dxa"/>
            <w:vAlign w:val="center"/>
          </w:tcPr>
          <w:p w:rsidR="00EB61C4" w:rsidRDefault="00EB61C4">
            <w:pPr>
              <w:pStyle w:val="Pagedecouverture"/>
              <w:jc w:val="center"/>
              <w:rPr>
                <w:b/>
                <w:noProof/>
                <w:sz w:val="20"/>
              </w:rPr>
            </w:pP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EB61C4" w:rsidRDefault="00A8283A">
            <w:pPr>
              <w:pStyle w:val="Pagedecouverture"/>
              <w:jc w:val="left"/>
              <w:rPr>
                <w:noProof/>
                <w:sz w:val="20"/>
              </w:rPr>
            </w:pPr>
            <w:r>
              <w:rPr>
                <w:noProof/>
                <w:sz w:val="20"/>
              </w:rPr>
              <w:t>Γραμμή του προϋπολογισμού 01 03 02 Μακροοικονομική χρηματοδοτική συνδρομή</w:t>
            </w:r>
          </w:p>
        </w:tc>
        <w:tc>
          <w:tcPr>
            <w:tcW w:w="1418" w:type="dxa"/>
            <w:vAlign w:val="center"/>
          </w:tcPr>
          <w:p w:rsidR="00EB61C4" w:rsidRDefault="00A8283A">
            <w:pPr>
              <w:pStyle w:val="Pagedecouverture"/>
              <w:jc w:val="center"/>
              <w:rPr>
                <w:noProof/>
                <w:sz w:val="20"/>
              </w:rPr>
            </w:pPr>
            <w:r>
              <w:rPr>
                <w:noProof/>
                <w:sz w:val="20"/>
              </w:rPr>
              <w:t>Αναλήψεις υποχρεώσεων</w:t>
            </w:r>
          </w:p>
        </w:tc>
        <w:tc>
          <w:tcPr>
            <w:tcW w:w="748" w:type="dxa"/>
            <w:vAlign w:val="center"/>
          </w:tcPr>
          <w:p w:rsidR="00EB61C4" w:rsidRDefault="00A8283A">
            <w:pPr>
              <w:pStyle w:val="Pagedecouverture"/>
              <w:jc w:val="center"/>
              <w:rPr>
                <w:noProof/>
                <w:sz w:val="16"/>
              </w:rPr>
            </w:pPr>
            <w:r>
              <w:rPr>
                <w:noProof/>
                <w:sz w:val="16"/>
              </w:rPr>
              <w:t>(1)</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40</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1051" w:type="dxa"/>
            <w:vAlign w:val="center"/>
          </w:tcPr>
          <w:p w:rsidR="00EB61C4" w:rsidRDefault="00A8283A">
            <w:pPr>
              <w:pStyle w:val="Pagedecouverture"/>
              <w:jc w:val="center"/>
              <w:rPr>
                <w:b/>
                <w:noProof/>
                <w:sz w:val="20"/>
              </w:rPr>
            </w:pPr>
            <w:r>
              <w:rPr>
                <w:b/>
                <w:noProof/>
                <w:sz w:val="20"/>
              </w:rPr>
              <w:t>40</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86" w:type="dxa"/>
            <w:vMerge/>
            <w:vAlign w:val="center"/>
          </w:tcPr>
          <w:p w:rsidR="00EB61C4" w:rsidRDefault="00EB61C4">
            <w:pPr>
              <w:pStyle w:val="Pagedecouverture"/>
              <w:jc w:val="left"/>
              <w:rPr>
                <w:noProof/>
                <w:sz w:val="20"/>
              </w:rPr>
            </w:pPr>
          </w:p>
        </w:tc>
        <w:tc>
          <w:tcPr>
            <w:tcW w:w="1418" w:type="dxa"/>
            <w:vAlign w:val="center"/>
          </w:tcPr>
          <w:p w:rsidR="00EB61C4" w:rsidRDefault="00A8283A">
            <w:pPr>
              <w:pStyle w:val="Pagedecouverture"/>
              <w:jc w:val="center"/>
              <w:rPr>
                <w:noProof/>
                <w:sz w:val="20"/>
              </w:rPr>
            </w:pPr>
            <w:r>
              <w:rPr>
                <w:noProof/>
                <w:sz w:val="20"/>
              </w:rPr>
              <w:t>Πληρωμές</w:t>
            </w:r>
          </w:p>
        </w:tc>
        <w:tc>
          <w:tcPr>
            <w:tcW w:w="748" w:type="dxa"/>
            <w:vAlign w:val="center"/>
          </w:tcPr>
          <w:p w:rsidR="00EB61C4" w:rsidRDefault="00A8283A">
            <w:pPr>
              <w:pStyle w:val="Pagedecouverture"/>
              <w:jc w:val="center"/>
              <w:rPr>
                <w:noProof/>
                <w:sz w:val="16"/>
              </w:rPr>
            </w:pPr>
            <w:r>
              <w:rPr>
                <w:noProof/>
                <w:sz w:val="16"/>
              </w:rPr>
              <w:t>(2)</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20</w:t>
            </w:r>
          </w:p>
        </w:tc>
        <w:tc>
          <w:tcPr>
            <w:tcW w:w="748" w:type="dxa"/>
            <w:vAlign w:val="center"/>
          </w:tcPr>
          <w:p w:rsidR="00EB61C4" w:rsidRDefault="00A8283A">
            <w:pPr>
              <w:pStyle w:val="Pagedecouverture"/>
              <w:jc w:val="center"/>
              <w:rPr>
                <w:noProof/>
                <w:sz w:val="20"/>
              </w:rPr>
            </w:pPr>
            <w:r>
              <w:rPr>
                <w:noProof/>
                <w:sz w:val="20"/>
              </w:rPr>
              <w:t>20</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1051" w:type="dxa"/>
            <w:vAlign w:val="center"/>
          </w:tcPr>
          <w:p w:rsidR="00EB61C4" w:rsidRDefault="00A8283A">
            <w:pPr>
              <w:pStyle w:val="Pagedecouverture"/>
              <w:jc w:val="center"/>
              <w:rPr>
                <w:b/>
                <w:noProof/>
                <w:sz w:val="20"/>
                <w:szCs w:val="20"/>
              </w:rPr>
            </w:pPr>
            <w:r>
              <w:rPr>
                <w:b/>
                <w:noProof/>
                <w:sz w:val="20"/>
              </w:rPr>
              <w:t>40</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EB61C4" w:rsidRDefault="00A8283A">
            <w:pPr>
              <w:pStyle w:val="Pagedecouverture"/>
              <w:jc w:val="left"/>
              <w:rPr>
                <w:noProof/>
                <w:sz w:val="20"/>
              </w:rPr>
            </w:pPr>
            <w:r>
              <w:rPr>
                <w:noProof/>
                <w:sz w:val="20"/>
              </w:rPr>
              <w:t>Γραμμή του προϋπολογισμού 01 03 06 Τροφοδότηση του Ταμείου Εγγυήσεων</w:t>
            </w:r>
          </w:p>
        </w:tc>
        <w:tc>
          <w:tcPr>
            <w:tcW w:w="1418" w:type="dxa"/>
            <w:vAlign w:val="center"/>
          </w:tcPr>
          <w:p w:rsidR="00EB61C4" w:rsidRDefault="00A8283A">
            <w:pPr>
              <w:pStyle w:val="Pagedecouverture"/>
              <w:jc w:val="center"/>
              <w:rPr>
                <w:noProof/>
                <w:sz w:val="20"/>
              </w:rPr>
            </w:pPr>
            <w:r>
              <w:rPr>
                <w:noProof/>
                <w:sz w:val="20"/>
              </w:rPr>
              <w:t>Αναλήψεις υποχρεώσεων</w:t>
            </w:r>
          </w:p>
        </w:tc>
        <w:tc>
          <w:tcPr>
            <w:tcW w:w="748" w:type="dxa"/>
            <w:vAlign w:val="center"/>
          </w:tcPr>
          <w:p w:rsidR="00EB61C4" w:rsidRDefault="00A8283A">
            <w:pPr>
              <w:pStyle w:val="Pagedecouverture"/>
              <w:jc w:val="center"/>
              <w:rPr>
                <w:noProof/>
                <w:sz w:val="16"/>
              </w:rPr>
            </w:pPr>
            <w:r>
              <w:rPr>
                <w:noProof/>
                <w:sz w:val="16"/>
              </w:rPr>
              <w:t>(1α)</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3,6</w:t>
            </w:r>
          </w:p>
        </w:tc>
        <w:tc>
          <w:tcPr>
            <w:tcW w:w="748" w:type="dxa"/>
            <w:vAlign w:val="center"/>
          </w:tcPr>
          <w:p w:rsidR="00EB61C4" w:rsidRDefault="00A8283A">
            <w:pPr>
              <w:pStyle w:val="Pagedecouverture"/>
              <w:jc w:val="center"/>
              <w:rPr>
                <w:noProof/>
                <w:sz w:val="20"/>
              </w:rPr>
            </w:pPr>
            <w:r>
              <w:rPr>
                <w:noProof/>
                <w:sz w:val="20"/>
              </w:rPr>
              <w:t>1,8</w:t>
            </w:r>
          </w:p>
        </w:tc>
        <w:tc>
          <w:tcPr>
            <w:tcW w:w="1051" w:type="dxa"/>
            <w:vAlign w:val="center"/>
          </w:tcPr>
          <w:p w:rsidR="00EB61C4" w:rsidRDefault="00A8283A">
            <w:pPr>
              <w:pStyle w:val="Pagedecouverture"/>
              <w:jc w:val="center"/>
              <w:rPr>
                <w:b/>
                <w:noProof/>
                <w:sz w:val="20"/>
              </w:rPr>
            </w:pPr>
            <w:r>
              <w:rPr>
                <w:b/>
                <w:noProof/>
                <w:sz w:val="20"/>
              </w:rPr>
              <w:t>5,4</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686" w:type="dxa"/>
            <w:vMerge/>
            <w:vAlign w:val="center"/>
          </w:tcPr>
          <w:p w:rsidR="00EB61C4" w:rsidRDefault="00EB61C4">
            <w:pPr>
              <w:pStyle w:val="Pagedecouverture"/>
              <w:jc w:val="center"/>
              <w:rPr>
                <w:noProof/>
                <w:sz w:val="20"/>
              </w:rPr>
            </w:pPr>
          </w:p>
        </w:tc>
        <w:tc>
          <w:tcPr>
            <w:tcW w:w="1418" w:type="dxa"/>
            <w:vAlign w:val="center"/>
          </w:tcPr>
          <w:p w:rsidR="00EB61C4" w:rsidRDefault="00A8283A">
            <w:pPr>
              <w:pStyle w:val="Pagedecouverture"/>
              <w:jc w:val="center"/>
              <w:rPr>
                <w:noProof/>
                <w:sz w:val="20"/>
              </w:rPr>
            </w:pPr>
            <w:r>
              <w:rPr>
                <w:noProof/>
                <w:sz w:val="20"/>
              </w:rPr>
              <w:t>Πληρωμές</w:t>
            </w:r>
          </w:p>
        </w:tc>
        <w:tc>
          <w:tcPr>
            <w:tcW w:w="748" w:type="dxa"/>
            <w:vAlign w:val="center"/>
          </w:tcPr>
          <w:p w:rsidR="00EB61C4" w:rsidRDefault="00A8283A">
            <w:pPr>
              <w:pStyle w:val="Pagedecouverture"/>
              <w:jc w:val="center"/>
              <w:rPr>
                <w:noProof/>
                <w:sz w:val="16"/>
              </w:rPr>
            </w:pPr>
            <w:r>
              <w:rPr>
                <w:noProof/>
                <w:sz w:val="16"/>
              </w:rPr>
              <w:t>(2α)</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3,6</w:t>
            </w:r>
          </w:p>
        </w:tc>
        <w:tc>
          <w:tcPr>
            <w:tcW w:w="748" w:type="dxa"/>
            <w:vAlign w:val="center"/>
          </w:tcPr>
          <w:p w:rsidR="00EB61C4" w:rsidRDefault="00A8283A">
            <w:pPr>
              <w:pStyle w:val="Pagedecouverture"/>
              <w:jc w:val="center"/>
              <w:rPr>
                <w:noProof/>
                <w:sz w:val="20"/>
              </w:rPr>
            </w:pPr>
            <w:r>
              <w:rPr>
                <w:noProof/>
                <w:sz w:val="20"/>
              </w:rPr>
              <w:t>1,8</w:t>
            </w:r>
          </w:p>
        </w:tc>
        <w:tc>
          <w:tcPr>
            <w:tcW w:w="1051" w:type="dxa"/>
            <w:vAlign w:val="center"/>
          </w:tcPr>
          <w:p w:rsidR="00EB61C4" w:rsidRDefault="00A8283A">
            <w:pPr>
              <w:pStyle w:val="Pagedecouverture"/>
              <w:jc w:val="center"/>
              <w:rPr>
                <w:b/>
                <w:noProof/>
                <w:sz w:val="20"/>
              </w:rPr>
            </w:pPr>
            <w:r>
              <w:rPr>
                <w:b/>
                <w:noProof/>
                <w:sz w:val="20"/>
              </w:rPr>
              <w:t>5,4</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5852" w:type="dxa"/>
            <w:gridSpan w:val="3"/>
            <w:vAlign w:val="center"/>
          </w:tcPr>
          <w:p w:rsidR="00EB61C4" w:rsidRDefault="00A8283A">
            <w:pPr>
              <w:pStyle w:val="Pagedecouverture"/>
              <w:jc w:val="left"/>
              <w:rPr>
                <w:noProof/>
                <w:sz w:val="20"/>
              </w:rPr>
            </w:pPr>
            <w:r>
              <w:rPr>
                <w:noProof/>
                <w:sz w:val="20"/>
              </w:rPr>
              <w:t>Πιστώσεις διοικητικού χαρακτήρα χρηματοδοτούμενες από το κονδύλιο ειδικών προγραμμάτων</w:t>
            </w:r>
            <w:r>
              <w:rPr>
                <w:rStyle w:val="FootnoteReference"/>
                <w:noProof/>
                <w:sz w:val="20"/>
              </w:rPr>
              <w:footnoteReference w:id="23"/>
            </w:r>
          </w:p>
          <w:p w:rsidR="00EB61C4" w:rsidRDefault="00A8283A">
            <w:pPr>
              <w:pStyle w:val="Pagedecouverture"/>
              <w:jc w:val="left"/>
              <w:rPr>
                <w:noProof/>
                <w:sz w:val="20"/>
              </w:rPr>
            </w:pPr>
            <w:r>
              <w:rPr>
                <w:noProof/>
                <w:sz w:val="20"/>
              </w:rPr>
              <w:t>(επιχειρησιακή αξιολόγηση</w:t>
            </w:r>
            <w:r>
              <w:rPr>
                <w:noProof/>
                <w:sz w:val="20"/>
              </w:rPr>
              <w:t xml:space="preserve"> και εκ των υστέρων αξιολόγηση)</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1051" w:type="dxa"/>
            <w:vAlign w:val="center"/>
          </w:tcPr>
          <w:p w:rsidR="00EB61C4" w:rsidRDefault="00EB61C4">
            <w:pPr>
              <w:pStyle w:val="Pagedecouverture"/>
              <w:jc w:val="center"/>
              <w:rPr>
                <w:b/>
                <w:noProof/>
                <w:sz w:val="20"/>
              </w:rPr>
            </w:pP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686" w:type="dxa"/>
            <w:vAlign w:val="center"/>
          </w:tcPr>
          <w:p w:rsidR="00EB61C4" w:rsidRDefault="00A8283A">
            <w:pPr>
              <w:pStyle w:val="Pagedecouverture"/>
              <w:jc w:val="left"/>
              <w:rPr>
                <w:noProof/>
                <w:sz w:val="20"/>
              </w:rPr>
            </w:pPr>
            <w:r>
              <w:rPr>
                <w:noProof/>
                <w:sz w:val="20"/>
              </w:rPr>
              <w:t>Γραμμή του προϋπολογισμού 01 03 02 Μακροοικονομική χρηματοδοτική συνδρομή</w:t>
            </w:r>
          </w:p>
        </w:tc>
        <w:tc>
          <w:tcPr>
            <w:tcW w:w="1418" w:type="dxa"/>
            <w:vAlign w:val="center"/>
          </w:tcPr>
          <w:p w:rsidR="00EB61C4" w:rsidRDefault="00A8283A">
            <w:pPr>
              <w:pStyle w:val="Pagedecouverture"/>
              <w:jc w:val="center"/>
              <w:rPr>
                <w:noProof/>
                <w:sz w:val="20"/>
              </w:rPr>
            </w:pPr>
            <w:r>
              <w:rPr>
                <w:noProof/>
                <w:sz w:val="20"/>
              </w:rPr>
              <w:t>Αναλήψεις υποχρεώσεων</w:t>
            </w:r>
          </w:p>
        </w:tc>
        <w:tc>
          <w:tcPr>
            <w:tcW w:w="748" w:type="dxa"/>
            <w:vAlign w:val="center"/>
          </w:tcPr>
          <w:p w:rsidR="00EB61C4" w:rsidRDefault="00A8283A">
            <w:pPr>
              <w:pStyle w:val="Pagedecouverture"/>
              <w:jc w:val="center"/>
              <w:rPr>
                <w:noProof/>
                <w:sz w:val="16"/>
              </w:rPr>
            </w:pPr>
            <w:r>
              <w:rPr>
                <w:noProof/>
                <w:sz w:val="16"/>
              </w:rPr>
              <w:t>(3)</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0,15</w:t>
            </w:r>
          </w:p>
        </w:tc>
        <w:tc>
          <w:tcPr>
            <w:tcW w:w="1051" w:type="dxa"/>
            <w:vAlign w:val="center"/>
          </w:tcPr>
          <w:p w:rsidR="00EB61C4" w:rsidRDefault="00A8283A">
            <w:pPr>
              <w:pStyle w:val="Pagedecouverture"/>
              <w:jc w:val="center"/>
              <w:rPr>
                <w:b/>
                <w:noProof/>
                <w:sz w:val="20"/>
              </w:rPr>
            </w:pPr>
            <w:r>
              <w:rPr>
                <w:b/>
                <w:noProof/>
                <w:sz w:val="20"/>
              </w:rPr>
              <w:t>0,15</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686" w:type="dxa"/>
            <w:vAlign w:val="center"/>
          </w:tcPr>
          <w:p w:rsidR="00EB61C4" w:rsidRDefault="00EB61C4">
            <w:pPr>
              <w:pStyle w:val="Pagedecouverture"/>
              <w:jc w:val="center"/>
              <w:rPr>
                <w:noProof/>
                <w:sz w:val="20"/>
              </w:rPr>
            </w:pPr>
          </w:p>
        </w:tc>
        <w:tc>
          <w:tcPr>
            <w:tcW w:w="1418" w:type="dxa"/>
            <w:vAlign w:val="center"/>
          </w:tcPr>
          <w:p w:rsidR="00EB61C4" w:rsidRDefault="00A8283A">
            <w:pPr>
              <w:pStyle w:val="Pagedecouverture"/>
              <w:jc w:val="center"/>
              <w:rPr>
                <w:noProof/>
                <w:sz w:val="20"/>
              </w:rPr>
            </w:pPr>
            <w:r>
              <w:rPr>
                <w:noProof/>
                <w:sz w:val="20"/>
              </w:rPr>
              <w:t>Πληρωμές</w:t>
            </w:r>
          </w:p>
        </w:tc>
        <w:tc>
          <w:tcPr>
            <w:tcW w:w="748" w:type="dxa"/>
            <w:vAlign w:val="center"/>
          </w:tcPr>
          <w:p w:rsidR="00EB61C4" w:rsidRDefault="00A8283A">
            <w:pPr>
              <w:pStyle w:val="Pagedecouverture"/>
              <w:jc w:val="center"/>
              <w:rPr>
                <w:noProof/>
                <w:sz w:val="16"/>
              </w:rPr>
            </w:pPr>
            <w:r>
              <w:rPr>
                <w:noProof/>
                <w:sz w:val="16"/>
              </w:rPr>
              <w:t>(3α)</w:t>
            </w:r>
          </w:p>
        </w:tc>
        <w:tc>
          <w:tcPr>
            <w:tcW w:w="748" w:type="dxa"/>
            <w:vAlign w:val="center"/>
          </w:tcPr>
          <w:p w:rsidR="00EB61C4" w:rsidRDefault="00A8283A">
            <w:pPr>
              <w:pStyle w:val="Pagedecouverture"/>
              <w:jc w:val="center"/>
              <w:rPr>
                <w:noProof/>
                <w:sz w:val="20"/>
              </w:rPr>
            </w:pPr>
            <w:r>
              <w:rPr>
                <w:noProof/>
                <w:sz w:val="20"/>
              </w:rPr>
              <w:t>0,06</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0,15</w:t>
            </w:r>
          </w:p>
        </w:tc>
        <w:tc>
          <w:tcPr>
            <w:tcW w:w="1051" w:type="dxa"/>
            <w:vAlign w:val="center"/>
          </w:tcPr>
          <w:p w:rsidR="00EB61C4" w:rsidRDefault="00A8283A">
            <w:pPr>
              <w:pStyle w:val="Pagedecouverture"/>
              <w:jc w:val="center"/>
              <w:rPr>
                <w:b/>
                <w:noProof/>
                <w:sz w:val="20"/>
              </w:rPr>
            </w:pPr>
            <w:r>
              <w:rPr>
                <w:b/>
                <w:noProof/>
                <w:sz w:val="20"/>
              </w:rPr>
              <w:t>0,21</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EB61C4" w:rsidRDefault="00A8283A">
            <w:pPr>
              <w:pStyle w:val="Pagedecouverture"/>
              <w:jc w:val="center"/>
              <w:rPr>
                <w:b/>
                <w:noProof/>
                <w:sz w:val="20"/>
              </w:rPr>
            </w:pPr>
            <w:r>
              <w:rPr>
                <w:b/>
                <w:noProof/>
                <w:sz w:val="22"/>
              </w:rPr>
              <w:t>ΣΥΝΟΛΟ πιστώσεων</w:t>
            </w:r>
            <w:r>
              <w:rPr>
                <w:b/>
                <w:noProof/>
                <w:sz w:val="22"/>
              </w:rPr>
              <w:br/>
              <w:t>για τη ΓΔ</w:t>
            </w:r>
            <w:r>
              <w:rPr>
                <w:b/>
                <w:noProof/>
              </w:rPr>
              <w:t xml:space="preserve"> ECFIN</w:t>
            </w:r>
          </w:p>
        </w:tc>
        <w:tc>
          <w:tcPr>
            <w:tcW w:w="1418" w:type="dxa"/>
            <w:vAlign w:val="center"/>
          </w:tcPr>
          <w:p w:rsidR="00EB61C4" w:rsidRDefault="00A8283A">
            <w:pPr>
              <w:pStyle w:val="Pagedecouverture"/>
              <w:jc w:val="center"/>
              <w:rPr>
                <w:noProof/>
                <w:sz w:val="20"/>
              </w:rPr>
            </w:pPr>
            <w:r>
              <w:rPr>
                <w:noProof/>
                <w:sz w:val="20"/>
              </w:rPr>
              <w:t>Αναλήψεις υποχρεώσεων</w:t>
            </w:r>
          </w:p>
        </w:tc>
        <w:tc>
          <w:tcPr>
            <w:tcW w:w="748" w:type="dxa"/>
            <w:vAlign w:val="center"/>
          </w:tcPr>
          <w:p w:rsidR="00EB61C4" w:rsidRDefault="00A8283A">
            <w:pPr>
              <w:pStyle w:val="Pagedecouverture"/>
              <w:jc w:val="center"/>
              <w:rPr>
                <w:noProof/>
                <w:sz w:val="16"/>
              </w:rPr>
            </w:pPr>
            <w:r>
              <w:rPr>
                <w:noProof/>
                <w:sz w:val="16"/>
              </w:rPr>
              <w:t>=1+1α +3</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40</w:t>
            </w:r>
          </w:p>
        </w:tc>
        <w:tc>
          <w:tcPr>
            <w:tcW w:w="748" w:type="dxa"/>
            <w:vAlign w:val="center"/>
          </w:tcPr>
          <w:p w:rsidR="00EB61C4" w:rsidRDefault="00EB61C4">
            <w:pPr>
              <w:pStyle w:val="Pagedecouverture"/>
              <w:jc w:val="center"/>
              <w:rPr>
                <w:noProof/>
                <w:sz w:val="20"/>
              </w:rPr>
            </w:pPr>
          </w:p>
        </w:tc>
        <w:tc>
          <w:tcPr>
            <w:tcW w:w="748" w:type="dxa"/>
            <w:vAlign w:val="center"/>
          </w:tcPr>
          <w:p w:rsidR="00EB61C4" w:rsidRDefault="00A8283A">
            <w:pPr>
              <w:pStyle w:val="Pagedecouverture"/>
              <w:jc w:val="center"/>
              <w:rPr>
                <w:noProof/>
                <w:sz w:val="20"/>
              </w:rPr>
            </w:pPr>
            <w:r>
              <w:rPr>
                <w:noProof/>
                <w:sz w:val="20"/>
              </w:rPr>
              <w:t>3,6</w:t>
            </w:r>
          </w:p>
        </w:tc>
        <w:tc>
          <w:tcPr>
            <w:tcW w:w="748" w:type="dxa"/>
            <w:vAlign w:val="center"/>
          </w:tcPr>
          <w:p w:rsidR="00EB61C4" w:rsidRDefault="00A8283A">
            <w:pPr>
              <w:pStyle w:val="Pagedecouverture"/>
              <w:jc w:val="center"/>
              <w:rPr>
                <w:noProof/>
                <w:sz w:val="20"/>
              </w:rPr>
            </w:pPr>
            <w:r>
              <w:rPr>
                <w:noProof/>
                <w:sz w:val="20"/>
              </w:rPr>
              <w:t>1,95</w:t>
            </w:r>
          </w:p>
        </w:tc>
        <w:tc>
          <w:tcPr>
            <w:tcW w:w="1051" w:type="dxa"/>
            <w:vAlign w:val="center"/>
          </w:tcPr>
          <w:p w:rsidR="00EB61C4" w:rsidRDefault="00A8283A">
            <w:pPr>
              <w:pStyle w:val="Pagedecouverture"/>
              <w:jc w:val="center"/>
              <w:rPr>
                <w:b/>
                <w:noProof/>
                <w:sz w:val="20"/>
              </w:rPr>
            </w:pPr>
            <w:r>
              <w:rPr>
                <w:b/>
                <w:noProof/>
                <w:sz w:val="20"/>
              </w:rPr>
              <w:t>45,55</w:t>
            </w:r>
          </w:p>
        </w:tc>
      </w:tr>
      <w:tr w:rsidR="00EB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ign w:val="center"/>
          </w:tcPr>
          <w:p w:rsidR="00EB61C4" w:rsidRDefault="00EB61C4">
            <w:pPr>
              <w:pStyle w:val="Pagedecouverture"/>
              <w:jc w:val="center"/>
              <w:rPr>
                <w:noProof/>
                <w:sz w:val="20"/>
              </w:rPr>
            </w:pPr>
          </w:p>
        </w:tc>
        <w:tc>
          <w:tcPr>
            <w:tcW w:w="1418" w:type="dxa"/>
            <w:vAlign w:val="center"/>
          </w:tcPr>
          <w:p w:rsidR="00EB61C4" w:rsidRDefault="00A8283A">
            <w:pPr>
              <w:pStyle w:val="Pagedecouverture"/>
              <w:jc w:val="center"/>
              <w:rPr>
                <w:noProof/>
                <w:sz w:val="20"/>
              </w:rPr>
            </w:pPr>
            <w:r>
              <w:rPr>
                <w:noProof/>
                <w:sz w:val="20"/>
              </w:rPr>
              <w:t>Πληρωμές</w:t>
            </w:r>
          </w:p>
        </w:tc>
        <w:tc>
          <w:tcPr>
            <w:tcW w:w="748" w:type="dxa"/>
            <w:vAlign w:val="center"/>
          </w:tcPr>
          <w:p w:rsidR="00EB61C4" w:rsidRDefault="00A8283A">
            <w:pPr>
              <w:pStyle w:val="Pagedecouverture"/>
              <w:jc w:val="center"/>
              <w:rPr>
                <w:noProof/>
                <w:sz w:val="16"/>
              </w:rPr>
            </w:pPr>
            <w:r>
              <w:rPr>
                <w:noProof/>
                <w:sz w:val="16"/>
              </w:rPr>
              <w:t>=2+2α</w:t>
            </w:r>
          </w:p>
          <w:p w:rsidR="00EB61C4" w:rsidRDefault="00A8283A">
            <w:pPr>
              <w:pStyle w:val="Pagedecouverture"/>
              <w:jc w:val="center"/>
              <w:rPr>
                <w:noProof/>
                <w:sz w:val="16"/>
              </w:rPr>
            </w:pPr>
            <w:r>
              <w:rPr>
                <w:noProof/>
                <w:sz w:val="16"/>
              </w:rPr>
              <w:t>+3</w:t>
            </w:r>
          </w:p>
        </w:tc>
        <w:tc>
          <w:tcPr>
            <w:tcW w:w="748" w:type="dxa"/>
            <w:vAlign w:val="center"/>
          </w:tcPr>
          <w:p w:rsidR="00EB61C4" w:rsidRDefault="00A8283A">
            <w:pPr>
              <w:pStyle w:val="Pagedecouverture"/>
              <w:jc w:val="center"/>
              <w:rPr>
                <w:noProof/>
                <w:sz w:val="20"/>
              </w:rPr>
            </w:pPr>
            <w:r>
              <w:rPr>
                <w:noProof/>
                <w:sz w:val="20"/>
              </w:rPr>
              <w:t>0,06</w:t>
            </w:r>
          </w:p>
        </w:tc>
        <w:tc>
          <w:tcPr>
            <w:tcW w:w="748" w:type="dxa"/>
            <w:vAlign w:val="center"/>
          </w:tcPr>
          <w:p w:rsidR="00EB61C4" w:rsidRDefault="00A8283A">
            <w:pPr>
              <w:pStyle w:val="Pagedecouverture"/>
              <w:jc w:val="center"/>
              <w:rPr>
                <w:noProof/>
                <w:sz w:val="20"/>
              </w:rPr>
            </w:pPr>
            <w:r>
              <w:rPr>
                <w:noProof/>
                <w:sz w:val="20"/>
              </w:rPr>
              <w:t>20</w:t>
            </w:r>
          </w:p>
        </w:tc>
        <w:tc>
          <w:tcPr>
            <w:tcW w:w="748" w:type="dxa"/>
            <w:vAlign w:val="center"/>
          </w:tcPr>
          <w:p w:rsidR="00EB61C4" w:rsidRDefault="00A8283A">
            <w:pPr>
              <w:pStyle w:val="Pagedecouverture"/>
              <w:jc w:val="center"/>
              <w:rPr>
                <w:noProof/>
                <w:sz w:val="20"/>
              </w:rPr>
            </w:pPr>
            <w:r>
              <w:rPr>
                <w:noProof/>
                <w:sz w:val="20"/>
              </w:rPr>
              <w:t>20</w:t>
            </w:r>
          </w:p>
        </w:tc>
        <w:tc>
          <w:tcPr>
            <w:tcW w:w="748" w:type="dxa"/>
            <w:vAlign w:val="center"/>
          </w:tcPr>
          <w:p w:rsidR="00EB61C4" w:rsidRDefault="00A8283A">
            <w:pPr>
              <w:pStyle w:val="Pagedecouverture"/>
              <w:jc w:val="center"/>
              <w:rPr>
                <w:noProof/>
                <w:sz w:val="20"/>
              </w:rPr>
            </w:pPr>
            <w:r>
              <w:rPr>
                <w:noProof/>
                <w:sz w:val="20"/>
              </w:rPr>
              <w:t>3,6</w:t>
            </w:r>
          </w:p>
        </w:tc>
        <w:tc>
          <w:tcPr>
            <w:tcW w:w="748" w:type="dxa"/>
            <w:vAlign w:val="center"/>
          </w:tcPr>
          <w:p w:rsidR="00EB61C4" w:rsidRDefault="00A8283A">
            <w:pPr>
              <w:pStyle w:val="Pagedecouverture"/>
              <w:jc w:val="center"/>
              <w:rPr>
                <w:noProof/>
                <w:sz w:val="20"/>
              </w:rPr>
            </w:pPr>
            <w:r>
              <w:rPr>
                <w:noProof/>
                <w:sz w:val="20"/>
              </w:rPr>
              <w:t>1,95</w:t>
            </w:r>
          </w:p>
        </w:tc>
        <w:tc>
          <w:tcPr>
            <w:tcW w:w="1051" w:type="dxa"/>
            <w:vAlign w:val="center"/>
          </w:tcPr>
          <w:p w:rsidR="00EB61C4" w:rsidRDefault="00A8283A">
            <w:pPr>
              <w:pStyle w:val="Pagedecouverture"/>
              <w:jc w:val="center"/>
              <w:rPr>
                <w:b/>
                <w:noProof/>
                <w:sz w:val="20"/>
              </w:rPr>
            </w:pPr>
            <w:r>
              <w:rPr>
                <w:b/>
                <w:noProof/>
                <w:sz w:val="20"/>
              </w:rPr>
              <w:t>45,61</w:t>
            </w:r>
          </w:p>
        </w:tc>
      </w:tr>
    </w:tbl>
    <w:p w:rsidR="00EB61C4" w:rsidRDefault="00EB61C4">
      <w:pPr>
        <w:pStyle w:val="Text1"/>
        <w:rPr>
          <w:noProof/>
          <w:sz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709"/>
        <w:gridCol w:w="747"/>
        <w:gridCol w:w="747"/>
        <w:gridCol w:w="709"/>
        <w:gridCol w:w="850"/>
        <w:gridCol w:w="709"/>
        <w:gridCol w:w="1057"/>
      </w:tblGrid>
      <w:tr w:rsidR="00EB61C4">
        <w:trPr>
          <w:trHeight w:val="277"/>
        </w:trPr>
        <w:tc>
          <w:tcPr>
            <w:tcW w:w="3687" w:type="dxa"/>
            <w:vMerge w:val="restart"/>
            <w:vAlign w:val="center"/>
          </w:tcPr>
          <w:p w:rsidR="00EB61C4" w:rsidRDefault="00A8283A">
            <w:pPr>
              <w:pStyle w:val="Pagedecouverture"/>
              <w:jc w:val="left"/>
              <w:rPr>
                <w:noProof/>
                <w:sz w:val="20"/>
              </w:rPr>
            </w:pPr>
            <w:r>
              <w:rPr>
                <w:noProof/>
              </w:rPr>
              <w:br w:type="page"/>
            </w:r>
            <w:r>
              <w:rPr>
                <w:noProof/>
                <w:sz w:val="20"/>
                <w:szCs w:val="20"/>
              </w:rPr>
              <w:sym w:font="Wingdings" w:char="F09F"/>
            </w:r>
            <w:r>
              <w:rPr>
                <w:noProof/>
                <w:sz w:val="20"/>
              </w:rPr>
              <w:t xml:space="preserve"> ΣΥΝΟΛΟ επιχειρησιακών πιστώσεων </w:t>
            </w:r>
          </w:p>
        </w:tc>
        <w:tc>
          <w:tcPr>
            <w:tcW w:w="1417" w:type="dxa"/>
            <w:vAlign w:val="center"/>
          </w:tcPr>
          <w:p w:rsidR="00EB61C4" w:rsidRDefault="00A8283A">
            <w:pPr>
              <w:pStyle w:val="Pagedecouverture"/>
              <w:jc w:val="center"/>
              <w:rPr>
                <w:noProof/>
                <w:sz w:val="20"/>
              </w:rPr>
            </w:pPr>
            <w:r>
              <w:rPr>
                <w:noProof/>
                <w:sz w:val="20"/>
              </w:rPr>
              <w:t>Αναλήψεις υποχρεώσεων</w:t>
            </w:r>
          </w:p>
        </w:tc>
        <w:tc>
          <w:tcPr>
            <w:tcW w:w="709" w:type="dxa"/>
            <w:vAlign w:val="center"/>
          </w:tcPr>
          <w:p w:rsidR="00EB61C4" w:rsidRDefault="00A8283A">
            <w:pPr>
              <w:pStyle w:val="Pagedecouverture"/>
              <w:jc w:val="center"/>
              <w:rPr>
                <w:noProof/>
                <w:sz w:val="16"/>
              </w:rPr>
            </w:pPr>
            <w:r>
              <w:rPr>
                <w:noProof/>
                <w:sz w:val="16"/>
              </w:rPr>
              <w:t>(4)</w:t>
            </w:r>
          </w:p>
        </w:tc>
        <w:tc>
          <w:tcPr>
            <w:tcW w:w="747" w:type="dxa"/>
          </w:tcPr>
          <w:p w:rsidR="00EB61C4" w:rsidRDefault="00EB61C4">
            <w:pPr>
              <w:pStyle w:val="Pagedecouverture"/>
              <w:jc w:val="center"/>
              <w:rPr>
                <w:noProof/>
                <w:sz w:val="20"/>
              </w:rPr>
            </w:pPr>
          </w:p>
        </w:tc>
        <w:tc>
          <w:tcPr>
            <w:tcW w:w="747" w:type="dxa"/>
            <w:vAlign w:val="center"/>
          </w:tcPr>
          <w:p w:rsidR="00EB61C4" w:rsidRDefault="00A8283A">
            <w:pPr>
              <w:pStyle w:val="Pagedecouverture"/>
              <w:jc w:val="center"/>
              <w:rPr>
                <w:noProof/>
                <w:sz w:val="20"/>
              </w:rPr>
            </w:pPr>
            <w:r>
              <w:rPr>
                <w:noProof/>
                <w:sz w:val="20"/>
              </w:rPr>
              <w:t>40</w:t>
            </w:r>
          </w:p>
        </w:tc>
        <w:tc>
          <w:tcPr>
            <w:tcW w:w="709" w:type="dxa"/>
            <w:vAlign w:val="center"/>
          </w:tcPr>
          <w:p w:rsidR="00EB61C4" w:rsidRDefault="00EB61C4">
            <w:pPr>
              <w:pStyle w:val="Pagedecouverture"/>
              <w:jc w:val="center"/>
              <w:rPr>
                <w:noProof/>
                <w:sz w:val="20"/>
              </w:rPr>
            </w:pPr>
          </w:p>
        </w:tc>
        <w:tc>
          <w:tcPr>
            <w:tcW w:w="850" w:type="dxa"/>
            <w:vAlign w:val="center"/>
          </w:tcPr>
          <w:p w:rsidR="00EB61C4" w:rsidRDefault="00A8283A">
            <w:pPr>
              <w:pStyle w:val="Pagedecouverture"/>
              <w:jc w:val="center"/>
              <w:rPr>
                <w:noProof/>
                <w:sz w:val="20"/>
              </w:rPr>
            </w:pPr>
            <w:r>
              <w:rPr>
                <w:noProof/>
                <w:sz w:val="20"/>
              </w:rPr>
              <w:t>3,6</w:t>
            </w:r>
          </w:p>
        </w:tc>
        <w:tc>
          <w:tcPr>
            <w:tcW w:w="709" w:type="dxa"/>
            <w:vAlign w:val="center"/>
          </w:tcPr>
          <w:p w:rsidR="00EB61C4" w:rsidRDefault="00A8283A">
            <w:pPr>
              <w:pStyle w:val="Pagedecouverture"/>
              <w:jc w:val="center"/>
              <w:rPr>
                <w:noProof/>
                <w:sz w:val="20"/>
              </w:rPr>
            </w:pPr>
            <w:r>
              <w:rPr>
                <w:noProof/>
                <w:sz w:val="20"/>
              </w:rPr>
              <w:t>1,8</w:t>
            </w:r>
          </w:p>
        </w:tc>
        <w:tc>
          <w:tcPr>
            <w:tcW w:w="1057" w:type="dxa"/>
            <w:vAlign w:val="center"/>
          </w:tcPr>
          <w:p w:rsidR="00EB61C4" w:rsidRDefault="00A8283A">
            <w:pPr>
              <w:pStyle w:val="Pagedecouverture"/>
              <w:jc w:val="center"/>
              <w:rPr>
                <w:b/>
                <w:noProof/>
                <w:sz w:val="20"/>
              </w:rPr>
            </w:pPr>
            <w:r>
              <w:rPr>
                <w:b/>
                <w:noProof/>
                <w:sz w:val="20"/>
              </w:rPr>
              <w:t>45,4</w:t>
            </w:r>
          </w:p>
        </w:tc>
      </w:tr>
      <w:tr w:rsidR="00EB61C4">
        <w:tc>
          <w:tcPr>
            <w:tcW w:w="3687" w:type="dxa"/>
            <w:vMerge/>
          </w:tcPr>
          <w:p w:rsidR="00EB61C4" w:rsidRDefault="00EB61C4">
            <w:pPr>
              <w:pStyle w:val="Pagedecouverture"/>
              <w:rPr>
                <w:noProof/>
                <w:sz w:val="20"/>
              </w:rPr>
            </w:pPr>
          </w:p>
        </w:tc>
        <w:tc>
          <w:tcPr>
            <w:tcW w:w="1417" w:type="dxa"/>
            <w:vAlign w:val="center"/>
          </w:tcPr>
          <w:p w:rsidR="00EB61C4" w:rsidRDefault="00A8283A">
            <w:pPr>
              <w:pStyle w:val="Pagedecouverture"/>
              <w:jc w:val="center"/>
              <w:rPr>
                <w:noProof/>
                <w:sz w:val="20"/>
              </w:rPr>
            </w:pPr>
            <w:r>
              <w:rPr>
                <w:noProof/>
                <w:sz w:val="20"/>
              </w:rPr>
              <w:t>Πληρωμές</w:t>
            </w:r>
          </w:p>
        </w:tc>
        <w:tc>
          <w:tcPr>
            <w:tcW w:w="709" w:type="dxa"/>
            <w:vAlign w:val="center"/>
          </w:tcPr>
          <w:p w:rsidR="00EB61C4" w:rsidRDefault="00A8283A">
            <w:pPr>
              <w:pStyle w:val="Pagedecouverture"/>
              <w:jc w:val="center"/>
              <w:rPr>
                <w:noProof/>
                <w:sz w:val="16"/>
              </w:rPr>
            </w:pPr>
            <w:r>
              <w:rPr>
                <w:noProof/>
                <w:sz w:val="16"/>
              </w:rPr>
              <w:t>(5)</w:t>
            </w:r>
          </w:p>
        </w:tc>
        <w:tc>
          <w:tcPr>
            <w:tcW w:w="747" w:type="dxa"/>
          </w:tcPr>
          <w:p w:rsidR="00EB61C4" w:rsidRDefault="00EB61C4">
            <w:pPr>
              <w:pStyle w:val="Pagedecouverture"/>
              <w:jc w:val="center"/>
              <w:rPr>
                <w:noProof/>
                <w:sz w:val="20"/>
              </w:rPr>
            </w:pPr>
          </w:p>
        </w:tc>
        <w:tc>
          <w:tcPr>
            <w:tcW w:w="747" w:type="dxa"/>
            <w:vAlign w:val="center"/>
          </w:tcPr>
          <w:p w:rsidR="00EB61C4" w:rsidRDefault="00A8283A">
            <w:pPr>
              <w:pStyle w:val="Pagedecouverture"/>
              <w:jc w:val="center"/>
              <w:rPr>
                <w:noProof/>
                <w:sz w:val="20"/>
              </w:rPr>
            </w:pPr>
            <w:r>
              <w:rPr>
                <w:noProof/>
                <w:sz w:val="20"/>
              </w:rPr>
              <w:t>20</w:t>
            </w:r>
          </w:p>
        </w:tc>
        <w:tc>
          <w:tcPr>
            <w:tcW w:w="709" w:type="dxa"/>
            <w:vAlign w:val="center"/>
          </w:tcPr>
          <w:p w:rsidR="00EB61C4" w:rsidRDefault="00A8283A">
            <w:pPr>
              <w:pStyle w:val="Pagedecouverture"/>
              <w:jc w:val="center"/>
              <w:rPr>
                <w:noProof/>
                <w:sz w:val="20"/>
              </w:rPr>
            </w:pPr>
            <w:r>
              <w:rPr>
                <w:noProof/>
                <w:sz w:val="20"/>
              </w:rPr>
              <w:t>20</w:t>
            </w:r>
          </w:p>
        </w:tc>
        <w:tc>
          <w:tcPr>
            <w:tcW w:w="850" w:type="dxa"/>
            <w:vAlign w:val="center"/>
          </w:tcPr>
          <w:p w:rsidR="00EB61C4" w:rsidRDefault="00A8283A">
            <w:pPr>
              <w:pStyle w:val="Pagedecouverture"/>
              <w:jc w:val="center"/>
              <w:rPr>
                <w:noProof/>
                <w:sz w:val="20"/>
              </w:rPr>
            </w:pPr>
            <w:r>
              <w:rPr>
                <w:noProof/>
                <w:sz w:val="20"/>
              </w:rPr>
              <w:t>3,6</w:t>
            </w:r>
          </w:p>
        </w:tc>
        <w:tc>
          <w:tcPr>
            <w:tcW w:w="709" w:type="dxa"/>
            <w:vAlign w:val="center"/>
          </w:tcPr>
          <w:p w:rsidR="00EB61C4" w:rsidRDefault="00A8283A">
            <w:pPr>
              <w:pStyle w:val="Pagedecouverture"/>
              <w:jc w:val="center"/>
              <w:rPr>
                <w:noProof/>
                <w:sz w:val="20"/>
              </w:rPr>
            </w:pPr>
            <w:r>
              <w:rPr>
                <w:noProof/>
                <w:sz w:val="20"/>
              </w:rPr>
              <w:t>1,8</w:t>
            </w:r>
          </w:p>
        </w:tc>
        <w:tc>
          <w:tcPr>
            <w:tcW w:w="1057" w:type="dxa"/>
            <w:vAlign w:val="center"/>
          </w:tcPr>
          <w:p w:rsidR="00EB61C4" w:rsidRDefault="00A8283A">
            <w:pPr>
              <w:pStyle w:val="Pagedecouverture"/>
              <w:jc w:val="center"/>
              <w:rPr>
                <w:b/>
                <w:noProof/>
                <w:sz w:val="20"/>
              </w:rPr>
            </w:pPr>
            <w:r>
              <w:rPr>
                <w:b/>
                <w:noProof/>
                <w:sz w:val="20"/>
              </w:rPr>
              <w:t>45,4</w:t>
            </w:r>
          </w:p>
        </w:tc>
      </w:tr>
      <w:tr w:rsidR="00EB61C4">
        <w:trPr>
          <w:trHeight w:val="641"/>
        </w:trPr>
        <w:tc>
          <w:tcPr>
            <w:tcW w:w="5104" w:type="dxa"/>
            <w:gridSpan w:val="2"/>
            <w:vAlign w:val="center"/>
          </w:tcPr>
          <w:p w:rsidR="00EB61C4" w:rsidRDefault="00A8283A">
            <w:pPr>
              <w:pStyle w:val="Pagedecouverture"/>
              <w:jc w:val="left"/>
              <w:rPr>
                <w:noProof/>
                <w:sz w:val="14"/>
              </w:rPr>
            </w:pPr>
            <w:r>
              <w:rPr>
                <w:noProof/>
                <w:sz w:val="20"/>
              </w:rPr>
              <w:t xml:space="preserve">ΣΥΝΟΛΟ πιστώσεων διοικητικού χαρακτήρα χρηματοδοτούμενων από το κονδύλιο </w:t>
            </w:r>
            <w:r>
              <w:rPr>
                <w:noProof/>
                <w:sz w:val="20"/>
              </w:rPr>
              <w:t>ειδικών προγραμμάτων</w:t>
            </w:r>
          </w:p>
        </w:tc>
        <w:tc>
          <w:tcPr>
            <w:tcW w:w="709" w:type="dxa"/>
            <w:vAlign w:val="center"/>
          </w:tcPr>
          <w:p w:rsidR="00EB61C4" w:rsidRDefault="00A8283A">
            <w:pPr>
              <w:pStyle w:val="Pagedecouverture"/>
              <w:jc w:val="center"/>
              <w:rPr>
                <w:noProof/>
                <w:sz w:val="16"/>
              </w:rPr>
            </w:pPr>
            <w:r>
              <w:rPr>
                <w:noProof/>
                <w:sz w:val="16"/>
              </w:rPr>
              <w:t>(6)</w:t>
            </w:r>
          </w:p>
        </w:tc>
        <w:tc>
          <w:tcPr>
            <w:tcW w:w="747" w:type="dxa"/>
            <w:vAlign w:val="center"/>
          </w:tcPr>
          <w:p w:rsidR="00EB61C4" w:rsidRDefault="00A8283A">
            <w:pPr>
              <w:pStyle w:val="Pagedecouverture"/>
              <w:jc w:val="center"/>
              <w:rPr>
                <w:noProof/>
                <w:sz w:val="20"/>
              </w:rPr>
            </w:pPr>
            <w:r>
              <w:rPr>
                <w:noProof/>
                <w:sz w:val="20"/>
              </w:rPr>
              <w:t>0,06</w:t>
            </w:r>
          </w:p>
        </w:tc>
        <w:tc>
          <w:tcPr>
            <w:tcW w:w="747" w:type="dxa"/>
            <w:vAlign w:val="center"/>
          </w:tcPr>
          <w:p w:rsidR="00EB61C4" w:rsidRDefault="00EB61C4">
            <w:pPr>
              <w:pStyle w:val="Pagedecouverture"/>
              <w:jc w:val="center"/>
              <w:rPr>
                <w:noProof/>
                <w:sz w:val="20"/>
              </w:rPr>
            </w:pPr>
          </w:p>
        </w:tc>
        <w:tc>
          <w:tcPr>
            <w:tcW w:w="709" w:type="dxa"/>
            <w:vAlign w:val="center"/>
          </w:tcPr>
          <w:p w:rsidR="00EB61C4" w:rsidRDefault="00EB61C4">
            <w:pPr>
              <w:pStyle w:val="Pagedecouverture"/>
              <w:jc w:val="center"/>
              <w:rPr>
                <w:noProof/>
                <w:sz w:val="20"/>
              </w:rPr>
            </w:pPr>
          </w:p>
        </w:tc>
        <w:tc>
          <w:tcPr>
            <w:tcW w:w="850" w:type="dxa"/>
            <w:vAlign w:val="center"/>
          </w:tcPr>
          <w:p w:rsidR="00EB61C4" w:rsidRDefault="00EB61C4">
            <w:pPr>
              <w:pStyle w:val="Pagedecouverture"/>
              <w:jc w:val="center"/>
              <w:rPr>
                <w:noProof/>
                <w:sz w:val="20"/>
              </w:rPr>
            </w:pPr>
          </w:p>
        </w:tc>
        <w:tc>
          <w:tcPr>
            <w:tcW w:w="709" w:type="dxa"/>
            <w:vAlign w:val="center"/>
          </w:tcPr>
          <w:p w:rsidR="00EB61C4" w:rsidRDefault="00A8283A">
            <w:pPr>
              <w:pStyle w:val="Pagedecouverture"/>
              <w:jc w:val="center"/>
              <w:rPr>
                <w:noProof/>
                <w:sz w:val="20"/>
              </w:rPr>
            </w:pPr>
            <w:r>
              <w:rPr>
                <w:noProof/>
                <w:sz w:val="20"/>
              </w:rPr>
              <w:t>0,15</w:t>
            </w:r>
          </w:p>
        </w:tc>
        <w:tc>
          <w:tcPr>
            <w:tcW w:w="1057" w:type="dxa"/>
            <w:vAlign w:val="center"/>
          </w:tcPr>
          <w:p w:rsidR="00EB61C4" w:rsidRDefault="00A8283A">
            <w:pPr>
              <w:pStyle w:val="Pagedecouverture"/>
              <w:jc w:val="center"/>
              <w:rPr>
                <w:b/>
                <w:noProof/>
                <w:sz w:val="20"/>
              </w:rPr>
            </w:pPr>
            <w:r>
              <w:rPr>
                <w:b/>
                <w:noProof/>
                <w:sz w:val="20"/>
              </w:rPr>
              <w:t>0,21</w:t>
            </w:r>
          </w:p>
        </w:tc>
      </w:tr>
      <w:tr w:rsidR="00EB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EB61C4" w:rsidRDefault="00EB61C4">
            <w:pPr>
              <w:pStyle w:val="Pagedecouverture"/>
              <w:rPr>
                <w:noProof/>
                <w:sz w:val="20"/>
              </w:rPr>
            </w:pPr>
          </w:p>
        </w:tc>
        <w:tc>
          <w:tcPr>
            <w:tcW w:w="709" w:type="dxa"/>
          </w:tcPr>
          <w:p w:rsidR="00EB61C4" w:rsidRDefault="00EB61C4">
            <w:pPr>
              <w:pStyle w:val="Pagedecouverture"/>
              <w:jc w:val="center"/>
              <w:rPr>
                <w:noProof/>
                <w:sz w:val="20"/>
              </w:rPr>
            </w:pPr>
          </w:p>
        </w:tc>
        <w:tc>
          <w:tcPr>
            <w:tcW w:w="747" w:type="dxa"/>
          </w:tcPr>
          <w:p w:rsidR="00EB61C4" w:rsidRDefault="00EB61C4">
            <w:pPr>
              <w:pStyle w:val="Pagedecouverture"/>
              <w:jc w:val="center"/>
              <w:rPr>
                <w:noProof/>
                <w:sz w:val="20"/>
              </w:rPr>
            </w:pPr>
          </w:p>
        </w:tc>
        <w:tc>
          <w:tcPr>
            <w:tcW w:w="747" w:type="dxa"/>
          </w:tcPr>
          <w:p w:rsidR="00EB61C4" w:rsidRDefault="00EB61C4">
            <w:pPr>
              <w:pStyle w:val="Pagedecouverture"/>
              <w:jc w:val="center"/>
              <w:rPr>
                <w:noProof/>
                <w:sz w:val="20"/>
              </w:rPr>
            </w:pPr>
          </w:p>
        </w:tc>
        <w:tc>
          <w:tcPr>
            <w:tcW w:w="709" w:type="dxa"/>
          </w:tcPr>
          <w:p w:rsidR="00EB61C4" w:rsidRDefault="00EB61C4">
            <w:pPr>
              <w:pStyle w:val="Pagedecouverture"/>
              <w:jc w:val="center"/>
              <w:rPr>
                <w:noProof/>
                <w:sz w:val="20"/>
              </w:rPr>
            </w:pPr>
          </w:p>
        </w:tc>
        <w:tc>
          <w:tcPr>
            <w:tcW w:w="850" w:type="dxa"/>
          </w:tcPr>
          <w:p w:rsidR="00EB61C4" w:rsidRDefault="00EB61C4">
            <w:pPr>
              <w:pStyle w:val="Pagedecouverture"/>
              <w:jc w:val="center"/>
              <w:rPr>
                <w:noProof/>
                <w:sz w:val="20"/>
              </w:rPr>
            </w:pPr>
          </w:p>
        </w:tc>
        <w:tc>
          <w:tcPr>
            <w:tcW w:w="709" w:type="dxa"/>
          </w:tcPr>
          <w:p w:rsidR="00EB61C4" w:rsidRDefault="00EB61C4">
            <w:pPr>
              <w:pStyle w:val="Pagedecouverture"/>
              <w:jc w:val="center"/>
              <w:rPr>
                <w:noProof/>
                <w:sz w:val="20"/>
              </w:rPr>
            </w:pPr>
          </w:p>
        </w:tc>
        <w:tc>
          <w:tcPr>
            <w:tcW w:w="1057" w:type="dxa"/>
          </w:tcPr>
          <w:p w:rsidR="00EB61C4" w:rsidRDefault="00EB61C4">
            <w:pPr>
              <w:pStyle w:val="Pagedecouverture"/>
              <w:jc w:val="center"/>
              <w:rPr>
                <w:b/>
                <w:noProof/>
                <w:sz w:val="20"/>
              </w:rPr>
            </w:pPr>
          </w:p>
        </w:tc>
      </w:tr>
      <w:tr w:rsidR="00EB61C4">
        <w:tc>
          <w:tcPr>
            <w:tcW w:w="3687" w:type="dxa"/>
            <w:vMerge w:val="restart"/>
            <w:shd w:val="clear" w:color="C0C0C0" w:fill="auto"/>
            <w:vAlign w:val="center"/>
          </w:tcPr>
          <w:p w:rsidR="00EB61C4" w:rsidRDefault="00A8283A">
            <w:pPr>
              <w:pStyle w:val="Pagedecouverture"/>
              <w:jc w:val="center"/>
              <w:rPr>
                <w:noProof/>
                <w:sz w:val="20"/>
              </w:rPr>
            </w:pPr>
            <w:r>
              <w:rPr>
                <w:b/>
                <w:noProof/>
                <w:sz w:val="22"/>
              </w:rPr>
              <w:t xml:space="preserve">ΣΥΝΟΛΟ πιστώσεων </w:t>
            </w:r>
            <w:r>
              <w:rPr>
                <w:b/>
                <w:noProof/>
                <w:sz w:val="22"/>
              </w:rPr>
              <w:br/>
              <w:t>του ΤΟΜΕΑ 4</w:t>
            </w:r>
            <w:r>
              <w:rPr>
                <w:b/>
                <w:noProof/>
                <w:sz w:val="20"/>
              </w:rPr>
              <w:br/>
            </w:r>
            <w:r>
              <w:rPr>
                <w:noProof/>
                <w:sz w:val="20"/>
              </w:rPr>
              <w:t>του πολυετούς δημοσιονομικού πλαισίου</w:t>
            </w:r>
          </w:p>
        </w:tc>
        <w:tc>
          <w:tcPr>
            <w:tcW w:w="1417" w:type="dxa"/>
            <w:vAlign w:val="center"/>
          </w:tcPr>
          <w:p w:rsidR="00EB61C4" w:rsidRDefault="00A8283A">
            <w:pPr>
              <w:pStyle w:val="Pagedecouverture"/>
              <w:jc w:val="center"/>
              <w:rPr>
                <w:noProof/>
                <w:sz w:val="20"/>
              </w:rPr>
            </w:pPr>
            <w:r>
              <w:rPr>
                <w:noProof/>
                <w:sz w:val="20"/>
              </w:rPr>
              <w:t>Αναλήψεις υποχρεώσεων</w:t>
            </w:r>
          </w:p>
        </w:tc>
        <w:tc>
          <w:tcPr>
            <w:tcW w:w="709" w:type="dxa"/>
            <w:vAlign w:val="center"/>
          </w:tcPr>
          <w:p w:rsidR="00EB61C4" w:rsidRDefault="00A8283A">
            <w:pPr>
              <w:pStyle w:val="Pagedecouverture"/>
              <w:jc w:val="center"/>
              <w:rPr>
                <w:noProof/>
                <w:sz w:val="16"/>
              </w:rPr>
            </w:pPr>
            <w:r>
              <w:rPr>
                <w:noProof/>
                <w:sz w:val="16"/>
              </w:rPr>
              <w:t>=4+ 6</w:t>
            </w:r>
          </w:p>
        </w:tc>
        <w:tc>
          <w:tcPr>
            <w:tcW w:w="747" w:type="dxa"/>
          </w:tcPr>
          <w:p w:rsidR="00EB61C4" w:rsidRDefault="00EB61C4">
            <w:pPr>
              <w:pStyle w:val="Pagedecouverture"/>
              <w:jc w:val="center"/>
              <w:rPr>
                <w:noProof/>
                <w:sz w:val="20"/>
              </w:rPr>
            </w:pPr>
          </w:p>
        </w:tc>
        <w:tc>
          <w:tcPr>
            <w:tcW w:w="747" w:type="dxa"/>
            <w:vAlign w:val="center"/>
          </w:tcPr>
          <w:p w:rsidR="00EB61C4" w:rsidRDefault="00A8283A">
            <w:pPr>
              <w:pStyle w:val="Pagedecouverture"/>
              <w:jc w:val="center"/>
              <w:rPr>
                <w:noProof/>
                <w:sz w:val="20"/>
              </w:rPr>
            </w:pPr>
            <w:r>
              <w:rPr>
                <w:noProof/>
                <w:sz w:val="20"/>
              </w:rPr>
              <w:t>40</w:t>
            </w:r>
          </w:p>
        </w:tc>
        <w:tc>
          <w:tcPr>
            <w:tcW w:w="709" w:type="dxa"/>
            <w:vAlign w:val="center"/>
          </w:tcPr>
          <w:p w:rsidR="00EB61C4" w:rsidRDefault="00EB61C4">
            <w:pPr>
              <w:pStyle w:val="Pagedecouverture"/>
              <w:jc w:val="center"/>
              <w:rPr>
                <w:noProof/>
                <w:sz w:val="20"/>
              </w:rPr>
            </w:pPr>
          </w:p>
        </w:tc>
        <w:tc>
          <w:tcPr>
            <w:tcW w:w="850" w:type="dxa"/>
            <w:vAlign w:val="center"/>
          </w:tcPr>
          <w:p w:rsidR="00EB61C4" w:rsidRDefault="00A8283A">
            <w:pPr>
              <w:pStyle w:val="Pagedecouverture"/>
              <w:jc w:val="center"/>
              <w:rPr>
                <w:noProof/>
                <w:sz w:val="20"/>
              </w:rPr>
            </w:pPr>
            <w:r>
              <w:rPr>
                <w:noProof/>
                <w:sz w:val="20"/>
              </w:rPr>
              <w:t>3,6</w:t>
            </w:r>
          </w:p>
        </w:tc>
        <w:tc>
          <w:tcPr>
            <w:tcW w:w="709" w:type="dxa"/>
            <w:vAlign w:val="center"/>
          </w:tcPr>
          <w:p w:rsidR="00EB61C4" w:rsidRDefault="00A8283A">
            <w:pPr>
              <w:pStyle w:val="Pagedecouverture"/>
              <w:jc w:val="center"/>
              <w:rPr>
                <w:noProof/>
                <w:sz w:val="20"/>
              </w:rPr>
            </w:pPr>
            <w:r>
              <w:rPr>
                <w:noProof/>
                <w:sz w:val="20"/>
              </w:rPr>
              <w:t>1,95</w:t>
            </w:r>
          </w:p>
        </w:tc>
        <w:tc>
          <w:tcPr>
            <w:tcW w:w="1057" w:type="dxa"/>
            <w:vAlign w:val="center"/>
          </w:tcPr>
          <w:p w:rsidR="00EB61C4" w:rsidRDefault="00A8283A">
            <w:pPr>
              <w:pStyle w:val="Pagedecouverture"/>
              <w:jc w:val="center"/>
              <w:rPr>
                <w:b/>
                <w:noProof/>
                <w:sz w:val="20"/>
              </w:rPr>
            </w:pPr>
            <w:r>
              <w:rPr>
                <w:b/>
                <w:noProof/>
                <w:sz w:val="20"/>
              </w:rPr>
              <w:t>45,55</w:t>
            </w:r>
          </w:p>
        </w:tc>
      </w:tr>
      <w:tr w:rsidR="00EB61C4">
        <w:tc>
          <w:tcPr>
            <w:tcW w:w="3687" w:type="dxa"/>
            <w:vMerge/>
            <w:shd w:val="thinDiagStripe" w:color="C0C0C0" w:fill="auto"/>
          </w:tcPr>
          <w:p w:rsidR="00EB61C4" w:rsidRDefault="00EB61C4">
            <w:pPr>
              <w:pStyle w:val="Pagedecouverture"/>
              <w:rPr>
                <w:noProof/>
                <w:sz w:val="20"/>
              </w:rPr>
            </w:pPr>
          </w:p>
        </w:tc>
        <w:tc>
          <w:tcPr>
            <w:tcW w:w="1417" w:type="dxa"/>
            <w:vAlign w:val="center"/>
          </w:tcPr>
          <w:p w:rsidR="00EB61C4" w:rsidRDefault="00A8283A">
            <w:pPr>
              <w:pStyle w:val="Pagedecouverture"/>
              <w:jc w:val="center"/>
              <w:rPr>
                <w:noProof/>
                <w:sz w:val="20"/>
              </w:rPr>
            </w:pPr>
            <w:r>
              <w:rPr>
                <w:noProof/>
                <w:sz w:val="20"/>
              </w:rPr>
              <w:t>Πληρωμές</w:t>
            </w:r>
          </w:p>
        </w:tc>
        <w:tc>
          <w:tcPr>
            <w:tcW w:w="709" w:type="dxa"/>
            <w:vAlign w:val="center"/>
          </w:tcPr>
          <w:p w:rsidR="00EB61C4" w:rsidRDefault="00A8283A">
            <w:pPr>
              <w:pStyle w:val="Pagedecouverture"/>
              <w:jc w:val="center"/>
              <w:rPr>
                <w:noProof/>
                <w:sz w:val="16"/>
              </w:rPr>
            </w:pPr>
            <w:r>
              <w:rPr>
                <w:noProof/>
                <w:sz w:val="16"/>
              </w:rPr>
              <w:t>=5+ 6</w:t>
            </w:r>
          </w:p>
        </w:tc>
        <w:tc>
          <w:tcPr>
            <w:tcW w:w="747" w:type="dxa"/>
            <w:vAlign w:val="center"/>
          </w:tcPr>
          <w:p w:rsidR="00EB61C4" w:rsidRDefault="00A8283A">
            <w:pPr>
              <w:pStyle w:val="Pagedecouverture"/>
              <w:jc w:val="center"/>
              <w:rPr>
                <w:noProof/>
                <w:sz w:val="20"/>
              </w:rPr>
            </w:pPr>
            <w:r>
              <w:rPr>
                <w:noProof/>
                <w:sz w:val="20"/>
              </w:rPr>
              <w:t>0,06</w:t>
            </w:r>
          </w:p>
        </w:tc>
        <w:tc>
          <w:tcPr>
            <w:tcW w:w="747" w:type="dxa"/>
            <w:vAlign w:val="center"/>
          </w:tcPr>
          <w:p w:rsidR="00EB61C4" w:rsidRDefault="00A8283A">
            <w:pPr>
              <w:pStyle w:val="Pagedecouverture"/>
              <w:jc w:val="center"/>
              <w:rPr>
                <w:noProof/>
                <w:sz w:val="20"/>
              </w:rPr>
            </w:pPr>
            <w:r>
              <w:rPr>
                <w:noProof/>
                <w:sz w:val="20"/>
              </w:rPr>
              <w:t>20</w:t>
            </w:r>
          </w:p>
        </w:tc>
        <w:tc>
          <w:tcPr>
            <w:tcW w:w="709" w:type="dxa"/>
            <w:vAlign w:val="center"/>
          </w:tcPr>
          <w:p w:rsidR="00EB61C4" w:rsidRDefault="00A8283A">
            <w:pPr>
              <w:pStyle w:val="Pagedecouverture"/>
              <w:jc w:val="center"/>
              <w:rPr>
                <w:noProof/>
                <w:sz w:val="20"/>
              </w:rPr>
            </w:pPr>
            <w:r>
              <w:rPr>
                <w:noProof/>
                <w:sz w:val="20"/>
              </w:rPr>
              <w:t>20</w:t>
            </w:r>
          </w:p>
        </w:tc>
        <w:tc>
          <w:tcPr>
            <w:tcW w:w="850" w:type="dxa"/>
            <w:vAlign w:val="center"/>
          </w:tcPr>
          <w:p w:rsidR="00EB61C4" w:rsidRDefault="00A8283A">
            <w:pPr>
              <w:pStyle w:val="Pagedecouverture"/>
              <w:jc w:val="center"/>
              <w:rPr>
                <w:noProof/>
                <w:sz w:val="20"/>
              </w:rPr>
            </w:pPr>
            <w:r>
              <w:rPr>
                <w:noProof/>
                <w:sz w:val="20"/>
              </w:rPr>
              <w:t>3,6</w:t>
            </w:r>
          </w:p>
        </w:tc>
        <w:tc>
          <w:tcPr>
            <w:tcW w:w="709" w:type="dxa"/>
            <w:vAlign w:val="center"/>
          </w:tcPr>
          <w:p w:rsidR="00EB61C4" w:rsidRDefault="00A8283A">
            <w:pPr>
              <w:pStyle w:val="Pagedecouverture"/>
              <w:jc w:val="center"/>
              <w:rPr>
                <w:noProof/>
                <w:sz w:val="20"/>
              </w:rPr>
            </w:pPr>
            <w:r>
              <w:rPr>
                <w:noProof/>
                <w:sz w:val="20"/>
              </w:rPr>
              <w:t>1,95</w:t>
            </w:r>
          </w:p>
        </w:tc>
        <w:tc>
          <w:tcPr>
            <w:tcW w:w="1057" w:type="dxa"/>
            <w:vAlign w:val="center"/>
          </w:tcPr>
          <w:p w:rsidR="00EB61C4" w:rsidRDefault="00A8283A">
            <w:pPr>
              <w:pStyle w:val="Pagedecouverture"/>
              <w:jc w:val="center"/>
              <w:rPr>
                <w:b/>
                <w:noProof/>
                <w:sz w:val="20"/>
              </w:rPr>
            </w:pPr>
            <w:r>
              <w:rPr>
                <w:b/>
                <w:noProof/>
                <w:sz w:val="20"/>
              </w:rPr>
              <w:t>45,61</w:t>
            </w:r>
          </w:p>
        </w:tc>
      </w:tr>
    </w:tbl>
    <w:p w:rsidR="00EB61C4" w:rsidRDefault="00EB61C4">
      <w:pPr>
        <w:pStyle w:val="Text1"/>
        <w:rPr>
          <w:noProof/>
        </w:rPr>
      </w:pPr>
    </w:p>
    <w:p w:rsidR="00EB61C4" w:rsidRDefault="00A8283A">
      <w:pPr>
        <w:pStyle w:val="Text1"/>
        <w:rPr>
          <w:noProof/>
        </w:rPr>
      </w:pPr>
      <w:r>
        <w:rPr>
          <w:noProof/>
        </w:rPr>
        <w:br w:type="page"/>
      </w:r>
    </w:p>
    <w:p w:rsidR="00EB61C4" w:rsidRDefault="00A8283A">
      <w:pPr>
        <w:pStyle w:val="Text10"/>
        <w:rPr>
          <w:b/>
          <w:sz w:val="22"/>
          <w:szCs w:val="22"/>
          <w:u w:val="single"/>
        </w:rPr>
      </w:pPr>
      <w:r>
        <w:rPr>
          <w:b/>
          <w:sz w:val="22"/>
          <w:u w:val="single"/>
        </w:rPr>
        <w:t xml:space="preserve">Αν η πρόταση/πρωτοβουλία επηρεάζει </w:t>
      </w:r>
      <w:r>
        <w:rPr>
          <w:b/>
          <w:sz w:val="22"/>
          <w:u w:val="single"/>
        </w:rPr>
        <w:t>περισσότερους του ενός τομείς:</w:t>
      </w:r>
    </w:p>
    <w:p w:rsidR="00EB61C4" w:rsidRDefault="00A8283A">
      <w:pPr>
        <w:pStyle w:val="Text10"/>
        <w:spacing w:before="240" w:after="120"/>
        <w:jc w:val="right"/>
        <w:rPr>
          <w:sz w:val="22"/>
          <w:szCs w:val="22"/>
        </w:rPr>
      </w:pPr>
      <w:r>
        <w:rPr>
          <w:sz w:val="22"/>
        </w:rPr>
        <w:t>Σε εκατ. EUR</w:t>
      </w:r>
      <w:r>
        <w:t xml:space="preserve"> (με 3 δεκαδικά ψηφία)</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851"/>
        <w:gridCol w:w="142"/>
        <w:gridCol w:w="851"/>
        <w:gridCol w:w="851"/>
        <w:gridCol w:w="850"/>
        <w:gridCol w:w="851"/>
        <w:gridCol w:w="992"/>
      </w:tblGrid>
      <w:tr w:rsidR="00EB61C4">
        <w:trPr>
          <w:trHeight w:val="692"/>
        </w:trPr>
        <w:tc>
          <w:tcPr>
            <w:tcW w:w="3054" w:type="dxa"/>
            <w:vAlign w:val="center"/>
          </w:tcPr>
          <w:p w:rsidR="00EB61C4" w:rsidRDefault="00A8283A">
            <w:pPr>
              <w:pStyle w:val="Pagedecouverture"/>
              <w:jc w:val="center"/>
              <w:rPr>
                <w:b/>
                <w:noProof/>
              </w:rPr>
            </w:pPr>
            <w:r>
              <w:rPr>
                <w:b/>
                <w:noProof/>
              </w:rPr>
              <w:t>Τομέας του πολυετούς δημοσιονομικού πλαισίου:</w:t>
            </w:r>
          </w:p>
        </w:tc>
        <w:tc>
          <w:tcPr>
            <w:tcW w:w="1842" w:type="dxa"/>
            <w:vAlign w:val="center"/>
          </w:tcPr>
          <w:p w:rsidR="00EB61C4" w:rsidRDefault="00A8283A">
            <w:pPr>
              <w:pStyle w:val="Pagedecouverture"/>
              <w:jc w:val="center"/>
              <w:rPr>
                <w:b/>
                <w:noProof/>
              </w:rPr>
            </w:pPr>
            <w:r>
              <w:rPr>
                <w:b/>
                <w:noProof/>
              </w:rPr>
              <w:t>5</w:t>
            </w:r>
          </w:p>
        </w:tc>
        <w:tc>
          <w:tcPr>
            <w:tcW w:w="5388" w:type="dxa"/>
            <w:gridSpan w:val="7"/>
            <w:vAlign w:val="center"/>
          </w:tcPr>
          <w:p w:rsidR="00EB61C4" w:rsidRDefault="00A8283A">
            <w:pPr>
              <w:pStyle w:val="Pagedecouverture"/>
              <w:jc w:val="center"/>
              <w:rPr>
                <w:b/>
                <w:noProof/>
              </w:rPr>
            </w:pPr>
            <w:r>
              <w:rPr>
                <w:noProof/>
              </w:rPr>
              <w:t>«Διοικητικές δαπάνες»</w:t>
            </w:r>
          </w:p>
        </w:tc>
      </w:tr>
      <w:tr w:rsidR="00EB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Pr>
          <w:p w:rsidR="00EB61C4" w:rsidRDefault="00EB61C4">
            <w:pPr>
              <w:pStyle w:val="Pagedecouverture"/>
              <w:rPr>
                <w:noProof/>
                <w:sz w:val="22"/>
              </w:rPr>
            </w:pPr>
          </w:p>
        </w:tc>
        <w:tc>
          <w:tcPr>
            <w:tcW w:w="1842" w:type="dxa"/>
          </w:tcPr>
          <w:p w:rsidR="00EB61C4" w:rsidRDefault="00EB61C4">
            <w:pPr>
              <w:pStyle w:val="Pagedecouverture"/>
              <w:rPr>
                <w:noProof/>
                <w:sz w:val="22"/>
              </w:rPr>
            </w:pPr>
          </w:p>
        </w:tc>
        <w:tc>
          <w:tcPr>
            <w:tcW w:w="993" w:type="dxa"/>
            <w:gridSpan w:val="2"/>
          </w:tcPr>
          <w:p w:rsidR="00EB61C4" w:rsidRDefault="00A8283A">
            <w:pPr>
              <w:pStyle w:val="Pagedecouverture"/>
              <w:spacing w:before="120" w:after="240"/>
              <w:jc w:val="center"/>
              <w:rPr>
                <w:noProof/>
                <w:sz w:val="22"/>
              </w:rPr>
            </w:pPr>
            <w:r>
              <w:rPr>
                <w:noProof/>
                <w:sz w:val="22"/>
              </w:rPr>
              <w:t>Έτος</w:t>
            </w:r>
            <w:r>
              <w:rPr>
                <w:noProof/>
                <w:sz w:val="22"/>
              </w:rPr>
              <w:br/>
            </w:r>
            <w:r>
              <w:rPr>
                <w:b/>
                <w:noProof/>
                <w:sz w:val="22"/>
              </w:rPr>
              <w:t>2016</w:t>
            </w:r>
          </w:p>
        </w:tc>
        <w:tc>
          <w:tcPr>
            <w:tcW w:w="851" w:type="dxa"/>
          </w:tcPr>
          <w:p w:rsidR="00EB61C4" w:rsidRDefault="00A8283A">
            <w:pPr>
              <w:pStyle w:val="Pagedecouverture"/>
              <w:spacing w:before="120" w:after="240"/>
              <w:jc w:val="center"/>
              <w:rPr>
                <w:noProof/>
                <w:sz w:val="22"/>
              </w:rPr>
            </w:pPr>
            <w:r>
              <w:rPr>
                <w:noProof/>
                <w:sz w:val="22"/>
              </w:rPr>
              <w:t>Έτος</w:t>
            </w:r>
            <w:r>
              <w:rPr>
                <w:noProof/>
                <w:sz w:val="22"/>
              </w:rPr>
              <w:br/>
            </w:r>
            <w:r>
              <w:rPr>
                <w:b/>
                <w:noProof/>
                <w:sz w:val="22"/>
              </w:rPr>
              <w:t>2017</w:t>
            </w:r>
          </w:p>
        </w:tc>
        <w:tc>
          <w:tcPr>
            <w:tcW w:w="851" w:type="dxa"/>
          </w:tcPr>
          <w:p w:rsidR="00EB61C4" w:rsidRDefault="00A8283A">
            <w:pPr>
              <w:pStyle w:val="Pagedecouverture"/>
              <w:spacing w:before="120" w:after="240"/>
              <w:jc w:val="center"/>
              <w:rPr>
                <w:noProof/>
                <w:sz w:val="22"/>
              </w:rPr>
            </w:pPr>
            <w:r>
              <w:rPr>
                <w:noProof/>
                <w:sz w:val="22"/>
              </w:rPr>
              <w:t>Έτος</w:t>
            </w:r>
            <w:r>
              <w:rPr>
                <w:noProof/>
                <w:sz w:val="22"/>
              </w:rPr>
              <w:br/>
            </w:r>
            <w:r>
              <w:rPr>
                <w:b/>
                <w:noProof/>
                <w:sz w:val="22"/>
              </w:rPr>
              <w:t>2018</w:t>
            </w:r>
          </w:p>
        </w:tc>
        <w:tc>
          <w:tcPr>
            <w:tcW w:w="850" w:type="dxa"/>
          </w:tcPr>
          <w:p w:rsidR="00EB61C4" w:rsidRDefault="00A8283A">
            <w:pPr>
              <w:pStyle w:val="Pagedecouverture"/>
              <w:spacing w:before="120" w:after="240"/>
              <w:jc w:val="center"/>
              <w:rPr>
                <w:noProof/>
                <w:sz w:val="22"/>
              </w:rPr>
            </w:pPr>
            <w:r>
              <w:rPr>
                <w:noProof/>
                <w:sz w:val="22"/>
              </w:rPr>
              <w:t>Έτος</w:t>
            </w:r>
            <w:r>
              <w:rPr>
                <w:noProof/>
                <w:sz w:val="22"/>
              </w:rPr>
              <w:br/>
            </w:r>
            <w:r>
              <w:rPr>
                <w:b/>
                <w:noProof/>
                <w:sz w:val="22"/>
              </w:rPr>
              <w:t>2019</w:t>
            </w:r>
          </w:p>
        </w:tc>
        <w:tc>
          <w:tcPr>
            <w:tcW w:w="851" w:type="dxa"/>
          </w:tcPr>
          <w:p w:rsidR="00EB61C4" w:rsidRDefault="00A8283A">
            <w:pPr>
              <w:pStyle w:val="Pagedecouverture"/>
              <w:spacing w:before="120" w:after="240"/>
              <w:jc w:val="center"/>
              <w:rPr>
                <w:noProof/>
                <w:sz w:val="22"/>
              </w:rPr>
            </w:pPr>
            <w:r>
              <w:rPr>
                <w:noProof/>
                <w:sz w:val="22"/>
              </w:rPr>
              <w:t>Έτος</w:t>
            </w:r>
            <w:r>
              <w:rPr>
                <w:noProof/>
                <w:sz w:val="22"/>
              </w:rPr>
              <w:br/>
            </w:r>
            <w:r>
              <w:rPr>
                <w:b/>
                <w:noProof/>
                <w:sz w:val="22"/>
              </w:rPr>
              <w:t>2020</w:t>
            </w:r>
          </w:p>
        </w:tc>
        <w:tc>
          <w:tcPr>
            <w:tcW w:w="992" w:type="dxa"/>
          </w:tcPr>
          <w:p w:rsidR="00EB61C4" w:rsidRDefault="00A8283A">
            <w:pPr>
              <w:pStyle w:val="Pagedecouverture"/>
              <w:spacing w:before="120" w:after="240"/>
              <w:jc w:val="center"/>
              <w:rPr>
                <w:b/>
                <w:noProof/>
                <w:sz w:val="22"/>
              </w:rPr>
            </w:pPr>
            <w:r>
              <w:rPr>
                <w:b/>
                <w:noProof/>
                <w:sz w:val="22"/>
              </w:rPr>
              <w:t>ΣYΝΟΛΟ</w:t>
            </w:r>
          </w:p>
        </w:tc>
      </w:tr>
      <w:tr w:rsidR="00EB61C4">
        <w:trPr>
          <w:gridAfter w:val="6"/>
          <w:wAfter w:w="4537" w:type="dxa"/>
          <w:trHeight w:val="386"/>
        </w:trPr>
        <w:tc>
          <w:tcPr>
            <w:tcW w:w="3054" w:type="dxa"/>
            <w:vAlign w:val="center"/>
          </w:tcPr>
          <w:p w:rsidR="00EB61C4" w:rsidRDefault="00A8283A">
            <w:pPr>
              <w:pStyle w:val="Pagedecouverture"/>
              <w:rPr>
                <w:noProof/>
                <w:sz w:val="22"/>
              </w:rPr>
            </w:pPr>
            <w:r>
              <w:rPr>
                <w:noProof/>
                <w:sz w:val="22"/>
              </w:rPr>
              <w:t xml:space="preserve">ΓΔ: </w:t>
            </w:r>
            <w:r>
              <w:rPr>
                <w:noProof/>
              </w:rPr>
              <w:t>ECFIN</w:t>
            </w:r>
          </w:p>
        </w:tc>
        <w:tc>
          <w:tcPr>
            <w:tcW w:w="2693" w:type="dxa"/>
            <w:gridSpan w:val="2"/>
            <w:tcBorders>
              <w:top w:val="nil"/>
              <w:right w:val="nil"/>
            </w:tcBorders>
          </w:tcPr>
          <w:p w:rsidR="00EB61C4" w:rsidRDefault="00EB61C4">
            <w:pPr>
              <w:pStyle w:val="Pagedecouverture"/>
              <w:rPr>
                <w:noProof/>
                <w:sz w:val="22"/>
              </w:rPr>
            </w:pPr>
          </w:p>
        </w:tc>
      </w:tr>
      <w:tr w:rsidR="00EB61C4">
        <w:trPr>
          <w:trHeight w:val="548"/>
        </w:trPr>
        <w:tc>
          <w:tcPr>
            <w:tcW w:w="4896" w:type="dxa"/>
            <w:gridSpan w:val="2"/>
            <w:vAlign w:val="center"/>
          </w:tcPr>
          <w:p w:rsidR="00EB61C4" w:rsidRDefault="00A8283A">
            <w:pPr>
              <w:pStyle w:val="Pagedecouverture"/>
              <w:rPr>
                <w:noProof/>
                <w:sz w:val="22"/>
              </w:rPr>
            </w:pPr>
            <w:r>
              <w:rPr>
                <w:noProof/>
                <w:sz w:val="22"/>
              </w:rPr>
              <w:sym w:font="Wingdings" w:char="F09F"/>
            </w:r>
            <w:r>
              <w:rPr>
                <w:noProof/>
              </w:rPr>
              <w:t xml:space="preserve"> Ανθρώπινοι πόροι </w:t>
            </w:r>
          </w:p>
        </w:tc>
        <w:tc>
          <w:tcPr>
            <w:tcW w:w="993" w:type="dxa"/>
            <w:gridSpan w:val="2"/>
            <w:vAlign w:val="center"/>
          </w:tcPr>
          <w:p w:rsidR="00EB61C4" w:rsidRDefault="00A8283A">
            <w:pPr>
              <w:pStyle w:val="Pagedecouverture"/>
              <w:jc w:val="center"/>
              <w:rPr>
                <w:noProof/>
                <w:sz w:val="22"/>
              </w:rPr>
            </w:pPr>
            <w:r>
              <w:rPr>
                <w:noProof/>
                <w:sz w:val="22"/>
              </w:rPr>
              <w:t>0,034</w:t>
            </w:r>
          </w:p>
        </w:tc>
        <w:tc>
          <w:tcPr>
            <w:tcW w:w="851" w:type="dxa"/>
            <w:vAlign w:val="center"/>
          </w:tcPr>
          <w:p w:rsidR="00EB61C4" w:rsidRDefault="00A8283A">
            <w:pPr>
              <w:pStyle w:val="Pagedecouverture"/>
              <w:jc w:val="center"/>
              <w:rPr>
                <w:noProof/>
                <w:sz w:val="22"/>
              </w:rPr>
            </w:pPr>
            <w:r>
              <w:rPr>
                <w:noProof/>
                <w:sz w:val="22"/>
              </w:rPr>
              <w:t>0,044</w:t>
            </w:r>
          </w:p>
        </w:tc>
        <w:tc>
          <w:tcPr>
            <w:tcW w:w="851" w:type="dxa"/>
            <w:vAlign w:val="center"/>
          </w:tcPr>
          <w:p w:rsidR="00EB61C4" w:rsidRDefault="00A8283A">
            <w:pPr>
              <w:pStyle w:val="Pagedecouverture"/>
              <w:jc w:val="center"/>
              <w:rPr>
                <w:noProof/>
                <w:sz w:val="22"/>
              </w:rPr>
            </w:pPr>
            <w:r>
              <w:rPr>
                <w:noProof/>
                <w:sz w:val="22"/>
              </w:rPr>
              <w:t>0,022</w:t>
            </w:r>
          </w:p>
        </w:tc>
        <w:tc>
          <w:tcPr>
            <w:tcW w:w="850" w:type="dxa"/>
            <w:vAlign w:val="center"/>
          </w:tcPr>
          <w:p w:rsidR="00EB61C4" w:rsidRDefault="00A8283A">
            <w:pPr>
              <w:pStyle w:val="Pagedecouverture"/>
              <w:jc w:val="center"/>
              <w:rPr>
                <w:noProof/>
                <w:sz w:val="22"/>
              </w:rPr>
            </w:pPr>
            <w:r>
              <w:rPr>
                <w:noProof/>
                <w:sz w:val="22"/>
              </w:rPr>
              <w:t>0,011</w:t>
            </w:r>
          </w:p>
        </w:tc>
        <w:tc>
          <w:tcPr>
            <w:tcW w:w="851" w:type="dxa"/>
            <w:vAlign w:val="center"/>
          </w:tcPr>
          <w:p w:rsidR="00EB61C4" w:rsidRDefault="00A8283A">
            <w:pPr>
              <w:pStyle w:val="Pagedecouverture"/>
              <w:jc w:val="center"/>
              <w:rPr>
                <w:noProof/>
                <w:sz w:val="22"/>
              </w:rPr>
            </w:pPr>
            <w:r>
              <w:rPr>
                <w:noProof/>
                <w:sz w:val="22"/>
              </w:rPr>
              <w:t>0,011</w:t>
            </w:r>
          </w:p>
        </w:tc>
        <w:tc>
          <w:tcPr>
            <w:tcW w:w="992" w:type="dxa"/>
            <w:vAlign w:val="center"/>
          </w:tcPr>
          <w:p w:rsidR="00EB61C4" w:rsidRDefault="00A8283A">
            <w:pPr>
              <w:pStyle w:val="Pagedecouverture"/>
              <w:jc w:val="center"/>
              <w:rPr>
                <w:b/>
                <w:noProof/>
                <w:sz w:val="22"/>
              </w:rPr>
            </w:pPr>
            <w:r>
              <w:rPr>
                <w:b/>
                <w:noProof/>
                <w:sz w:val="22"/>
              </w:rPr>
              <w:t>0,122</w:t>
            </w:r>
          </w:p>
        </w:tc>
      </w:tr>
      <w:tr w:rsidR="00EB61C4">
        <w:trPr>
          <w:trHeight w:val="569"/>
        </w:trPr>
        <w:tc>
          <w:tcPr>
            <w:tcW w:w="4896" w:type="dxa"/>
            <w:gridSpan w:val="2"/>
            <w:vAlign w:val="center"/>
          </w:tcPr>
          <w:p w:rsidR="00EB61C4" w:rsidRDefault="00A8283A">
            <w:pPr>
              <w:pStyle w:val="Pagedecouverture"/>
              <w:rPr>
                <w:noProof/>
                <w:sz w:val="22"/>
              </w:rPr>
            </w:pPr>
            <w:r>
              <w:rPr>
                <w:noProof/>
                <w:sz w:val="22"/>
              </w:rPr>
              <w:sym w:font="Wingdings" w:char="F09F"/>
            </w:r>
            <w:r>
              <w:rPr>
                <w:noProof/>
                <w:sz w:val="22"/>
              </w:rPr>
              <w:t xml:space="preserve"> Άλλες διοικητικές δαπάνες </w:t>
            </w:r>
          </w:p>
        </w:tc>
        <w:tc>
          <w:tcPr>
            <w:tcW w:w="993" w:type="dxa"/>
            <w:gridSpan w:val="2"/>
            <w:vAlign w:val="center"/>
          </w:tcPr>
          <w:p w:rsidR="00EB61C4" w:rsidRDefault="00A8283A">
            <w:pPr>
              <w:pStyle w:val="Pagedecouverture"/>
              <w:jc w:val="center"/>
              <w:rPr>
                <w:noProof/>
                <w:sz w:val="22"/>
              </w:rPr>
            </w:pPr>
            <w:r>
              <w:rPr>
                <w:noProof/>
                <w:sz w:val="22"/>
              </w:rPr>
              <w:t>0,010</w:t>
            </w:r>
          </w:p>
        </w:tc>
        <w:tc>
          <w:tcPr>
            <w:tcW w:w="851" w:type="dxa"/>
            <w:vAlign w:val="center"/>
          </w:tcPr>
          <w:p w:rsidR="00EB61C4" w:rsidRDefault="00A8283A">
            <w:pPr>
              <w:pStyle w:val="Pagedecouverture"/>
              <w:jc w:val="center"/>
              <w:rPr>
                <w:noProof/>
                <w:sz w:val="22"/>
              </w:rPr>
            </w:pPr>
            <w:r>
              <w:rPr>
                <w:noProof/>
                <w:sz w:val="22"/>
              </w:rPr>
              <w:t>0,020</w:t>
            </w:r>
          </w:p>
        </w:tc>
        <w:tc>
          <w:tcPr>
            <w:tcW w:w="851" w:type="dxa"/>
            <w:vAlign w:val="center"/>
          </w:tcPr>
          <w:p w:rsidR="00EB61C4" w:rsidRDefault="00A8283A">
            <w:pPr>
              <w:pStyle w:val="Pagedecouverture"/>
              <w:jc w:val="center"/>
              <w:rPr>
                <w:noProof/>
                <w:sz w:val="22"/>
              </w:rPr>
            </w:pPr>
            <w:r>
              <w:rPr>
                <w:noProof/>
                <w:sz w:val="22"/>
              </w:rPr>
              <w:t>0,010</w:t>
            </w:r>
          </w:p>
        </w:tc>
        <w:tc>
          <w:tcPr>
            <w:tcW w:w="850" w:type="dxa"/>
            <w:vAlign w:val="center"/>
          </w:tcPr>
          <w:p w:rsidR="00EB61C4" w:rsidRDefault="00EB61C4">
            <w:pPr>
              <w:pStyle w:val="Pagedecouverture"/>
              <w:jc w:val="center"/>
              <w:rPr>
                <w:noProof/>
                <w:sz w:val="22"/>
              </w:rPr>
            </w:pPr>
          </w:p>
        </w:tc>
        <w:tc>
          <w:tcPr>
            <w:tcW w:w="851" w:type="dxa"/>
            <w:vAlign w:val="center"/>
          </w:tcPr>
          <w:p w:rsidR="00EB61C4" w:rsidRDefault="00EB61C4">
            <w:pPr>
              <w:pStyle w:val="Pagedecouverture"/>
              <w:jc w:val="center"/>
              <w:rPr>
                <w:noProof/>
                <w:sz w:val="22"/>
              </w:rPr>
            </w:pPr>
          </w:p>
        </w:tc>
        <w:tc>
          <w:tcPr>
            <w:tcW w:w="992" w:type="dxa"/>
            <w:vAlign w:val="center"/>
          </w:tcPr>
          <w:p w:rsidR="00EB61C4" w:rsidRDefault="00A8283A">
            <w:pPr>
              <w:pStyle w:val="Pagedecouverture"/>
              <w:jc w:val="center"/>
              <w:rPr>
                <w:b/>
                <w:noProof/>
                <w:sz w:val="22"/>
              </w:rPr>
            </w:pPr>
            <w:r>
              <w:rPr>
                <w:b/>
                <w:noProof/>
                <w:sz w:val="22"/>
              </w:rPr>
              <w:t>0,040</w:t>
            </w:r>
          </w:p>
        </w:tc>
      </w:tr>
      <w:tr w:rsidR="00EB61C4">
        <w:trPr>
          <w:trHeight w:val="551"/>
        </w:trPr>
        <w:tc>
          <w:tcPr>
            <w:tcW w:w="3054" w:type="dxa"/>
            <w:vAlign w:val="center"/>
          </w:tcPr>
          <w:p w:rsidR="00EB61C4" w:rsidRDefault="00A8283A">
            <w:pPr>
              <w:pStyle w:val="Pagedecouverture"/>
              <w:jc w:val="center"/>
              <w:rPr>
                <w:b/>
                <w:noProof/>
                <w:sz w:val="22"/>
              </w:rPr>
            </w:pPr>
            <w:r>
              <w:rPr>
                <w:b/>
                <w:noProof/>
                <w:sz w:val="22"/>
              </w:rPr>
              <w:t xml:space="preserve">ΣΥΝΟΛΟ ΓΔ </w:t>
            </w:r>
            <w:r>
              <w:rPr>
                <w:b/>
                <w:noProof/>
              </w:rPr>
              <w:t>ECFIN</w:t>
            </w:r>
          </w:p>
        </w:tc>
        <w:tc>
          <w:tcPr>
            <w:tcW w:w="1842" w:type="dxa"/>
            <w:vAlign w:val="center"/>
          </w:tcPr>
          <w:p w:rsidR="00EB61C4" w:rsidRDefault="00A8283A">
            <w:pPr>
              <w:pStyle w:val="Pagedecouverture"/>
              <w:rPr>
                <w:noProof/>
                <w:sz w:val="22"/>
              </w:rPr>
            </w:pPr>
            <w:r>
              <w:rPr>
                <w:noProof/>
                <w:sz w:val="22"/>
              </w:rPr>
              <w:t xml:space="preserve">Πιστώσεις </w:t>
            </w:r>
          </w:p>
        </w:tc>
        <w:tc>
          <w:tcPr>
            <w:tcW w:w="993" w:type="dxa"/>
            <w:gridSpan w:val="2"/>
            <w:vAlign w:val="center"/>
          </w:tcPr>
          <w:p w:rsidR="00EB61C4" w:rsidRDefault="00A8283A">
            <w:pPr>
              <w:pStyle w:val="Pagedecouverture"/>
              <w:jc w:val="center"/>
              <w:rPr>
                <w:noProof/>
                <w:sz w:val="22"/>
              </w:rPr>
            </w:pPr>
            <w:r>
              <w:rPr>
                <w:noProof/>
                <w:sz w:val="22"/>
              </w:rPr>
              <w:t>0,044</w:t>
            </w:r>
          </w:p>
        </w:tc>
        <w:tc>
          <w:tcPr>
            <w:tcW w:w="851" w:type="dxa"/>
            <w:vAlign w:val="center"/>
          </w:tcPr>
          <w:p w:rsidR="00EB61C4" w:rsidRDefault="00A8283A">
            <w:pPr>
              <w:pStyle w:val="Pagedecouverture"/>
              <w:jc w:val="center"/>
              <w:rPr>
                <w:noProof/>
                <w:sz w:val="22"/>
              </w:rPr>
            </w:pPr>
            <w:r>
              <w:rPr>
                <w:noProof/>
                <w:sz w:val="22"/>
              </w:rPr>
              <w:t>0,064</w:t>
            </w:r>
          </w:p>
        </w:tc>
        <w:tc>
          <w:tcPr>
            <w:tcW w:w="851" w:type="dxa"/>
            <w:vAlign w:val="center"/>
          </w:tcPr>
          <w:p w:rsidR="00EB61C4" w:rsidRDefault="00A8283A">
            <w:pPr>
              <w:pStyle w:val="Pagedecouverture"/>
              <w:jc w:val="center"/>
              <w:rPr>
                <w:noProof/>
                <w:sz w:val="22"/>
              </w:rPr>
            </w:pPr>
            <w:r>
              <w:rPr>
                <w:noProof/>
                <w:sz w:val="22"/>
              </w:rPr>
              <w:t>0,032</w:t>
            </w:r>
          </w:p>
        </w:tc>
        <w:tc>
          <w:tcPr>
            <w:tcW w:w="850" w:type="dxa"/>
            <w:vAlign w:val="center"/>
          </w:tcPr>
          <w:p w:rsidR="00EB61C4" w:rsidRDefault="00A8283A">
            <w:pPr>
              <w:pStyle w:val="Pagedecouverture"/>
              <w:jc w:val="center"/>
              <w:rPr>
                <w:noProof/>
                <w:sz w:val="22"/>
              </w:rPr>
            </w:pPr>
            <w:r>
              <w:rPr>
                <w:noProof/>
                <w:sz w:val="22"/>
              </w:rPr>
              <w:t>0,011</w:t>
            </w:r>
          </w:p>
        </w:tc>
        <w:tc>
          <w:tcPr>
            <w:tcW w:w="851" w:type="dxa"/>
            <w:vAlign w:val="center"/>
          </w:tcPr>
          <w:p w:rsidR="00EB61C4" w:rsidRDefault="00A8283A">
            <w:pPr>
              <w:pStyle w:val="Pagedecouverture"/>
              <w:jc w:val="center"/>
              <w:rPr>
                <w:noProof/>
                <w:sz w:val="22"/>
              </w:rPr>
            </w:pPr>
            <w:r>
              <w:rPr>
                <w:noProof/>
                <w:sz w:val="22"/>
              </w:rPr>
              <w:t>0,011</w:t>
            </w:r>
          </w:p>
        </w:tc>
        <w:tc>
          <w:tcPr>
            <w:tcW w:w="992" w:type="dxa"/>
            <w:vAlign w:val="center"/>
          </w:tcPr>
          <w:p w:rsidR="00EB61C4" w:rsidRDefault="00A8283A">
            <w:pPr>
              <w:pStyle w:val="Pagedecouverture"/>
              <w:jc w:val="center"/>
              <w:rPr>
                <w:b/>
                <w:noProof/>
                <w:sz w:val="22"/>
              </w:rPr>
            </w:pPr>
            <w:r>
              <w:rPr>
                <w:b/>
                <w:noProof/>
                <w:sz w:val="22"/>
              </w:rPr>
              <w:t>0,162</w:t>
            </w:r>
          </w:p>
        </w:tc>
      </w:tr>
      <w:tr w:rsidR="00EB61C4">
        <w:trPr>
          <w:trHeight w:val="1111"/>
        </w:trPr>
        <w:tc>
          <w:tcPr>
            <w:tcW w:w="3054" w:type="dxa"/>
            <w:shd w:val="clear" w:color="C0C0C0" w:fill="auto"/>
            <w:vAlign w:val="center"/>
          </w:tcPr>
          <w:p w:rsidR="00EB61C4" w:rsidRDefault="00A8283A">
            <w:pPr>
              <w:pStyle w:val="Pagedecouverture"/>
              <w:jc w:val="center"/>
              <w:rPr>
                <w:noProof/>
                <w:sz w:val="22"/>
              </w:rPr>
            </w:pPr>
            <w:r>
              <w:rPr>
                <w:b/>
                <w:noProof/>
                <w:sz w:val="22"/>
              </w:rPr>
              <w:t>ΣΥΝΟΛΟ πιστώσεων</w:t>
            </w:r>
            <w:r>
              <w:rPr>
                <w:b/>
                <w:noProof/>
                <w:sz w:val="22"/>
              </w:rPr>
              <w:br/>
              <w:t>του ΤΟΜΕΑ 5</w:t>
            </w:r>
            <w:r>
              <w:rPr>
                <w:b/>
                <w:noProof/>
                <w:sz w:val="22"/>
              </w:rPr>
              <w:br/>
            </w:r>
            <w:r>
              <w:rPr>
                <w:noProof/>
                <w:sz w:val="22"/>
              </w:rPr>
              <w:t>του πολυετούς δημοσιονομικού πλαισίου</w:t>
            </w:r>
          </w:p>
        </w:tc>
        <w:tc>
          <w:tcPr>
            <w:tcW w:w="1842" w:type="dxa"/>
            <w:vAlign w:val="center"/>
          </w:tcPr>
          <w:p w:rsidR="00EB61C4" w:rsidRDefault="00A8283A">
            <w:pPr>
              <w:pStyle w:val="Pagedecouverture"/>
              <w:rPr>
                <w:noProof/>
                <w:sz w:val="22"/>
              </w:rPr>
            </w:pPr>
            <w:r>
              <w:rPr>
                <w:noProof/>
                <w:sz w:val="22"/>
              </w:rPr>
              <w:t xml:space="preserve">(Σύνολο πιστώσεων ανάληψης υποχρεώσεων = Σύνολο </w:t>
            </w:r>
            <w:r>
              <w:rPr>
                <w:noProof/>
                <w:sz w:val="22"/>
              </w:rPr>
              <w:t>πληρωμών)</w:t>
            </w:r>
          </w:p>
        </w:tc>
        <w:tc>
          <w:tcPr>
            <w:tcW w:w="993" w:type="dxa"/>
            <w:gridSpan w:val="2"/>
            <w:vAlign w:val="center"/>
          </w:tcPr>
          <w:p w:rsidR="00EB61C4" w:rsidRDefault="00A8283A">
            <w:pPr>
              <w:pStyle w:val="Pagedecouverture"/>
              <w:jc w:val="center"/>
              <w:rPr>
                <w:noProof/>
                <w:sz w:val="22"/>
              </w:rPr>
            </w:pPr>
            <w:r>
              <w:rPr>
                <w:noProof/>
                <w:sz w:val="22"/>
              </w:rPr>
              <w:t>0,044</w:t>
            </w:r>
          </w:p>
        </w:tc>
        <w:tc>
          <w:tcPr>
            <w:tcW w:w="851" w:type="dxa"/>
            <w:vAlign w:val="center"/>
          </w:tcPr>
          <w:p w:rsidR="00EB61C4" w:rsidRDefault="00A8283A">
            <w:pPr>
              <w:pStyle w:val="Pagedecouverture"/>
              <w:jc w:val="center"/>
              <w:rPr>
                <w:noProof/>
                <w:sz w:val="22"/>
              </w:rPr>
            </w:pPr>
            <w:r>
              <w:rPr>
                <w:noProof/>
                <w:sz w:val="22"/>
              </w:rPr>
              <w:t>0,064</w:t>
            </w:r>
          </w:p>
        </w:tc>
        <w:tc>
          <w:tcPr>
            <w:tcW w:w="851" w:type="dxa"/>
            <w:vAlign w:val="center"/>
          </w:tcPr>
          <w:p w:rsidR="00EB61C4" w:rsidRDefault="00A8283A">
            <w:pPr>
              <w:pStyle w:val="Pagedecouverture"/>
              <w:jc w:val="center"/>
              <w:rPr>
                <w:noProof/>
                <w:sz w:val="22"/>
              </w:rPr>
            </w:pPr>
            <w:r>
              <w:rPr>
                <w:noProof/>
                <w:sz w:val="22"/>
              </w:rPr>
              <w:t>0,032</w:t>
            </w:r>
          </w:p>
        </w:tc>
        <w:tc>
          <w:tcPr>
            <w:tcW w:w="850" w:type="dxa"/>
            <w:vAlign w:val="center"/>
          </w:tcPr>
          <w:p w:rsidR="00EB61C4" w:rsidRDefault="00A8283A">
            <w:pPr>
              <w:pStyle w:val="Pagedecouverture"/>
              <w:jc w:val="center"/>
              <w:rPr>
                <w:noProof/>
                <w:sz w:val="22"/>
              </w:rPr>
            </w:pPr>
            <w:r>
              <w:rPr>
                <w:noProof/>
                <w:sz w:val="22"/>
              </w:rPr>
              <w:t>0,011</w:t>
            </w:r>
          </w:p>
        </w:tc>
        <w:tc>
          <w:tcPr>
            <w:tcW w:w="851" w:type="dxa"/>
            <w:vAlign w:val="center"/>
          </w:tcPr>
          <w:p w:rsidR="00EB61C4" w:rsidRDefault="00A8283A">
            <w:pPr>
              <w:pStyle w:val="Pagedecouverture"/>
              <w:jc w:val="center"/>
              <w:rPr>
                <w:noProof/>
                <w:sz w:val="22"/>
              </w:rPr>
            </w:pPr>
            <w:r>
              <w:rPr>
                <w:noProof/>
                <w:sz w:val="22"/>
              </w:rPr>
              <w:t>0,011</w:t>
            </w:r>
          </w:p>
        </w:tc>
        <w:tc>
          <w:tcPr>
            <w:tcW w:w="992" w:type="dxa"/>
            <w:vAlign w:val="center"/>
          </w:tcPr>
          <w:p w:rsidR="00EB61C4" w:rsidRDefault="00A8283A">
            <w:pPr>
              <w:pStyle w:val="Pagedecouverture"/>
              <w:jc w:val="center"/>
              <w:rPr>
                <w:b/>
                <w:noProof/>
                <w:sz w:val="22"/>
              </w:rPr>
            </w:pPr>
            <w:r>
              <w:rPr>
                <w:b/>
                <w:noProof/>
                <w:sz w:val="22"/>
              </w:rPr>
              <w:t>0,162</w:t>
            </w:r>
          </w:p>
        </w:tc>
      </w:tr>
    </w:tbl>
    <w:p w:rsidR="00EB61C4" w:rsidRDefault="00A8283A">
      <w:pPr>
        <w:pStyle w:val="Text1"/>
        <w:spacing w:before="360"/>
        <w:jc w:val="right"/>
        <w:rPr>
          <w:noProof/>
          <w:sz w:val="22"/>
        </w:rPr>
      </w:pPr>
      <w:r>
        <w:rPr>
          <w:noProof/>
          <w:sz w:val="22"/>
        </w:rPr>
        <w:t>Σε εκατ. EUR</w:t>
      </w:r>
      <w:r>
        <w:rPr>
          <w:noProof/>
        </w:rPr>
        <w:t xml:space="preserve"> (με 3 δεκαδικά ψηφία)</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EB61C4">
        <w:tc>
          <w:tcPr>
            <w:tcW w:w="3054" w:type="dxa"/>
            <w:tcBorders>
              <w:top w:val="nil"/>
              <w:left w:val="nil"/>
              <w:right w:val="nil"/>
            </w:tcBorders>
            <w:vAlign w:val="center"/>
          </w:tcPr>
          <w:p w:rsidR="00EB61C4" w:rsidRDefault="00EB61C4">
            <w:pPr>
              <w:pStyle w:val="Pagedecouverture"/>
              <w:rPr>
                <w:noProof/>
                <w:sz w:val="22"/>
              </w:rPr>
            </w:pPr>
          </w:p>
        </w:tc>
        <w:tc>
          <w:tcPr>
            <w:tcW w:w="1842" w:type="dxa"/>
            <w:tcBorders>
              <w:top w:val="nil"/>
              <w:left w:val="nil"/>
            </w:tcBorders>
          </w:tcPr>
          <w:p w:rsidR="00EB61C4" w:rsidRDefault="00EB61C4">
            <w:pPr>
              <w:pStyle w:val="Pagedecouverture"/>
              <w:rPr>
                <w:noProof/>
                <w:sz w:val="22"/>
              </w:rPr>
            </w:pPr>
          </w:p>
        </w:tc>
        <w:tc>
          <w:tcPr>
            <w:tcW w:w="993" w:type="dxa"/>
            <w:vAlign w:val="center"/>
          </w:tcPr>
          <w:p w:rsidR="00EB61C4" w:rsidRDefault="00A8283A">
            <w:pPr>
              <w:pStyle w:val="Pagedecouverture"/>
              <w:jc w:val="center"/>
              <w:rPr>
                <w:noProof/>
                <w:sz w:val="22"/>
              </w:rPr>
            </w:pPr>
            <w:r>
              <w:rPr>
                <w:noProof/>
                <w:sz w:val="20"/>
              </w:rPr>
              <w:t>Έτος</w:t>
            </w:r>
            <w:r>
              <w:rPr>
                <w:noProof/>
                <w:sz w:val="22"/>
              </w:rPr>
              <w:br/>
            </w:r>
            <w:r>
              <w:rPr>
                <w:b/>
                <w:noProof/>
                <w:sz w:val="22"/>
              </w:rPr>
              <w:t>2016</w:t>
            </w:r>
          </w:p>
        </w:tc>
        <w:tc>
          <w:tcPr>
            <w:tcW w:w="851" w:type="dxa"/>
          </w:tcPr>
          <w:p w:rsidR="00EB61C4" w:rsidRDefault="00A8283A">
            <w:pPr>
              <w:pStyle w:val="Pagedecouverture"/>
              <w:jc w:val="center"/>
              <w:rPr>
                <w:noProof/>
                <w:sz w:val="22"/>
              </w:rPr>
            </w:pPr>
            <w:r>
              <w:rPr>
                <w:noProof/>
                <w:sz w:val="22"/>
              </w:rPr>
              <w:t>Έτος</w:t>
            </w:r>
            <w:r>
              <w:rPr>
                <w:noProof/>
                <w:sz w:val="22"/>
              </w:rPr>
              <w:br/>
            </w:r>
            <w:r>
              <w:rPr>
                <w:b/>
                <w:noProof/>
                <w:sz w:val="22"/>
              </w:rPr>
              <w:t>2017</w:t>
            </w:r>
            <w:r>
              <w:rPr>
                <w:rStyle w:val="FootnoteReference"/>
                <w:b/>
                <w:noProof/>
                <w:sz w:val="22"/>
              </w:rPr>
              <w:footnoteReference w:id="24"/>
            </w:r>
          </w:p>
        </w:tc>
        <w:tc>
          <w:tcPr>
            <w:tcW w:w="851" w:type="dxa"/>
            <w:vAlign w:val="center"/>
          </w:tcPr>
          <w:p w:rsidR="00EB61C4" w:rsidRDefault="00A8283A">
            <w:pPr>
              <w:pStyle w:val="Pagedecouverture"/>
              <w:jc w:val="center"/>
              <w:rPr>
                <w:noProof/>
                <w:sz w:val="22"/>
              </w:rPr>
            </w:pPr>
            <w:r>
              <w:rPr>
                <w:noProof/>
                <w:sz w:val="22"/>
              </w:rPr>
              <w:t>Έτος</w:t>
            </w:r>
            <w:r>
              <w:rPr>
                <w:noProof/>
                <w:sz w:val="22"/>
              </w:rPr>
              <w:br/>
            </w:r>
            <w:r>
              <w:rPr>
                <w:b/>
                <w:noProof/>
                <w:sz w:val="22"/>
              </w:rPr>
              <w:t>2018</w:t>
            </w:r>
          </w:p>
        </w:tc>
        <w:tc>
          <w:tcPr>
            <w:tcW w:w="850" w:type="dxa"/>
            <w:vAlign w:val="center"/>
          </w:tcPr>
          <w:p w:rsidR="00EB61C4" w:rsidRDefault="00A8283A">
            <w:pPr>
              <w:pStyle w:val="Pagedecouverture"/>
              <w:jc w:val="center"/>
              <w:rPr>
                <w:noProof/>
                <w:sz w:val="22"/>
              </w:rPr>
            </w:pPr>
            <w:r>
              <w:rPr>
                <w:noProof/>
                <w:sz w:val="22"/>
              </w:rPr>
              <w:t>Έτος</w:t>
            </w:r>
            <w:r>
              <w:rPr>
                <w:noProof/>
                <w:sz w:val="22"/>
              </w:rPr>
              <w:br/>
            </w:r>
            <w:r>
              <w:rPr>
                <w:b/>
                <w:noProof/>
                <w:sz w:val="22"/>
              </w:rPr>
              <w:t>2019</w:t>
            </w:r>
          </w:p>
        </w:tc>
        <w:tc>
          <w:tcPr>
            <w:tcW w:w="851" w:type="dxa"/>
            <w:vAlign w:val="center"/>
          </w:tcPr>
          <w:p w:rsidR="00EB61C4" w:rsidRDefault="00A8283A">
            <w:pPr>
              <w:pStyle w:val="Pagedecouverture"/>
              <w:jc w:val="center"/>
              <w:rPr>
                <w:noProof/>
                <w:sz w:val="22"/>
              </w:rPr>
            </w:pPr>
            <w:r>
              <w:rPr>
                <w:noProof/>
                <w:sz w:val="22"/>
              </w:rPr>
              <w:t>Έτος</w:t>
            </w:r>
            <w:r>
              <w:rPr>
                <w:noProof/>
                <w:sz w:val="22"/>
              </w:rPr>
              <w:br/>
            </w:r>
            <w:r>
              <w:rPr>
                <w:b/>
                <w:noProof/>
                <w:sz w:val="22"/>
              </w:rPr>
              <w:t>2020</w:t>
            </w:r>
          </w:p>
        </w:tc>
        <w:tc>
          <w:tcPr>
            <w:tcW w:w="992" w:type="dxa"/>
            <w:vAlign w:val="center"/>
          </w:tcPr>
          <w:p w:rsidR="00EB61C4" w:rsidRDefault="00A8283A">
            <w:pPr>
              <w:pStyle w:val="Pagedecouverture"/>
              <w:jc w:val="center"/>
              <w:rPr>
                <w:b/>
                <w:noProof/>
                <w:sz w:val="22"/>
              </w:rPr>
            </w:pPr>
            <w:r>
              <w:rPr>
                <w:b/>
                <w:noProof/>
                <w:sz w:val="22"/>
              </w:rPr>
              <w:t>ΣYΝΟΛΟ</w:t>
            </w:r>
          </w:p>
        </w:tc>
      </w:tr>
      <w:tr w:rsidR="00EB61C4">
        <w:trPr>
          <w:trHeight w:val="578"/>
        </w:trPr>
        <w:tc>
          <w:tcPr>
            <w:tcW w:w="3054" w:type="dxa"/>
            <w:vMerge w:val="restart"/>
            <w:shd w:val="clear" w:color="auto" w:fill="C0C0C0"/>
            <w:vAlign w:val="center"/>
          </w:tcPr>
          <w:p w:rsidR="00EB61C4" w:rsidRDefault="00A8283A">
            <w:pPr>
              <w:pStyle w:val="Pagedecouverture"/>
              <w:jc w:val="center"/>
              <w:rPr>
                <w:noProof/>
                <w:sz w:val="22"/>
              </w:rPr>
            </w:pPr>
            <w:r>
              <w:rPr>
                <w:b/>
                <w:noProof/>
                <w:sz w:val="22"/>
              </w:rPr>
              <w:t xml:space="preserve">ΣΥΝΟΛΟ πιστώσεων </w:t>
            </w:r>
            <w:r>
              <w:rPr>
                <w:b/>
                <w:noProof/>
                <w:sz w:val="22"/>
              </w:rPr>
              <w:br/>
              <w:t>των ΤΟΜΕΩΝ 1 έως 5</w:t>
            </w:r>
            <w:r>
              <w:rPr>
                <w:noProof/>
                <w:sz w:val="22"/>
              </w:rPr>
              <w:br/>
              <w:t>του πολυετούς δημοσιονομικού πλαισίου</w:t>
            </w:r>
          </w:p>
        </w:tc>
        <w:tc>
          <w:tcPr>
            <w:tcW w:w="1842" w:type="dxa"/>
            <w:vAlign w:val="center"/>
          </w:tcPr>
          <w:p w:rsidR="00EB61C4" w:rsidRDefault="00A8283A">
            <w:pPr>
              <w:pStyle w:val="Pagedecouverture"/>
              <w:rPr>
                <w:noProof/>
                <w:sz w:val="22"/>
              </w:rPr>
            </w:pPr>
            <w:r>
              <w:rPr>
                <w:noProof/>
                <w:sz w:val="22"/>
              </w:rPr>
              <w:t>Αναλήψεις υποχρεώσεων</w:t>
            </w:r>
          </w:p>
        </w:tc>
        <w:tc>
          <w:tcPr>
            <w:tcW w:w="993" w:type="dxa"/>
            <w:vAlign w:val="center"/>
          </w:tcPr>
          <w:p w:rsidR="00EB61C4" w:rsidRDefault="00A8283A">
            <w:pPr>
              <w:pStyle w:val="Pagedecouverture"/>
              <w:jc w:val="center"/>
              <w:rPr>
                <w:noProof/>
                <w:sz w:val="22"/>
              </w:rPr>
            </w:pPr>
            <w:r>
              <w:rPr>
                <w:noProof/>
                <w:sz w:val="22"/>
              </w:rPr>
              <w:t>0,044</w:t>
            </w:r>
          </w:p>
        </w:tc>
        <w:tc>
          <w:tcPr>
            <w:tcW w:w="851" w:type="dxa"/>
            <w:vAlign w:val="center"/>
          </w:tcPr>
          <w:p w:rsidR="00EB61C4" w:rsidRDefault="00A8283A">
            <w:pPr>
              <w:pStyle w:val="Pagedecouverture"/>
              <w:jc w:val="center"/>
              <w:rPr>
                <w:noProof/>
                <w:sz w:val="22"/>
              </w:rPr>
            </w:pPr>
            <w:r>
              <w:rPr>
                <w:noProof/>
                <w:sz w:val="22"/>
              </w:rPr>
              <w:t>40,064</w:t>
            </w:r>
          </w:p>
        </w:tc>
        <w:tc>
          <w:tcPr>
            <w:tcW w:w="851" w:type="dxa"/>
            <w:vAlign w:val="center"/>
          </w:tcPr>
          <w:p w:rsidR="00EB61C4" w:rsidRDefault="00A8283A">
            <w:pPr>
              <w:pStyle w:val="Pagedecouverture"/>
              <w:jc w:val="center"/>
              <w:rPr>
                <w:noProof/>
                <w:sz w:val="22"/>
              </w:rPr>
            </w:pPr>
            <w:r>
              <w:rPr>
                <w:noProof/>
                <w:sz w:val="22"/>
              </w:rPr>
              <w:t>0,032</w:t>
            </w:r>
          </w:p>
        </w:tc>
        <w:tc>
          <w:tcPr>
            <w:tcW w:w="850" w:type="dxa"/>
            <w:vAlign w:val="center"/>
          </w:tcPr>
          <w:p w:rsidR="00EB61C4" w:rsidRDefault="00A8283A">
            <w:pPr>
              <w:pStyle w:val="Pagedecouverture"/>
              <w:jc w:val="center"/>
              <w:rPr>
                <w:noProof/>
                <w:sz w:val="22"/>
              </w:rPr>
            </w:pPr>
            <w:r>
              <w:rPr>
                <w:noProof/>
                <w:sz w:val="22"/>
              </w:rPr>
              <w:t>3,611</w:t>
            </w:r>
          </w:p>
        </w:tc>
        <w:tc>
          <w:tcPr>
            <w:tcW w:w="851" w:type="dxa"/>
            <w:vAlign w:val="center"/>
          </w:tcPr>
          <w:p w:rsidR="00EB61C4" w:rsidRDefault="00A8283A">
            <w:pPr>
              <w:pStyle w:val="Pagedecouverture"/>
              <w:jc w:val="center"/>
              <w:rPr>
                <w:noProof/>
                <w:sz w:val="22"/>
              </w:rPr>
            </w:pPr>
            <w:r>
              <w:rPr>
                <w:noProof/>
                <w:sz w:val="22"/>
              </w:rPr>
              <w:t>1,961</w:t>
            </w:r>
          </w:p>
        </w:tc>
        <w:tc>
          <w:tcPr>
            <w:tcW w:w="992" w:type="dxa"/>
            <w:vAlign w:val="center"/>
          </w:tcPr>
          <w:p w:rsidR="00EB61C4" w:rsidRDefault="00A8283A">
            <w:pPr>
              <w:pStyle w:val="Pagedecouverture"/>
              <w:jc w:val="center"/>
              <w:rPr>
                <w:b/>
                <w:noProof/>
                <w:sz w:val="22"/>
              </w:rPr>
            </w:pPr>
            <w:r>
              <w:rPr>
                <w:b/>
                <w:noProof/>
                <w:sz w:val="22"/>
              </w:rPr>
              <w:t>45,712</w:t>
            </w:r>
          </w:p>
        </w:tc>
      </w:tr>
      <w:tr w:rsidR="00EB61C4">
        <w:trPr>
          <w:trHeight w:val="558"/>
        </w:trPr>
        <w:tc>
          <w:tcPr>
            <w:tcW w:w="3054" w:type="dxa"/>
            <w:vMerge/>
            <w:shd w:val="clear" w:color="auto" w:fill="C0C0C0"/>
          </w:tcPr>
          <w:p w:rsidR="00EB61C4" w:rsidRDefault="00EB61C4">
            <w:pPr>
              <w:pStyle w:val="Pagedecouverture"/>
              <w:rPr>
                <w:noProof/>
                <w:sz w:val="22"/>
              </w:rPr>
            </w:pPr>
          </w:p>
        </w:tc>
        <w:tc>
          <w:tcPr>
            <w:tcW w:w="1842" w:type="dxa"/>
            <w:vAlign w:val="center"/>
          </w:tcPr>
          <w:p w:rsidR="00EB61C4" w:rsidRDefault="00A8283A">
            <w:pPr>
              <w:pStyle w:val="Pagedecouverture"/>
              <w:rPr>
                <w:noProof/>
                <w:sz w:val="22"/>
              </w:rPr>
            </w:pPr>
            <w:r>
              <w:rPr>
                <w:noProof/>
                <w:sz w:val="22"/>
              </w:rPr>
              <w:t>Πληρωμές</w:t>
            </w:r>
          </w:p>
        </w:tc>
        <w:tc>
          <w:tcPr>
            <w:tcW w:w="993" w:type="dxa"/>
            <w:vAlign w:val="center"/>
          </w:tcPr>
          <w:p w:rsidR="00EB61C4" w:rsidRDefault="00A8283A">
            <w:pPr>
              <w:pStyle w:val="Pagedecouverture"/>
              <w:jc w:val="center"/>
              <w:rPr>
                <w:noProof/>
                <w:sz w:val="22"/>
              </w:rPr>
            </w:pPr>
            <w:r>
              <w:rPr>
                <w:noProof/>
                <w:sz w:val="22"/>
              </w:rPr>
              <w:t>0,104</w:t>
            </w:r>
          </w:p>
        </w:tc>
        <w:tc>
          <w:tcPr>
            <w:tcW w:w="851" w:type="dxa"/>
            <w:vAlign w:val="center"/>
          </w:tcPr>
          <w:p w:rsidR="00EB61C4" w:rsidRDefault="00A8283A">
            <w:pPr>
              <w:pStyle w:val="Pagedecouverture"/>
              <w:jc w:val="center"/>
              <w:rPr>
                <w:noProof/>
                <w:sz w:val="22"/>
              </w:rPr>
            </w:pPr>
            <w:r>
              <w:rPr>
                <w:noProof/>
                <w:sz w:val="22"/>
              </w:rPr>
              <w:t>20,064</w:t>
            </w:r>
          </w:p>
        </w:tc>
        <w:tc>
          <w:tcPr>
            <w:tcW w:w="851" w:type="dxa"/>
            <w:vAlign w:val="center"/>
          </w:tcPr>
          <w:p w:rsidR="00EB61C4" w:rsidRDefault="00A8283A">
            <w:pPr>
              <w:pStyle w:val="Pagedecouverture"/>
              <w:jc w:val="center"/>
              <w:rPr>
                <w:noProof/>
                <w:sz w:val="22"/>
              </w:rPr>
            </w:pPr>
            <w:r>
              <w:rPr>
                <w:noProof/>
                <w:sz w:val="22"/>
              </w:rPr>
              <w:t>20,032</w:t>
            </w:r>
          </w:p>
        </w:tc>
        <w:tc>
          <w:tcPr>
            <w:tcW w:w="850" w:type="dxa"/>
            <w:vAlign w:val="center"/>
          </w:tcPr>
          <w:p w:rsidR="00EB61C4" w:rsidRDefault="00A8283A">
            <w:pPr>
              <w:pStyle w:val="Pagedecouverture"/>
              <w:jc w:val="center"/>
              <w:rPr>
                <w:noProof/>
                <w:sz w:val="22"/>
              </w:rPr>
            </w:pPr>
            <w:r>
              <w:rPr>
                <w:noProof/>
                <w:sz w:val="22"/>
              </w:rPr>
              <w:t>3,611</w:t>
            </w:r>
          </w:p>
        </w:tc>
        <w:tc>
          <w:tcPr>
            <w:tcW w:w="851" w:type="dxa"/>
            <w:vAlign w:val="center"/>
          </w:tcPr>
          <w:p w:rsidR="00EB61C4" w:rsidRDefault="00A8283A">
            <w:pPr>
              <w:pStyle w:val="Pagedecouverture"/>
              <w:jc w:val="center"/>
              <w:rPr>
                <w:noProof/>
                <w:sz w:val="22"/>
              </w:rPr>
            </w:pPr>
            <w:r>
              <w:rPr>
                <w:noProof/>
                <w:sz w:val="22"/>
              </w:rPr>
              <w:t>1,961</w:t>
            </w:r>
          </w:p>
        </w:tc>
        <w:tc>
          <w:tcPr>
            <w:tcW w:w="992" w:type="dxa"/>
            <w:vAlign w:val="center"/>
          </w:tcPr>
          <w:p w:rsidR="00EB61C4" w:rsidRDefault="00A8283A">
            <w:pPr>
              <w:pStyle w:val="Pagedecouverture"/>
              <w:jc w:val="center"/>
              <w:rPr>
                <w:b/>
                <w:noProof/>
                <w:sz w:val="22"/>
              </w:rPr>
            </w:pPr>
            <w:r>
              <w:rPr>
                <w:b/>
                <w:noProof/>
                <w:sz w:val="22"/>
              </w:rPr>
              <w:t>45,722</w:t>
            </w:r>
          </w:p>
        </w:tc>
      </w:tr>
    </w:tbl>
    <w:p w:rsidR="00EB61C4" w:rsidRDefault="00EB61C4">
      <w:pPr>
        <w:pStyle w:val="Sectionbreak"/>
        <w:rPr>
          <w:sz w:val="22"/>
        </w:rPr>
        <w:sectPr w:rsidR="00EB61C4">
          <w:pgSz w:w="11907" w:h="16840" w:code="9"/>
          <w:pgMar w:top="1418" w:right="1134" w:bottom="1418" w:left="1134" w:header="709" w:footer="709" w:gutter="0"/>
          <w:cols w:space="708"/>
          <w:docGrid w:linePitch="360"/>
        </w:sectPr>
      </w:pPr>
    </w:p>
    <w:p w:rsidR="00EB61C4" w:rsidRDefault="00A8283A">
      <w:pPr>
        <w:pStyle w:val="Heading40"/>
      </w:pPr>
      <w:r>
        <w:t>3.2.2.</w:t>
      </w:r>
      <w:r>
        <w:tab/>
        <w:t xml:space="preserve">Εκτιμώμενες επιπτώσεις στις επιχειρησιακές πιστώσεις </w:t>
      </w:r>
    </w:p>
    <w:p w:rsidR="00EB61C4" w:rsidRDefault="00A8283A">
      <w:pPr>
        <w:pStyle w:val="Text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rsidR="00EB61C4" w:rsidRDefault="00A8283A">
      <w:pPr>
        <w:pStyle w:val="Text1"/>
        <w:rPr>
          <w:noProof/>
        </w:rPr>
      </w:pPr>
      <w:r>
        <w:rPr>
          <w:noProof/>
        </w:rPr>
        <w:t xml:space="preserve">X Η </w:t>
      </w:r>
      <w:r>
        <w:rPr>
          <w:noProof/>
        </w:rPr>
        <w:t>πρόταση/πρωτοβουλία συνεπάγεται τη χρησιμοποίηση επιχειρησιακών πιστώσεων, όπως εξηγείται κατωτέρω:</w:t>
      </w:r>
    </w:p>
    <w:p w:rsidR="00EB61C4" w:rsidRDefault="00A8283A">
      <w:pPr>
        <w:pStyle w:val="Text1"/>
        <w:jc w:val="right"/>
        <w:rPr>
          <w:noProof/>
          <w:sz w:val="4"/>
          <w:szCs w:val="4"/>
        </w:rPr>
      </w:pPr>
      <w:r>
        <w:rPr>
          <w:noProof/>
        </w:rPr>
        <w:t>Πιστώσεις ανάληψης υποχρεώσεων σε εκατομμύρια EURO (με 3 δεκαδικά ψηφία)</w:t>
      </w:r>
    </w:p>
    <w:tbl>
      <w:tblPr>
        <w:tblW w:w="0" w:type="auto"/>
        <w:tblInd w:w="534" w:type="dxa"/>
        <w:tblLook w:val="01E0" w:firstRow="1" w:lastRow="1" w:firstColumn="1" w:lastColumn="1" w:noHBand="0" w:noVBand="0"/>
      </w:tblPr>
      <w:tblGrid>
        <w:gridCol w:w="1491"/>
        <w:gridCol w:w="1575"/>
        <w:gridCol w:w="886"/>
        <w:gridCol w:w="1179"/>
        <w:gridCol w:w="2241"/>
        <w:gridCol w:w="1092"/>
        <w:gridCol w:w="1513"/>
        <w:gridCol w:w="2042"/>
        <w:gridCol w:w="1667"/>
      </w:tblGrid>
      <w:tr w:rsidR="00EB61C4">
        <w:trPr>
          <w:gridAfter w:val="1"/>
          <w:wAfter w:w="1899" w:type="dxa"/>
        </w:trPr>
        <w:tc>
          <w:tcPr>
            <w:tcW w:w="1358" w:type="dxa"/>
          </w:tcPr>
          <w:p w:rsidR="00EB61C4" w:rsidRDefault="00EB61C4">
            <w:pPr>
              <w:pStyle w:val="Pagedecouverture"/>
              <w:rPr>
                <w:noProof/>
                <w:sz w:val="20"/>
                <w:szCs w:val="20"/>
              </w:rPr>
            </w:pPr>
          </w:p>
        </w:tc>
        <w:tc>
          <w:tcPr>
            <w:tcW w:w="1571" w:type="dxa"/>
          </w:tcPr>
          <w:p w:rsidR="00EB61C4" w:rsidRDefault="00EB61C4">
            <w:pPr>
              <w:pStyle w:val="Pagedecouverture"/>
              <w:rPr>
                <w:noProof/>
              </w:rPr>
            </w:pPr>
          </w:p>
        </w:tc>
        <w:tc>
          <w:tcPr>
            <w:tcW w:w="784" w:type="dxa"/>
          </w:tcPr>
          <w:p w:rsidR="00EB61C4" w:rsidRDefault="00EB61C4">
            <w:pPr>
              <w:pStyle w:val="Pagedecouverture"/>
              <w:rPr>
                <w:noProof/>
              </w:rPr>
            </w:pPr>
          </w:p>
        </w:tc>
        <w:tc>
          <w:tcPr>
            <w:tcW w:w="1118" w:type="dxa"/>
          </w:tcPr>
          <w:p w:rsidR="00EB61C4" w:rsidRDefault="00EB61C4">
            <w:pPr>
              <w:pStyle w:val="Pagedecouverture"/>
              <w:rPr>
                <w:noProof/>
              </w:rPr>
            </w:pPr>
          </w:p>
        </w:tc>
        <w:tc>
          <w:tcPr>
            <w:tcW w:w="2332" w:type="dxa"/>
          </w:tcPr>
          <w:p w:rsidR="00EB61C4" w:rsidRDefault="00EB61C4">
            <w:pPr>
              <w:pStyle w:val="Pagedecouverture"/>
              <w:rPr>
                <w:noProof/>
              </w:rPr>
            </w:pPr>
          </w:p>
        </w:tc>
        <w:tc>
          <w:tcPr>
            <w:tcW w:w="1020" w:type="dxa"/>
          </w:tcPr>
          <w:p w:rsidR="00EB61C4" w:rsidRDefault="00EB61C4">
            <w:pPr>
              <w:pStyle w:val="Pagedecouverture"/>
              <w:rPr>
                <w:noProof/>
              </w:rPr>
            </w:pPr>
          </w:p>
        </w:tc>
        <w:tc>
          <w:tcPr>
            <w:tcW w:w="1500" w:type="dxa"/>
          </w:tcPr>
          <w:p w:rsidR="00EB61C4" w:rsidRDefault="00EB61C4">
            <w:pPr>
              <w:pStyle w:val="Pagedecouverture"/>
              <w:rPr>
                <w:noProof/>
              </w:rPr>
            </w:pPr>
          </w:p>
        </w:tc>
        <w:tc>
          <w:tcPr>
            <w:tcW w:w="2104" w:type="dxa"/>
          </w:tcPr>
          <w:p w:rsidR="00EB61C4" w:rsidRDefault="00EB61C4">
            <w:pPr>
              <w:pStyle w:val="Pagedecouverture"/>
              <w:rPr>
                <w:noProof/>
              </w:rPr>
            </w:pPr>
          </w:p>
        </w:tc>
      </w:tr>
      <w:tr w:rsidR="00EB61C4">
        <w:tc>
          <w:tcPr>
            <w:tcW w:w="13686" w:type="dxa"/>
            <w:gridSpan w:val="9"/>
          </w:tcPr>
          <w:tbl>
            <w:tblPr>
              <w:tblStyle w:val="TableGrid"/>
              <w:tblW w:w="13151" w:type="dxa"/>
              <w:tblLook w:val="04A0" w:firstRow="1" w:lastRow="0" w:firstColumn="1" w:lastColumn="0" w:noHBand="0" w:noVBand="1"/>
            </w:tblPr>
            <w:tblGrid>
              <w:gridCol w:w="1542"/>
              <w:gridCol w:w="1428"/>
              <w:gridCol w:w="861"/>
              <w:gridCol w:w="216"/>
              <w:gridCol w:w="623"/>
              <w:gridCol w:w="882"/>
              <w:gridCol w:w="216"/>
              <w:gridCol w:w="604"/>
              <w:gridCol w:w="866"/>
              <w:gridCol w:w="216"/>
              <w:gridCol w:w="618"/>
              <w:gridCol w:w="882"/>
              <w:gridCol w:w="216"/>
              <w:gridCol w:w="603"/>
              <w:gridCol w:w="882"/>
              <w:gridCol w:w="814"/>
              <w:gridCol w:w="1034"/>
              <w:gridCol w:w="957"/>
            </w:tblGrid>
            <w:tr w:rsidR="00EB61C4">
              <w:tc>
                <w:tcPr>
                  <w:tcW w:w="1320" w:type="dxa"/>
                  <w:vMerge w:val="restart"/>
                </w:tcPr>
                <w:p w:rsidR="00EB61C4" w:rsidRDefault="00A8283A">
                  <w:pPr>
                    <w:pStyle w:val="Pagedecouverture"/>
                    <w:rPr>
                      <w:b/>
                      <w:noProof/>
                      <w:sz w:val="20"/>
                      <w:szCs w:val="20"/>
                    </w:rPr>
                  </w:pPr>
                  <w:r>
                    <w:rPr>
                      <w:b/>
                      <w:noProof/>
                      <w:sz w:val="20"/>
                    </w:rPr>
                    <w:t xml:space="preserve">   Να προσδιοριστούν οι στόχοι και τα αποτελέσματα </w:t>
                  </w:r>
                </w:p>
                <w:p w:rsidR="00EB61C4" w:rsidRDefault="00EB61C4">
                  <w:pPr>
                    <w:pStyle w:val="Pagedecouverture"/>
                    <w:rPr>
                      <w:noProof/>
                      <w:sz w:val="14"/>
                      <w:szCs w:val="20"/>
                    </w:rPr>
                  </w:pPr>
                </w:p>
                <w:p w:rsidR="00EB61C4" w:rsidRDefault="00A8283A">
                  <w:pPr>
                    <w:pStyle w:val="Pagedecouverture"/>
                    <w:spacing w:after="120"/>
                    <w:jc w:val="center"/>
                    <w:rPr>
                      <w:noProof/>
                      <w:sz w:val="20"/>
                      <w:szCs w:val="20"/>
                    </w:rPr>
                  </w:pPr>
                  <w:r>
                    <w:rPr>
                      <w:noProof/>
                      <w:sz w:val="20"/>
                      <w:szCs w:val="20"/>
                    </w:rPr>
                    <w:sym w:font="Wingdings" w:char="F0F2"/>
                  </w:r>
                </w:p>
              </w:tc>
              <w:tc>
                <w:tcPr>
                  <w:tcW w:w="1827" w:type="dxa"/>
                </w:tcPr>
                <w:p w:rsidR="00EB61C4" w:rsidRDefault="00EB61C4">
                  <w:pPr>
                    <w:pStyle w:val="Pagedecouverture"/>
                    <w:jc w:val="center"/>
                    <w:rPr>
                      <w:noProof/>
                      <w:sz w:val="20"/>
                      <w:szCs w:val="20"/>
                    </w:rPr>
                  </w:pPr>
                </w:p>
              </w:tc>
              <w:tc>
                <w:tcPr>
                  <w:tcW w:w="1402" w:type="dxa"/>
                  <w:gridSpan w:val="3"/>
                </w:tcPr>
                <w:p w:rsidR="00EB61C4" w:rsidRDefault="00A8283A">
                  <w:pPr>
                    <w:pStyle w:val="Pagedecouverture"/>
                    <w:jc w:val="center"/>
                    <w:rPr>
                      <w:noProof/>
                      <w:sz w:val="20"/>
                      <w:szCs w:val="20"/>
                    </w:rPr>
                  </w:pPr>
                  <w:r>
                    <w:rPr>
                      <w:noProof/>
                      <w:sz w:val="20"/>
                    </w:rPr>
                    <w:t xml:space="preserve">Έτος </w:t>
                  </w:r>
                  <w:r>
                    <w:rPr>
                      <w:b/>
                      <w:noProof/>
                      <w:sz w:val="20"/>
                    </w:rPr>
                    <w:t>2016</w:t>
                  </w:r>
                </w:p>
              </w:tc>
              <w:tc>
                <w:tcPr>
                  <w:tcW w:w="1545" w:type="dxa"/>
                  <w:gridSpan w:val="3"/>
                </w:tcPr>
                <w:p w:rsidR="00EB61C4" w:rsidRDefault="00A8283A">
                  <w:pPr>
                    <w:pStyle w:val="Pagedecouverture"/>
                    <w:jc w:val="center"/>
                    <w:rPr>
                      <w:noProof/>
                      <w:sz w:val="20"/>
                      <w:szCs w:val="20"/>
                    </w:rPr>
                  </w:pPr>
                  <w:r>
                    <w:rPr>
                      <w:noProof/>
                      <w:sz w:val="20"/>
                    </w:rPr>
                    <w:t xml:space="preserve">Έτος </w:t>
                  </w:r>
                  <w:r>
                    <w:rPr>
                      <w:b/>
                      <w:noProof/>
                      <w:sz w:val="20"/>
                    </w:rPr>
                    <w:t>2017</w:t>
                  </w:r>
                </w:p>
              </w:tc>
              <w:tc>
                <w:tcPr>
                  <w:tcW w:w="1541" w:type="dxa"/>
                  <w:gridSpan w:val="3"/>
                </w:tcPr>
                <w:p w:rsidR="00EB61C4" w:rsidRDefault="00A8283A">
                  <w:pPr>
                    <w:pStyle w:val="Pagedecouverture"/>
                    <w:jc w:val="center"/>
                    <w:rPr>
                      <w:noProof/>
                      <w:sz w:val="20"/>
                      <w:szCs w:val="20"/>
                    </w:rPr>
                  </w:pPr>
                  <w:r>
                    <w:rPr>
                      <w:noProof/>
                      <w:sz w:val="20"/>
                    </w:rPr>
                    <w:t xml:space="preserve">Έτος </w:t>
                  </w:r>
                  <w:r>
                    <w:rPr>
                      <w:b/>
                      <w:noProof/>
                      <w:sz w:val="20"/>
                    </w:rPr>
                    <w:t>2018</w:t>
                  </w:r>
                </w:p>
              </w:tc>
              <w:tc>
                <w:tcPr>
                  <w:tcW w:w="1539" w:type="dxa"/>
                  <w:gridSpan w:val="3"/>
                </w:tcPr>
                <w:p w:rsidR="00EB61C4" w:rsidRDefault="00A8283A">
                  <w:pPr>
                    <w:pStyle w:val="Pagedecouverture"/>
                    <w:jc w:val="center"/>
                    <w:rPr>
                      <w:noProof/>
                      <w:sz w:val="20"/>
                      <w:szCs w:val="20"/>
                    </w:rPr>
                  </w:pPr>
                  <w:r>
                    <w:rPr>
                      <w:noProof/>
                      <w:sz w:val="20"/>
                    </w:rPr>
                    <w:t xml:space="preserve">Έτος </w:t>
                  </w:r>
                  <w:r>
                    <w:rPr>
                      <w:b/>
                      <w:noProof/>
                      <w:sz w:val="20"/>
                    </w:rPr>
                    <w:t>2019</w:t>
                  </w:r>
                </w:p>
              </w:tc>
              <w:tc>
                <w:tcPr>
                  <w:tcW w:w="1539" w:type="dxa"/>
                  <w:gridSpan w:val="2"/>
                </w:tcPr>
                <w:p w:rsidR="00EB61C4" w:rsidRDefault="00A8283A">
                  <w:pPr>
                    <w:pStyle w:val="Pagedecouverture"/>
                    <w:jc w:val="center"/>
                    <w:rPr>
                      <w:noProof/>
                      <w:sz w:val="20"/>
                      <w:szCs w:val="20"/>
                    </w:rPr>
                  </w:pPr>
                  <w:r>
                    <w:rPr>
                      <w:noProof/>
                      <w:sz w:val="20"/>
                    </w:rPr>
                    <w:t xml:space="preserve">Έτος </w:t>
                  </w:r>
                  <w:r>
                    <w:rPr>
                      <w:b/>
                      <w:noProof/>
                      <w:sz w:val="20"/>
                    </w:rPr>
                    <w:t>2020</w:t>
                  </w:r>
                </w:p>
              </w:tc>
              <w:tc>
                <w:tcPr>
                  <w:tcW w:w="2438" w:type="dxa"/>
                  <w:gridSpan w:val="2"/>
                </w:tcPr>
                <w:p w:rsidR="00EB61C4" w:rsidRDefault="00A8283A">
                  <w:pPr>
                    <w:pStyle w:val="Pagedecouverture"/>
                    <w:jc w:val="center"/>
                    <w:rPr>
                      <w:b/>
                      <w:noProof/>
                      <w:sz w:val="20"/>
                      <w:szCs w:val="20"/>
                    </w:rPr>
                  </w:pPr>
                  <w:r>
                    <w:rPr>
                      <w:b/>
                      <w:noProof/>
                      <w:sz w:val="20"/>
                    </w:rPr>
                    <w:t>ΣYΝΟΛΟ</w:t>
                  </w:r>
                </w:p>
              </w:tc>
            </w:tr>
            <w:tr w:rsidR="00EB61C4">
              <w:tc>
                <w:tcPr>
                  <w:tcW w:w="1320" w:type="dxa"/>
                  <w:vMerge/>
                </w:tcPr>
                <w:p w:rsidR="00EB61C4" w:rsidRDefault="00EB61C4">
                  <w:pPr>
                    <w:pStyle w:val="Pagedecouverture"/>
                    <w:rPr>
                      <w:noProof/>
                      <w:sz w:val="20"/>
                      <w:szCs w:val="20"/>
                    </w:rPr>
                  </w:pPr>
                </w:p>
              </w:tc>
              <w:tc>
                <w:tcPr>
                  <w:tcW w:w="11831" w:type="dxa"/>
                  <w:gridSpan w:val="17"/>
                </w:tcPr>
                <w:p w:rsidR="00EB61C4" w:rsidRDefault="00EB61C4">
                  <w:pPr>
                    <w:pStyle w:val="Pagedecouverture"/>
                    <w:jc w:val="center"/>
                    <w:rPr>
                      <w:noProof/>
                      <w:sz w:val="20"/>
                      <w:szCs w:val="20"/>
                    </w:rPr>
                  </w:pPr>
                </w:p>
              </w:tc>
            </w:tr>
            <w:tr w:rsidR="00EB61C4">
              <w:tc>
                <w:tcPr>
                  <w:tcW w:w="1320" w:type="dxa"/>
                  <w:vMerge/>
                </w:tcPr>
                <w:p w:rsidR="00EB61C4" w:rsidRDefault="00EB61C4">
                  <w:pPr>
                    <w:pStyle w:val="Pagedecouverture"/>
                    <w:rPr>
                      <w:noProof/>
                      <w:sz w:val="20"/>
                      <w:szCs w:val="20"/>
                    </w:rPr>
                  </w:pPr>
                </w:p>
              </w:tc>
              <w:tc>
                <w:tcPr>
                  <w:tcW w:w="1827" w:type="dxa"/>
                  <w:vAlign w:val="center"/>
                </w:tcPr>
                <w:p w:rsidR="00EB61C4" w:rsidRDefault="00A8283A">
                  <w:pPr>
                    <w:pStyle w:val="Pagedecouverture"/>
                    <w:jc w:val="center"/>
                    <w:rPr>
                      <w:noProof/>
                      <w:sz w:val="20"/>
                      <w:szCs w:val="20"/>
                    </w:rPr>
                  </w:pPr>
                  <w:r>
                    <w:rPr>
                      <w:noProof/>
                      <w:sz w:val="20"/>
                    </w:rPr>
                    <w:t>Τύπος</w:t>
                  </w:r>
                  <w:r>
                    <w:rPr>
                      <w:rStyle w:val="FootnoteReference"/>
                      <w:noProof/>
                      <w:sz w:val="20"/>
                    </w:rPr>
                    <w:footnoteReference w:id="25"/>
                  </w:r>
                </w:p>
              </w:tc>
              <w:tc>
                <w:tcPr>
                  <w:tcW w:w="730" w:type="dxa"/>
                  <w:gridSpan w:val="2"/>
                  <w:shd w:val="clear" w:color="auto" w:fill="C7C7C7" w:themeFill="background1" w:themeFillShade="D9"/>
                  <w:vAlign w:val="center"/>
                </w:tcPr>
                <w:p w:rsidR="00EB61C4" w:rsidRDefault="00A8283A">
                  <w:pPr>
                    <w:pStyle w:val="Pagedecouverture"/>
                    <w:jc w:val="center"/>
                    <w:rPr>
                      <w:noProof/>
                      <w:sz w:val="20"/>
                      <w:szCs w:val="20"/>
                    </w:rPr>
                  </w:pPr>
                  <w:r>
                    <w:rPr>
                      <w:noProof/>
                      <w:sz w:val="20"/>
                    </w:rPr>
                    <w:t>Αριθμός</w:t>
                  </w:r>
                </w:p>
              </w:tc>
              <w:tc>
                <w:tcPr>
                  <w:tcW w:w="672"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Κόστος</w:t>
                  </w:r>
                </w:p>
              </w:tc>
              <w:tc>
                <w:tcPr>
                  <w:tcW w:w="872"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Αριθμός</w:t>
                  </w:r>
                </w:p>
              </w:tc>
              <w:tc>
                <w:tcPr>
                  <w:tcW w:w="673" w:type="dxa"/>
                  <w:gridSpan w:val="2"/>
                  <w:shd w:val="clear" w:color="auto" w:fill="C7C7C7" w:themeFill="background1" w:themeFillShade="D9"/>
                  <w:vAlign w:val="center"/>
                </w:tcPr>
                <w:p w:rsidR="00EB61C4" w:rsidRDefault="00A8283A">
                  <w:pPr>
                    <w:pStyle w:val="Pagedecouverture"/>
                    <w:jc w:val="center"/>
                    <w:rPr>
                      <w:noProof/>
                      <w:sz w:val="20"/>
                      <w:szCs w:val="20"/>
                    </w:rPr>
                  </w:pPr>
                  <w:r>
                    <w:rPr>
                      <w:noProof/>
                      <w:sz w:val="20"/>
                    </w:rPr>
                    <w:t>Κόστος</w:t>
                  </w:r>
                </w:p>
              </w:tc>
              <w:tc>
                <w:tcPr>
                  <w:tcW w:w="872" w:type="dxa"/>
                  <w:gridSpan w:val="2"/>
                  <w:shd w:val="clear" w:color="auto" w:fill="C7C7C7" w:themeFill="background1" w:themeFillShade="D9"/>
                  <w:vAlign w:val="center"/>
                </w:tcPr>
                <w:p w:rsidR="00EB61C4" w:rsidRDefault="00A8283A">
                  <w:pPr>
                    <w:pStyle w:val="Pagedecouverture"/>
                    <w:jc w:val="center"/>
                    <w:rPr>
                      <w:noProof/>
                      <w:sz w:val="20"/>
                      <w:szCs w:val="20"/>
                    </w:rPr>
                  </w:pPr>
                  <w:r>
                    <w:rPr>
                      <w:noProof/>
                      <w:sz w:val="20"/>
                    </w:rPr>
                    <w:t>Αριθμός</w:t>
                  </w:r>
                </w:p>
              </w:tc>
              <w:tc>
                <w:tcPr>
                  <w:tcW w:w="669"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Κόστος</w:t>
                  </w:r>
                </w:p>
              </w:tc>
              <w:tc>
                <w:tcPr>
                  <w:tcW w:w="872"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Αριθμός</w:t>
                  </w:r>
                </w:p>
              </w:tc>
              <w:tc>
                <w:tcPr>
                  <w:tcW w:w="667" w:type="dxa"/>
                  <w:gridSpan w:val="2"/>
                  <w:shd w:val="clear" w:color="auto" w:fill="C7C7C7" w:themeFill="background1" w:themeFillShade="D9"/>
                  <w:vAlign w:val="center"/>
                </w:tcPr>
                <w:p w:rsidR="00EB61C4" w:rsidRDefault="00A8283A">
                  <w:pPr>
                    <w:pStyle w:val="Pagedecouverture"/>
                    <w:jc w:val="center"/>
                    <w:rPr>
                      <w:noProof/>
                      <w:sz w:val="20"/>
                      <w:szCs w:val="20"/>
                    </w:rPr>
                  </w:pPr>
                  <w:r>
                    <w:rPr>
                      <w:noProof/>
                      <w:sz w:val="20"/>
                    </w:rPr>
                    <w:t>Κόστος</w:t>
                  </w:r>
                </w:p>
              </w:tc>
              <w:tc>
                <w:tcPr>
                  <w:tcW w:w="872"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Αριθμός</w:t>
                  </w:r>
                </w:p>
              </w:tc>
              <w:tc>
                <w:tcPr>
                  <w:tcW w:w="667"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Κόστος</w:t>
                  </w:r>
                </w:p>
              </w:tc>
              <w:tc>
                <w:tcPr>
                  <w:tcW w:w="1234"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Συνολικός αριθμός</w:t>
                  </w:r>
                </w:p>
              </w:tc>
              <w:tc>
                <w:tcPr>
                  <w:tcW w:w="1204" w:type="dxa"/>
                  <w:shd w:val="clear" w:color="auto" w:fill="C7C7C7" w:themeFill="background1" w:themeFillShade="D9"/>
                  <w:vAlign w:val="center"/>
                </w:tcPr>
                <w:p w:rsidR="00EB61C4" w:rsidRDefault="00A8283A">
                  <w:pPr>
                    <w:pStyle w:val="Pagedecouverture"/>
                    <w:jc w:val="center"/>
                    <w:rPr>
                      <w:noProof/>
                      <w:sz w:val="20"/>
                      <w:szCs w:val="20"/>
                    </w:rPr>
                  </w:pPr>
                  <w:r>
                    <w:rPr>
                      <w:noProof/>
                      <w:sz w:val="20"/>
                    </w:rPr>
                    <w:t>Συνολικό κόστος</w:t>
                  </w:r>
                </w:p>
              </w:tc>
            </w:tr>
            <w:tr w:rsidR="00EB61C4">
              <w:trPr>
                <w:trHeight w:val="386"/>
              </w:trPr>
              <w:tc>
                <w:tcPr>
                  <w:tcW w:w="13151" w:type="dxa"/>
                  <w:gridSpan w:val="18"/>
                  <w:vAlign w:val="center"/>
                </w:tcPr>
                <w:p w:rsidR="00EB61C4" w:rsidRDefault="00A8283A">
                  <w:pPr>
                    <w:pStyle w:val="Pagedecouverture"/>
                    <w:jc w:val="center"/>
                    <w:rPr>
                      <w:noProof/>
                      <w:sz w:val="20"/>
                      <w:szCs w:val="20"/>
                    </w:rPr>
                  </w:pPr>
                  <w:r>
                    <w:rPr>
                      <w:noProof/>
                      <w:sz w:val="20"/>
                    </w:rPr>
                    <w:t>ΕΙΔΙΚΟΣ ΣΤOΧΟΣ Αριθ. 1</w:t>
                  </w:r>
                  <w:r>
                    <w:rPr>
                      <w:rStyle w:val="FootnoteReference"/>
                      <w:noProof/>
                      <w:sz w:val="20"/>
                    </w:rPr>
                    <w:footnoteReference w:id="26"/>
                  </w:r>
                </w:p>
              </w:tc>
            </w:tr>
            <w:tr w:rsidR="00EB61C4">
              <w:trPr>
                <w:trHeight w:val="560"/>
              </w:trPr>
              <w:tc>
                <w:tcPr>
                  <w:tcW w:w="1320" w:type="dxa"/>
                  <w:vAlign w:val="center"/>
                </w:tcPr>
                <w:p w:rsidR="00EB61C4" w:rsidRDefault="00A8283A">
                  <w:pPr>
                    <w:pStyle w:val="Pagedecouverture"/>
                    <w:rPr>
                      <w:noProof/>
                      <w:sz w:val="20"/>
                      <w:szCs w:val="20"/>
                    </w:rPr>
                  </w:pPr>
                  <w:r>
                    <w:rPr>
                      <w:noProof/>
                      <w:sz w:val="20"/>
                    </w:rPr>
                    <w:t>Αποτέλεσμα 1</w:t>
                  </w:r>
                </w:p>
              </w:tc>
              <w:tc>
                <w:tcPr>
                  <w:tcW w:w="1827" w:type="dxa"/>
                  <w:vAlign w:val="center"/>
                </w:tcPr>
                <w:p w:rsidR="00EB61C4" w:rsidRDefault="00A8283A">
                  <w:pPr>
                    <w:pStyle w:val="Pagedecouverture"/>
                    <w:jc w:val="left"/>
                    <w:rPr>
                      <w:noProof/>
                      <w:sz w:val="20"/>
                      <w:szCs w:val="20"/>
                    </w:rPr>
                  </w:pPr>
                  <w:r>
                    <w:rPr>
                      <w:noProof/>
                      <w:sz w:val="20"/>
                    </w:rPr>
                    <w:t>Εκταμιεύσεις επιχορηγήσεων</w:t>
                  </w:r>
                </w:p>
              </w:tc>
              <w:tc>
                <w:tcPr>
                  <w:tcW w:w="713" w:type="dxa"/>
                  <w:vAlign w:val="center"/>
                </w:tcPr>
                <w:p w:rsidR="00EB61C4" w:rsidRDefault="00EB61C4">
                  <w:pPr>
                    <w:pStyle w:val="Pagedecouverture"/>
                    <w:jc w:val="center"/>
                    <w:rPr>
                      <w:noProof/>
                      <w:sz w:val="20"/>
                      <w:szCs w:val="20"/>
                    </w:rPr>
                  </w:pPr>
                </w:p>
              </w:tc>
              <w:tc>
                <w:tcPr>
                  <w:tcW w:w="689" w:type="dxa"/>
                  <w:gridSpan w:val="2"/>
                  <w:vAlign w:val="center"/>
                </w:tcPr>
                <w:p w:rsidR="00EB61C4" w:rsidRDefault="00EB61C4">
                  <w:pPr>
                    <w:pStyle w:val="Pagedecouverture"/>
                    <w:jc w:val="center"/>
                    <w:rPr>
                      <w:noProof/>
                      <w:sz w:val="20"/>
                      <w:szCs w:val="20"/>
                    </w:rPr>
                  </w:pPr>
                </w:p>
              </w:tc>
              <w:tc>
                <w:tcPr>
                  <w:tcW w:w="879" w:type="dxa"/>
                  <w:gridSpan w:val="2"/>
                  <w:vAlign w:val="center"/>
                </w:tcPr>
                <w:p w:rsidR="00EB61C4" w:rsidRDefault="00A8283A">
                  <w:pPr>
                    <w:pStyle w:val="Pagedecouverture"/>
                    <w:jc w:val="center"/>
                    <w:rPr>
                      <w:noProof/>
                      <w:sz w:val="20"/>
                      <w:szCs w:val="20"/>
                    </w:rPr>
                  </w:pPr>
                  <w:r>
                    <w:rPr>
                      <w:noProof/>
                      <w:sz w:val="20"/>
                    </w:rPr>
                    <w:t>3</w:t>
                  </w:r>
                </w:p>
              </w:tc>
              <w:tc>
                <w:tcPr>
                  <w:tcW w:w="666" w:type="dxa"/>
                  <w:vAlign w:val="center"/>
                </w:tcPr>
                <w:p w:rsidR="00EB61C4" w:rsidRDefault="00A8283A">
                  <w:pPr>
                    <w:pStyle w:val="Pagedecouverture"/>
                    <w:jc w:val="center"/>
                    <w:rPr>
                      <w:noProof/>
                      <w:sz w:val="20"/>
                      <w:szCs w:val="20"/>
                    </w:rPr>
                  </w:pPr>
                  <w:r>
                    <w:rPr>
                      <w:noProof/>
                      <w:sz w:val="20"/>
                    </w:rPr>
                    <w:t>40</w:t>
                  </w:r>
                </w:p>
              </w:tc>
              <w:tc>
                <w:tcPr>
                  <w:tcW w:w="857" w:type="dxa"/>
                  <w:vAlign w:val="center"/>
                </w:tcPr>
                <w:p w:rsidR="00EB61C4" w:rsidRDefault="00EB61C4">
                  <w:pPr>
                    <w:pStyle w:val="Pagedecouverture"/>
                    <w:jc w:val="center"/>
                    <w:rPr>
                      <w:noProof/>
                      <w:sz w:val="20"/>
                      <w:szCs w:val="20"/>
                    </w:rPr>
                  </w:pPr>
                </w:p>
              </w:tc>
              <w:tc>
                <w:tcPr>
                  <w:tcW w:w="684" w:type="dxa"/>
                  <w:gridSpan w:val="2"/>
                  <w:vAlign w:val="center"/>
                </w:tcPr>
                <w:p w:rsidR="00EB61C4" w:rsidRDefault="00EB61C4">
                  <w:pPr>
                    <w:pStyle w:val="Pagedecouverture"/>
                    <w:jc w:val="center"/>
                    <w:rPr>
                      <w:noProof/>
                      <w:sz w:val="20"/>
                      <w:szCs w:val="20"/>
                    </w:rPr>
                  </w:pPr>
                </w:p>
              </w:tc>
              <w:tc>
                <w:tcPr>
                  <w:tcW w:w="888" w:type="dxa"/>
                  <w:gridSpan w:val="2"/>
                  <w:vAlign w:val="center"/>
                </w:tcPr>
                <w:p w:rsidR="00EB61C4" w:rsidRDefault="00EB61C4">
                  <w:pPr>
                    <w:pStyle w:val="Pagedecouverture"/>
                    <w:jc w:val="center"/>
                    <w:rPr>
                      <w:noProof/>
                      <w:sz w:val="20"/>
                      <w:szCs w:val="20"/>
                    </w:rPr>
                  </w:pPr>
                </w:p>
              </w:tc>
              <w:tc>
                <w:tcPr>
                  <w:tcW w:w="651" w:type="dxa"/>
                  <w:vAlign w:val="center"/>
                </w:tcPr>
                <w:p w:rsidR="00EB61C4" w:rsidRDefault="00EB61C4">
                  <w:pPr>
                    <w:pStyle w:val="Pagedecouverture"/>
                    <w:jc w:val="center"/>
                    <w:rPr>
                      <w:noProof/>
                      <w:sz w:val="20"/>
                      <w:szCs w:val="20"/>
                    </w:rPr>
                  </w:pPr>
                </w:p>
              </w:tc>
              <w:tc>
                <w:tcPr>
                  <w:tcW w:w="872" w:type="dxa"/>
                  <w:vAlign w:val="center"/>
                </w:tcPr>
                <w:p w:rsidR="00EB61C4" w:rsidRDefault="00EB61C4">
                  <w:pPr>
                    <w:pStyle w:val="Pagedecouverture"/>
                    <w:jc w:val="center"/>
                    <w:rPr>
                      <w:noProof/>
                      <w:sz w:val="20"/>
                      <w:szCs w:val="20"/>
                    </w:rPr>
                  </w:pPr>
                </w:p>
              </w:tc>
              <w:tc>
                <w:tcPr>
                  <w:tcW w:w="667" w:type="dxa"/>
                  <w:vAlign w:val="center"/>
                </w:tcPr>
                <w:p w:rsidR="00EB61C4" w:rsidRDefault="00EB61C4">
                  <w:pPr>
                    <w:pStyle w:val="Pagedecouverture"/>
                    <w:jc w:val="center"/>
                    <w:rPr>
                      <w:noProof/>
                      <w:sz w:val="20"/>
                      <w:szCs w:val="20"/>
                    </w:rPr>
                  </w:pPr>
                </w:p>
              </w:tc>
              <w:tc>
                <w:tcPr>
                  <w:tcW w:w="1234" w:type="dxa"/>
                  <w:vAlign w:val="center"/>
                </w:tcPr>
                <w:p w:rsidR="00EB61C4" w:rsidRDefault="00A8283A">
                  <w:pPr>
                    <w:pStyle w:val="Pagedecouverture"/>
                    <w:jc w:val="center"/>
                    <w:rPr>
                      <w:noProof/>
                      <w:sz w:val="20"/>
                      <w:szCs w:val="20"/>
                    </w:rPr>
                  </w:pPr>
                  <w:r>
                    <w:rPr>
                      <w:noProof/>
                      <w:sz w:val="20"/>
                    </w:rPr>
                    <w:t>3</w:t>
                  </w:r>
                </w:p>
              </w:tc>
              <w:tc>
                <w:tcPr>
                  <w:tcW w:w="1204" w:type="dxa"/>
                  <w:vAlign w:val="center"/>
                </w:tcPr>
                <w:p w:rsidR="00EB61C4" w:rsidRDefault="00A8283A">
                  <w:pPr>
                    <w:pStyle w:val="Pagedecouverture"/>
                    <w:jc w:val="center"/>
                    <w:rPr>
                      <w:noProof/>
                      <w:sz w:val="20"/>
                      <w:szCs w:val="20"/>
                    </w:rPr>
                  </w:pPr>
                  <w:r>
                    <w:rPr>
                      <w:noProof/>
                      <w:sz w:val="20"/>
                    </w:rPr>
                    <w:t>40</w:t>
                  </w:r>
                </w:p>
              </w:tc>
            </w:tr>
            <w:tr w:rsidR="00EB61C4">
              <w:trPr>
                <w:trHeight w:val="537"/>
              </w:trPr>
              <w:tc>
                <w:tcPr>
                  <w:tcW w:w="1320" w:type="dxa"/>
                  <w:vAlign w:val="center"/>
                </w:tcPr>
                <w:p w:rsidR="00EB61C4" w:rsidRDefault="00A8283A">
                  <w:pPr>
                    <w:pStyle w:val="Pagedecouverture"/>
                    <w:rPr>
                      <w:noProof/>
                      <w:sz w:val="20"/>
                      <w:szCs w:val="20"/>
                    </w:rPr>
                  </w:pPr>
                  <w:r>
                    <w:rPr>
                      <w:noProof/>
                      <w:sz w:val="20"/>
                    </w:rPr>
                    <w:t xml:space="preserve">- </w:t>
                  </w:r>
                  <w:r>
                    <w:rPr>
                      <w:noProof/>
                      <w:sz w:val="20"/>
                    </w:rPr>
                    <w:t>Αποτέλεσμα 2</w:t>
                  </w:r>
                </w:p>
              </w:tc>
              <w:tc>
                <w:tcPr>
                  <w:tcW w:w="1827" w:type="dxa"/>
                  <w:vAlign w:val="center"/>
                </w:tcPr>
                <w:p w:rsidR="00EB61C4" w:rsidRDefault="00A8283A">
                  <w:pPr>
                    <w:pStyle w:val="Pagedecouverture"/>
                    <w:jc w:val="left"/>
                    <w:rPr>
                      <w:noProof/>
                      <w:sz w:val="20"/>
                      <w:szCs w:val="20"/>
                    </w:rPr>
                  </w:pPr>
                  <w:r>
                    <w:rPr>
                      <w:noProof/>
                      <w:sz w:val="20"/>
                    </w:rPr>
                    <w:t>Τροφοδότηση του Ταμείου Εγγυήσεων</w:t>
                  </w:r>
                </w:p>
              </w:tc>
              <w:tc>
                <w:tcPr>
                  <w:tcW w:w="713" w:type="dxa"/>
                  <w:vAlign w:val="center"/>
                </w:tcPr>
                <w:p w:rsidR="00EB61C4" w:rsidRDefault="00EB61C4">
                  <w:pPr>
                    <w:pStyle w:val="Pagedecouverture"/>
                    <w:jc w:val="center"/>
                    <w:rPr>
                      <w:noProof/>
                      <w:sz w:val="20"/>
                      <w:szCs w:val="20"/>
                    </w:rPr>
                  </w:pPr>
                </w:p>
              </w:tc>
              <w:tc>
                <w:tcPr>
                  <w:tcW w:w="689" w:type="dxa"/>
                  <w:gridSpan w:val="2"/>
                  <w:vAlign w:val="center"/>
                </w:tcPr>
                <w:p w:rsidR="00EB61C4" w:rsidRDefault="00EB61C4">
                  <w:pPr>
                    <w:pStyle w:val="Pagedecouverture"/>
                    <w:jc w:val="center"/>
                    <w:rPr>
                      <w:noProof/>
                      <w:sz w:val="20"/>
                      <w:szCs w:val="20"/>
                    </w:rPr>
                  </w:pPr>
                </w:p>
              </w:tc>
              <w:tc>
                <w:tcPr>
                  <w:tcW w:w="879" w:type="dxa"/>
                  <w:gridSpan w:val="2"/>
                  <w:vAlign w:val="center"/>
                </w:tcPr>
                <w:p w:rsidR="00EB61C4" w:rsidRDefault="00EB61C4">
                  <w:pPr>
                    <w:pStyle w:val="Pagedecouverture"/>
                    <w:jc w:val="center"/>
                    <w:rPr>
                      <w:noProof/>
                      <w:sz w:val="20"/>
                      <w:szCs w:val="20"/>
                    </w:rPr>
                  </w:pPr>
                </w:p>
              </w:tc>
              <w:tc>
                <w:tcPr>
                  <w:tcW w:w="666" w:type="dxa"/>
                  <w:vAlign w:val="center"/>
                </w:tcPr>
                <w:p w:rsidR="00EB61C4" w:rsidRDefault="00EB61C4">
                  <w:pPr>
                    <w:pStyle w:val="Pagedecouverture"/>
                    <w:jc w:val="center"/>
                    <w:rPr>
                      <w:noProof/>
                      <w:sz w:val="20"/>
                      <w:szCs w:val="20"/>
                    </w:rPr>
                  </w:pPr>
                </w:p>
              </w:tc>
              <w:tc>
                <w:tcPr>
                  <w:tcW w:w="857" w:type="dxa"/>
                  <w:vAlign w:val="center"/>
                </w:tcPr>
                <w:p w:rsidR="00EB61C4" w:rsidRDefault="00EB61C4">
                  <w:pPr>
                    <w:pStyle w:val="Pagedecouverture"/>
                    <w:jc w:val="center"/>
                    <w:rPr>
                      <w:noProof/>
                      <w:sz w:val="20"/>
                      <w:szCs w:val="20"/>
                    </w:rPr>
                  </w:pPr>
                </w:p>
              </w:tc>
              <w:tc>
                <w:tcPr>
                  <w:tcW w:w="684" w:type="dxa"/>
                  <w:gridSpan w:val="2"/>
                  <w:vAlign w:val="center"/>
                </w:tcPr>
                <w:p w:rsidR="00EB61C4" w:rsidRDefault="00EB61C4">
                  <w:pPr>
                    <w:pStyle w:val="Pagedecouverture"/>
                    <w:jc w:val="center"/>
                    <w:rPr>
                      <w:noProof/>
                      <w:sz w:val="20"/>
                      <w:szCs w:val="20"/>
                    </w:rPr>
                  </w:pPr>
                </w:p>
              </w:tc>
              <w:tc>
                <w:tcPr>
                  <w:tcW w:w="888" w:type="dxa"/>
                  <w:gridSpan w:val="2"/>
                  <w:vAlign w:val="center"/>
                </w:tcPr>
                <w:p w:rsidR="00EB61C4" w:rsidRDefault="00A8283A">
                  <w:pPr>
                    <w:pStyle w:val="Pagedecouverture"/>
                    <w:jc w:val="center"/>
                    <w:rPr>
                      <w:noProof/>
                      <w:sz w:val="20"/>
                      <w:szCs w:val="20"/>
                    </w:rPr>
                  </w:pPr>
                  <w:r>
                    <w:rPr>
                      <w:noProof/>
                      <w:sz w:val="20"/>
                    </w:rPr>
                    <w:t>1</w:t>
                  </w:r>
                </w:p>
              </w:tc>
              <w:tc>
                <w:tcPr>
                  <w:tcW w:w="651" w:type="dxa"/>
                  <w:vAlign w:val="center"/>
                </w:tcPr>
                <w:p w:rsidR="00EB61C4" w:rsidRDefault="00A8283A">
                  <w:pPr>
                    <w:pStyle w:val="Pagedecouverture"/>
                    <w:jc w:val="center"/>
                    <w:rPr>
                      <w:noProof/>
                      <w:sz w:val="20"/>
                      <w:szCs w:val="20"/>
                    </w:rPr>
                  </w:pPr>
                  <w:r>
                    <w:rPr>
                      <w:noProof/>
                      <w:sz w:val="20"/>
                    </w:rPr>
                    <w:t>3,6</w:t>
                  </w:r>
                </w:p>
              </w:tc>
              <w:tc>
                <w:tcPr>
                  <w:tcW w:w="872" w:type="dxa"/>
                  <w:vAlign w:val="center"/>
                </w:tcPr>
                <w:p w:rsidR="00EB61C4" w:rsidRDefault="00A8283A">
                  <w:pPr>
                    <w:pStyle w:val="Pagedecouverture"/>
                    <w:jc w:val="center"/>
                    <w:rPr>
                      <w:noProof/>
                      <w:sz w:val="20"/>
                      <w:szCs w:val="20"/>
                    </w:rPr>
                  </w:pPr>
                  <w:r>
                    <w:rPr>
                      <w:noProof/>
                      <w:sz w:val="20"/>
                    </w:rPr>
                    <w:t>1</w:t>
                  </w:r>
                </w:p>
              </w:tc>
              <w:tc>
                <w:tcPr>
                  <w:tcW w:w="667" w:type="dxa"/>
                  <w:vAlign w:val="center"/>
                </w:tcPr>
                <w:p w:rsidR="00EB61C4" w:rsidRDefault="00A8283A">
                  <w:pPr>
                    <w:pStyle w:val="Pagedecouverture"/>
                    <w:jc w:val="center"/>
                    <w:rPr>
                      <w:noProof/>
                      <w:sz w:val="20"/>
                      <w:szCs w:val="20"/>
                    </w:rPr>
                  </w:pPr>
                  <w:r>
                    <w:rPr>
                      <w:noProof/>
                      <w:sz w:val="20"/>
                    </w:rPr>
                    <w:t>1,8</w:t>
                  </w:r>
                </w:p>
              </w:tc>
              <w:tc>
                <w:tcPr>
                  <w:tcW w:w="1234" w:type="dxa"/>
                  <w:vAlign w:val="center"/>
                </w:tcPr>
                <w:p w:rsidR="00EB61C4" w:rsidRDefault="00A8283A">
                  <w:pPr>
                    <w:pStyle w:val="Pagedecouverture"/>
                    <w:jc w:val="center"/>
                    <w:rPr>
                      <w:noProof/>
                      <w:sz w:val="20"/>
                      <w:szCs w:val="20"/>
                    </w:rPr>
                  </w:pPr>
                  <w:r>
                    <w:rPr>
                      <w:noProof/>
                      <w:sz w:val="20"/>
                    </w:rPr>
                    <w:t>2</w:t>
                  </w:r>
                </w:p>
              </w:tc>
              <w:tc>
                <w:tcPr>
                  <w:tcW w:w="1204" w:type="dxa"/>
                  <w:vAlign w:val="center"/>
                </w:tcPr>
                <w:p w:rsidR="00EB61C4" w:rsidRDefault="00A8283A">
                  <w:pPr>
                    <w:pStyle w:val="Pagedecouverture"/>
                    <w:jc w:val="center"/>
                    <w:rPr>
                      <w:noProof/>
                      <w:sz w:val="20"/>
                      <w:szCs w:val="20"/>
                    </w:rPr>
                  </w:pPr>
                  <w:r>
                    <w:rPr>
                      <w:noProof/>
                      <w:sz w:val="20"/>
                    </w:rPr>
                    <w:t>5,4</w:t>
                  </w:r>
                </w:p>
              </w:tc>
            </w:tr>
            <w:tr w:rsidR="00EB61C4">
              <w:trPr>
                <w:trHeight w:val="533"/>
              </w:trPr>
              <w:tc>
                <w:tcPr>
                  <w:tcW w:w="1320" w:type="dxa"/>
                  <w:vAlign w:val="center"/>
                </w:tcPr>
                <w:p w:rsidR="00EB61C4" w:rsidRDefault="00A8283A">
                  <w:pPr>
                    <w:pStyle w:val="Pagedecouverture"/>
                    <w:rPr>
                      <w:noProof/>
                      <w:sz w:val="20"/>
                      <w:szCs w:val="20"/>
                    </w:rPr>
                  </w:pPr>
                  <w:r>
                    <w:rPr>
                      <w:noProof/>
                      <w:sz w:val="20"/>
                    </w:rPr>
                    <w:t>- Αποτέλεσμα 3</w:t>
                  </w:r>
                </w:p>
              </w:tc>
              <w:tc>
                <w:tcPr>
                  <w:tcW w:w="1827" w:type="dxa"/>
                  <w:vAlign w:val="center"/>
                </w:tcPr>
                <w:p w:rsidR="00EB61C4" w:rsidRDefault="00A8283A">
                  <w:pPr>
                    <w:pStyle w:val="Pagedecouverture"/>
                    <w:jc w:val="left"/>
                    <w:rPr>
                      <w:noProof/>
                      <w:sz w:val="20"/>
                      <w:szCs w:val="20"/>
                    </w:rPr>
                  </w:pPr>
                  <w:r>
                    <w:rPr>
                      <w:noProof/>
                      <w:sz w:val="20"/>
                    </w:rPr>
                    <w:t>Εκ των υστέρων αξιολόγηση</w:t>
                  </w:r>
                </w:p>
              </w:tc>
              <w:tc>
                <w:tcPr>
                  <w:tcW w:w="713" w:type="dxa"/>
                  <w:vAlign w:val="center"/>
                </w:tcPr>
                <w:p w:rsidR="00EB61C4" w:rsidRDefault="00EB61C4">
                  <w:pPr>
                    <w:pStyle w:val="Pagedecouverture"/>
                    <w:jc w:val="center"/>
                    <w:rPr>
                      <w:noProof/>
                      <w:sz w:val="20"/>
                      <w:szCs w:val="20"/>
                    </w:rPr>
                  </w:pPr>
                </w:p>
              </w:tc>
              <w:tc>
                <w:tcPr>
                  <w:tcW w:w="689" w:type="dxa"/>
                  <w:gridSpan w:val="2"/>
                  <w:vAlign w:val="center"/>
                </w:tcPr>
                <w:p w:rsidR="00EB61C4" w:rsidRDefault="00EB61C4">
                  <w:pPr>
                    <w:pStyle w:val="Pagedecouverture"/>
                    <w:jc w:val="center"/>
                    <w:rPr>
                      <w:noProof/>
                      <w:sz w:val="20"/>
                      <w:szCs w:val="20"/>
                    </w:rPr>
                  </w:pPr>
                </w:p>
              </w:tc>
              <w:tc>
                <w:tcPr>
                  <w:tcW w:w="879" w:type="dxa"/>
                  <w:gridSpan w:val="2"/>
                  <w:vAlign w:val="center"/>
                </w:tcPr>
                <w:p w:rsidR="00EB61C4" w:rsidRDefault="00EB61C4">
                  <w:pPr>
                    <w:pStyle w:val="Pagedecouverture"/>
                    <w:jc w:val="center"/>
                    <w:rPr>
                      <w:noProof/>
                      <w:sz w:val="20"/>
                      <w:szCs w:val="20"/>
                    </w:rPr>
                  </w:pPr>
                </w:p>
              </w:tc>
              <w:tc>
                <w:tcPr>
                  <w:tcW w:w="666" w:type="dxa"/>
                  <w:vAlign w:val="center"/>
                </w:tcPr>
                <w:p w:rsidR="00EB61C4" w:rsidRDefault="00EB61C4">
                  <w:pPr>
                    <w:pStyle w:val="Pagedecouverture"/>
                    <w:jc w:val="center"/>
                    <w:rPr>
                      <w:noProof/>
                      <w:sz w:val="20"/>
                      <w:szCs w:val="20"/>
                    </w:rPr>
                  </w:pPr>
                </w:p>
              </w:tc>
              <w:tc>
                <w:tcPr>
                  <w:tcW w:w="857" w:type="dxa"/>
                  <w:vAlign w:val="center"/>
                </w:tcPr>
                <w:p w:rsidR="00EB61C4" w:rsidRDefault="00EB61C4">
                  <w:pPr>
                    <w:pStyle w:val="Pagedecouverture"/>
                    <w:jc w:val="center"/>
                    <w:rPr>
                      <w:noProof/>
                      <w:sz w:val="20"/>
                      <w:szCs w:val="20"/>
                    </w:rPr>
                  </w:pPr>
                </w:p>
              </w:tc>
              <w:tc>
                <w:tcPr>
                  <w:tcW w:w="684" w:type="dxa"/>
                  <w:gridSpan w:val="2"/>
                  <w:vAlign w:val="center"/>
                </w:tcPr>
                <w:p w:rsidR="00EB61C4" w:rsidRDefault="00EB61C4">
                  <w:pPr>
                    <w:pStyle w:val="Pagedecouverture"/>
                    <w:jc w:val="center"/>
                    <w:rPr>
                      <w:noProof/>
                      <w:sz w:val="20"/>
                      <w:szCs w:val="20"/>
                    </w:rPr>
                  </w:pPr>
                </w:p>
              </w:tc>
              <w:tc>
                <w:tcPr>
                  <w:tcW w:w="888" w:type="dxa"/>
                  <w:gridSpan w:val="2"/>
                  <w:vAlign w:val="center"/>
                </w:tcPr>
                <w:p w:rsidR="00EB61C4" w:rsidRDefault="00EB61C4">
                  <w:pPr>
                    <w:pStyle w:val="Pagedecouverture"/>
                    <w:jc w:val="center"/>
                    <w:rPr>
                      <w:noProof/>
                      <w:sz w:val="20"/>
                      <w:szCs w:val="20"/>
                    </w:rPr>
                  </w:pPr>
                </w:p>
              </w:tc>
              <w:tc>
                <w:tcPr>
                  <w:tcW w:w="651" w:type="dxa"/>
                  <w:vAlign w:val="center"/>
                </w:tcPr>
                <w:p w:rsidR="00EB61C4" w:rsidRDefault="00EB61C4">
                  <w:pPr>
                    <w:pStyle w:val="Pagedecouverture"/>
                    <w:jc w:val="center"/>
                    <w:rPr>
                      <w:noProof/>
                      <w:sz w:val="20"/>
                      <w:szCs w:val="20"/>
                    </w:rPr>
                  </w:pPr>
                </w:p>
              </w:tc>
              <w:tc>
                <w:tcPr>
                  <w:tcW w:w="872" w:type="dxa"/>
                  <w:vAlign w:val="center"/>
                </w:tcPr>
                <w:p w:rsidR="00EB61C4" w:rsidRDefault="00A8283A">
                  <w:pPr>
                    <w:pStyle w:val="Pagedecouverture"/>
                    <w:jc w:val="center"/>
                    <w:rPr>
                      <w:noProof/>
                      <w:sz w:val="20"/>
                      <w:szCs w:val="20"/>
                    </w:rPr>
                  </w:pPr>
                  <w:r>
                    <w:rPr>
                      <w:noProof/>
                      <w:sz w:val="20"/>
                    </w:rPr>
                    <w:t>1</w:t>
                  </w:r>
                </w:p>
              </w:tc>
              <w:tc>
                <w:tcPr>
                  <w:tcW w:w="667" w:type="dxa"/>
                  <w:vAlign w:val="center"/>
                </w:tcPr>
                <w:p w:rsidR="00EB61C4" w:rsidRDefault="00A8283A">
                  <w:pPr>
                    <w:pStyle w:val="Pagedecouverture"/>
                    <w:jc w:val="center"/>
                    <w:rPr>
                      <w:noProof/>
                      <w:sz w:val="20"/>
                      <w:szCs w:val="20"/>
                    </w:rPr>
                  </w:pPr>
                  <w:r>
                    <w:rPr>
                      <w:noProof/>
                      <w:sz w:val="20"/>
                    </w:rPr>
                    <w:t>0,15</w:t>
                  </w:r>
                </w:p>
              </w:tc>
              <w:tc>
                <w:tcPr>
                  <w:tcW w:w="1234" w:type="dxa"/>
                  <w:vAlign w:val="center"/>
                </w:tcPr>
                <w:p w:rsidR="00EB61C4" w:rsidRDefault="00A8283A">
                  <w:pPr>
                    <w:pStyle w:val="Pagedecouverture"/>
                    <w:jc w:val="center"/>
                    <w:rPr>
                      <w:noProof/>
                      <w:sz w:val="20"/>
                      <w:szCs w:val="20"/>
                    </w:rPr>
                  </w:pPr>
                  <w:r>
                    <w:rPr>
                      <w:noProof/>
                      <w:sz w:val="20"/>
                    </w:rPr>
                    <w:t>1</w:t>
                  </w:r>
                </w:p>
              </w:tc>
              <w:tc>
                <w:tcPr>
                  <w:tcW w:w="1204" w:type="dxa"/>
                  <w:vAlign w:val="center"/>
                </w:tcPr>
                <w:p w:rsidR="00EB61C4" w:rsidRDefault="00A8283A">
                  <w:pPr>
                    <w:pStyle w:val="Pagedecouverture"/>
                    <w:jc w:val="center"/>
                    <w:rPr>
                      <w:noProof/>
                      <w:sz w:val="20"/>
                      <w:szCs w:val="20"/>
                    </w:rPr>
                  </w:pPr>
                  <w:r>
                    <w:rPr>
                      <w:noProof/>
                      <w:sz w:val="20"/>
                    </w:rPr>
                    <w:t>0,15</w:t>
                  </w:r>
                </w:p>
              </w:tc>
            </w:tr>
            <w:tr w:rsidR="00EB61C4">
              <w:trPr>
                <w:trHeight w:val="424"/>
              </w:trPr>
              <w:tc>
                <w:tcPr>
                  <w:tcW w:w="3147" w:type="dxa"/>
                  <w:gridSpan w:val="2"/>
                  <w:vAlign w:val="center"/>
                </w:tcPr>
                <w:p w:rsidR="00EB61C4" w:rsidRDefault="00A8283A">
                  <w:pPr>
                    <w:pStyle w:val="Pagedecouverture"/>
                    <w:jc w:val="left"/>
                    <w:rPr>
                      <w:noProof/>
                      <w:sz w:val="20"/>
                      <w:szCs w:val="20"/>
                    </w:rPr>
                  </w:pPr>
                  <w:r>
                    <w:rPr>
                      <w:noProof/>
                      <w:sz w:val="20"/>
                    </w:rPr>
                    <w:t>Μερικό σύνολο για τον ειδικό στόχο αριθ. 1</w:t>
                  </w:r>
                </w:p>
              </w:tc>
              <w:tc>
                <w:tcPr>
                  <w:tcW w:w="713" w:type="dxa"/>
                  <w:vAlign w:val="center"/>
                </w:tcPr>
                <w:p w:rsidR="00EB61C4" w:rsidRDefault="00EB61C4">
                  <w:pPr>
                    <w:pStyle w:val="Pagedecouverture"/>
                    <w:jc w:val="center"/>
                    <w:rPr>
                      <w:noProof/>
                      <w:sz w:val="20"/>
                      <w:szCs w:val="20"/>
                    </w:rPr>
                  </w:pPr>
                </w:p>
              </w:tc>
              <w:tc>
                <w:tcPr>
                  <w:tcW w:w="689" w:type="dxa"/>
                  <w:gridSpan w:val="2"/>
                  <w:vAlign w:val="center"/>
                </w:tcPr>
                <w:p w:rsidR="00EB61C4" w:rsidRDefault="00EB61C4">
                  <w:pPr>
                    <w:pStyle w:val="Pagedecouverture"/>
                    <w:jc w:val="center"/>
                    <w:rPr>
                      <w:noProof/>
                      <w:sz w:val="20"/>
                      <w:szCs w:val="20"/>
                    </w:rPr>
                  </w:pPr>
                </w:p>
              </w:tc>
              <w:tc>
                <w:tcPr>
                  <w:tcW w:w="879" w:type="dxa"/>
                  <w:gridSpan w:val="2"/>
                  <w:vAlign w:val="center"/>
                </w:tcPr>
                <w:p w:rsidR="00EB61C4" w:rsidRDefault="00A8283A">
                  <w:pPr>
                    <w:pStyle w:val="Pagedecouverture"/>
                    <w:jc w:val="center"/>
                    <w:rPr>
                      <w:noProof/>
                      <w:sz w:val="20"/>
                      <w:szCs w:val="20"/>
                    </w:rPr>
                  </w:pPr>
                  <w:r>
                    <w:rPr>
                      <w:noProof/>
                      <w:sz w:val="20"/>
                    </w:rPr>
                    <w:t>3</w:t>
                  </w:r>
                </w:p>
              </w:tc>
              <w:tc>
                <w:tcPr>
                  <w:tcW w:w="666" w:type="dxa"/>
                  <w:vAlign w:val="center"/>
                </w:tcPr>
                <w:p w:rsidR="00EB61C4" w:rsidRDefault="00A8283A">
                  <w:pPr>
                    <w:pStyle w:val="Pagedecouverture"/>
                    <w:jc w:val="center"/>
                    <w:rPr>
                      <w:noProof/>
                      <w:sz w:val="20"/>
                      <w:szCs w:val="20"/>
                    </w:rPr>
                  </w:pPr>
                  <w:r>
                    <w:rPr>
                      <w:noProof/>
                      <w:sz w:val="20"/>
                    </w:rPr>
                    <w:t>40</w:t>
                  </w:r>
                </w:p>
              </w:tc>
              <w:tc>
                <w:tcPr>
                  <w:tcW w:w="857" w:type="dxa"/>
                  <w:vAlign w:val="center"/>
                </w:tcPr>
                <w:p w:rsidR="00EB61C4" w:rsidRDefault="00EB61C4">
                  <w:pPr>
                    <w:pStyle w:val="Pagedecouverture"/>
                    <w:jc w:val="center"/>
                    <w:rPr>
                      <w:noProof/>
                      <w:sz w:val="20"/>
                      <w:szCs w:val="20"/>
                    </w:rPr>
                  </w:pPr>
                </w:p>
              </w:tc>
              <w:tc>
                <w:tcPr>
                  <w:tcW w:w="684" w:type="dxa"/>
                  <w:gridSpan w:val="2"/>
                  <w:vAlign w:val="center"/>
                </w:tcPr>
                <w:p w:rsidR="00EB61C4" w:rsidRDefault="00EB61C4">
                  <w:pPr>
                    <w:pStyle w:val="Pagedecouverture"/>
                    <w:jc w:val="center"/>
                    <w:rPr>
                      <w:noProof/>
                      <w:sz w:val="20"/>
                      <w:szCs w:val="20"/>
                    </w:rPr>
                  </w:pPr>
                </w:p>
              </w:tc>
              <w:tc>
                <w:tcPr>
                  <w:tcW w:w="888" w:type="dxa"/>
                  <w:gridSpan w:val="2"/>
                  <w:vAlign w:val="center"/>
                </w:tcPr>
                <w:p w:rsidR="00EB61C4" w:rsidRDefault="00A8283A">
                  <w:pPr>
                    <w:pStyle w:val="Pagedecouverture"/>
                    <w:jc w:val="center"/>
                    <w:rPr>
                      <w:noProof/>
                      <w:sz w:val="20"/>
                      <w:szCs w:val="20"/>
                    </w:rPr>
                  </w:pPr>
                  <w:r>
                    <w:rPr>
                      <w:noProof/>
                      <w:sz w:val="20"/>
                    </w:rPr>
                    <w:t>1</w:t>
                  </w:r>
                </w:p>
              </w:tc>
              <w:tc>
                <w:tcPr>
                  <w:tcW w:w="651" w:type="dxa"/>
                  <w:vAlign w:val="center"/>
                </w:tcPr>
                <w:p w:rsidR="00EB61C4" w:rsidRDefault="00A8283A">
                  <w:pPr>
                    <w:pStyle w:val="Pagedecouverture"/>
                    <w:jc w:val="center"/>
                    <w:rPr>
                      <w:noProof/>
                      <w:sz w:val="20"/>
                      <w:szCs w:val="20"/>
                    </w:rPr>
                  </w:pPr>
                  <w:r>
                    <w:rPr>
                      <w:noProof/>
                      <w:sz w:val="20"/>
                    </w:rPr>
                    <w:t>3,6</w:t>
                  </w:r>
                </w:p>
              </w:tc>
              <w:tc>
                <w:tcPr>
                  <w:tcW w:w="872" w:type="dxa"/>
                  <w:vAlign w:val="center"/>
                </w:tcPr>
                <w:p w:rsidR="00EB61C4" w:rsidRDefault="00A8283A">
                  <w:pPr>
                    <w:pStyle w:val="Pagedecouverture"/>
                    <w:jc w:val="center"/>
                    <w:rPr>
                      <w:noProof/>
                      <w:sz w:val="20"/>
                      <w:szCs w:val="20"/>
                    </w:rPr>
                  </w:pPr>
                  <w:r>
                    <w:rPr>
                      <w:noProof/>
                      <w:sz w:val="20"/>
                    </w:rPr>
                    <w:t>2</w:t>
                  </w:r>
                </w:p>
              </w:tc>
              <w:tc>
                <w:tcPr>
                  <w:tcW w:w="667" w:type="dxa"/>
                  <w:vAlign w:val="center"/>
                </w:tcPr>
                <w:p w:rsidR="00EB61C4" w:rsidRDefault="00A8283A">
                  <w:pPr>
                    <w:pStyle w:val="Pagedecouverture"/>
                    <w:jc w:val="center"/>
                    <w:rPr>
                      <w:noProof/>
                      <w:sz w:val="20"/>
                      <w:szCs w:val="20"/>
                    </w:rPr>
                  </w:pPr>
                  <w:r>
                    <w:rPr>
                      <w:noProof/>
                      <w:sz w:val="20"/>
                    </w:rPr>
                    <w:t>1,95</w:t>
                  </w:r>
                </w:p>
              </w:tc>
              <w:tc>
                <w:tcPr>
                  <w:tcW w:w="1234" w:type="dxa"/>
                  <w:vAlign w:val="center"/>
                </w:tcPr>
                <w:p w:rsidR="00EB61C4" w:rsidRDefault="00A8283A">
                  <w:pPr>
                    <w:pStyle w:val="Pagedecouverture"/>
                    <w:jc w:val="center"/>
                    <w:rPr>
                      <w:noProof/>
                      <w:sz w:val="20"/>
                      <w:szCs w:val="20"/>
                    </w:rPr>
                  </w:pPr>
                  <w:r>
                    <w:rPr>
                      <w:noProof/>
                      <w:sz w:val="20"/>
                    </w:rPr>
                    <w:t>6</w:t>
                  </w:r>
                </w:p>
              </w:tc>
              <w:tc>
                <w:tcPr>
                  <w:tcW w:w="1204" w:type="dxa"/>
                  <w:vAlign w:val="center"/>
                </w:tcPr>
                <w:p w:rsidR="00EB61C4" w:rsidRDefault="00A8283A">
                  <w:pPr>
                    <w:pStyle w:val="Pagedecouverture"/>
                    <w:jc w:val="center"/>
                    <w:rPr>
                      <w:noProof/>
                      <w:sz w:val="20"/>
                      <w:szCs w:val="20"/>
                    </w:rPr>
                  </w:pPr>
                  <w:r>
                    <w:rPr>
                      <w:noProof/>
                      <w:sz w:val="20"/>
                    </w:rPr>
                    <w:t>45,55</w:t>
                  </w:r>
                </w:p>
              </w:tc>
            </w:tr>
            <w:tr w:rsidR="00EB61C4">
              <w:trPr>
                <w:trHeight w:val="589"/>
              </w:trPr>
              <w:tc>
                <w:tcPr>
                  <w:tcW w:w="3147" w:type="dxa"/>
                  <w:gridSpan w:val="2"/>
                  <w:vAlign w:val="center"/>
                </w:tcPr>
                <w:p w:rsidR="00EB61C4" w:rsidRDefault="00A8283A">
                  <w:pPr>
                    <w:pStyle w:val="Pagedecouverture"/>
                    <w:rPr>
                      <w:b/>
                      <w:noProof/>
                      <w:sz w:val="20"/>
                      <w:szCs w:val="20"/>
                    </w:rPr>
                  </w:pPr>
                  <w:r>
                    <w:rPr>
                      <w:b/>
                      <w:noProof/>
                      <w:sz w:val="20"/>
                    </w:rPr>
                    <w:t>ΣΥΝΟΛΙΚΟ ΚΟΣΤΟΣ</w:t>
                  </w:r>
                </w:p>
              </w:tc>
              <w:tc>
                <w:tcPr>
                  <w:tcW w:w="713" w:type="dxa"/>
                  <w:vAlign w:val="center"/>
                </w:tcPr>
                <w:p w:rsidR="00EB61C4" w:rsidRDefault="00EB61C4">
                  <w:pPr>
                    <w:pStyle w:val="Pagedecouverture"/>
                    <w:jc w:val="center"/>
                    <w:rPr>
                      <w:noProof/>
                      <w:sz w:val="20"/>
                      <w:szCs w:val="20"/>
                    </w:rPr>
                  </w:pPr>
                </w:p>
              </w:tc>
              <w:tc>
                <w:tcPr>
                  <w:tcW w:w="689" w:type="dxa"/>
                  <w:gridSpan w:val="2"/>
                  <w:vAlign w:val="center"/>
                </w:tcPr>
                <w:p w:rsidR="00EB61C4" w:rsidRDefault="00EB61C4">
                  <w:pPr>
                    <w:pStyle w:val="Pagedecouverture"/>
                    <w:jc w:val="center"/>
                    <w:rPr>
                      <w:noProof/>
                      <w:sz w:val="20"/>
                      <w:szCs w:val="20"/>
                    </w:rPr>
                  </w:pPr>
                </w:p>
              </w:tc>
              <w:tc>
                <w:tcPr>
                  <w:tcW w:w="879" w:type="dxa"/>
                  <w:gridSpan w:val="2"/>
                  <w:vAlign w:val="center"/>
                </w:tcPr>
                <w:p w:rsidR="00EB61C4" w:rsidRDefault="00A8283A">
                  <w:pPr>
                    <w:pStyle w:val="Pagedecouverture"/>
                    <w:jc w:val="center"/>
                    <w:rPr>
                      <w:noProof/>
                      <w:sz w:val="20"/>
                      <w:szCs w:val="20"/>
                    </w:rPr>
                  </w:pPr>
                  <w:r>
                    <w:rPr>
                      <w:noProof/>
                      <w:sz w:val="20"/>
                    </w:rPr>
                    <w:t>3</w:t>
                  </w:r>
                </w:p>
              </w:tc>
              <w:tc>
                <w:tcPr>
                  <w:tcW w:w="666" w:type="dxa"/>
                  <w:vAlign w:val="center"/>
                </w:tcPr>
                <w:p w:rsidR="00EB61C4" w:rsidRDefault="00A8283A">
                  <w:pPr>
                    <w:pStyle w:val="Pagedecouverture"/>
                    <w:jc w:val="center"/>
                    <w:rPr>
                      <w:noProof/>
                      <w:sz w:val="20"/>
                      <w:szCs w:val="20"/>
                    </w:rPr>
                  </w:pPr>
                  <w:r>
                    <w:rPr>
                      <w:noProof/>
                      <w:sz w:val="20"/>
                    </w:rPr>
                    <w:t>40</w:t>
                  </w:r>
                </w:p>
              </w:tc>
              <w:tc>
                <w:tcPr>
                  <w:tcW w:w="857" w:type="dxa"/>
                  <w:vAlign w:val="center"/>
                </w:tcPr>
                <w:p w:rsidR="00EB61C4" w:rsidRDefault="00EB61C4">
                  <w:pPr>
                    <w:pStyle w:val="Pagedecouverture"/>
                    <w:jc w:val="center"/>
                    <w:rPr>
                      <w:noProof/>
                      <w:sz w:val="20"/>
                      <w:szCs w:val="20"/>
                    </w:rPr>
                  </w:pPr>
                </w:p>
              </w:tc>
              <w:tc>
                <w:tcPr>
                  <w:tcW w:w="684" w:type="dxa"/>
                  <w:gridSpan w:val="2"/>
                  <w:vAlign w:val="center"/>
                </w:tcPr>
                <w:p w:rsidR="00EB61C4" w:rsidRDefault="00EB61C4">
                  <w:pPr>
                    <w:pStyle w:val="Pagedecouverture"/>
                    <w:jc w:val="center"/>
                    <w:rPr>
                      <w:noProof/>
                      <w:sz w:val="20"/>
                      <w:szCs w:val="20"/>
                    </w:rPr>
                  </w:pPr>
                </w:p>
              </w:tc>
              <w:tc>
                <w:tcPr>
                  <w:tcW w:w="888" w:type="dxa"/>
                  <w:gridSpan w:val="2"/>
                  <w:vAlign w:val="center"/>
                </w:tcPr>
                <w:p w:rsidR="00EB61C4" w:rsidRDefault="00A8283A">
                  <w:pPr>
                    <w:pStyle w:val="Pagedecouverture"/>
                    <w:jc w:val="center"/>
                    <w:rPr>
                      <w:noProof/>
                      <w:sz w:val="20"/>
                      <w:szCs w:val="20"/>
                    </w:rPr>
                  </w:pPr>
                  <w:r>
                    <w:rPr>
                      <w:noProof/>
                      <w:sz w:val="20"/>
                    </w:rPr>
                    <w:t>1</w:t>
                  </w:r>
                </w:p>
              </w:tc>
              <w:tc>
                <w:tcPr>
                  <w:tcW w:w="651" w:type="dxa"/>
                  <w:vAlign w:val="center"/>
                </w:tcPr>
                <w:p w:rsidR="00EB61C4" w:rsidRDefault="00A8283A">
                  <w:pPr>
                    <w:pStyle w:val="Pagedecouverture"/>
                    <w:jc w:val="center"/>
                    <w:rPr>
                      <w:noProof/>
                      <w:sz w:val="20"/>
                      <w:szCs w:val="20"/>
                    </w:rPr>
                  </w:pPr>
                  <w:r>
                    <w:rPr>
                      <w:noProof/>
                      <w:sz w:val="20"/>
                    </w:rPr>
                    <w:t>3,6</w:t>
                  </w:r>
                </w:p>
              </w:tc>
              <w:tc>
                <w:tcPr>
                  <w:tcW w:w="872" w:type="dxa"/>
                  <w:vAlign w:val="center"/>
                </w:tcPr>
                <w:p w:rsidR="00EB61C4" w:rsidRDefault="00A8283A">
                  <w:pPr>
                    <w:pStyle w:val="Pagedecouverture"/>
                    <w:jc w:val="center"/>
                    <w:rPr>
                      <w:noProof/>
                      <w:sz w:val="20"/>
                      <w:szCs w:val="20"/>
                    </w:rPr>
                  </w:pPr>
                  <w:r>
                    <w:rPr>
                      <w:noProof/>
                      <w:sz w:val="20"/>
                    </w:rPr>
                    <w:t>2</w:t>
                  </w:r>
                </w:p>
              </w:tc>
              <w:tc>
                <w:tcPr>
                  <w:tcW w:w="667" w:type="dxa"/>
                  <w:vAlign w:val="center"/>
                </w:tcPr>
                <w:p w:rsidR="00EB61C4" w:rsidRDefault="00A8283A">
                  <w:pPr>
                    <w:pStyle w:val="Pagedecouverture"/>
                    <w:jc w:val="center"/>
                    <w:rPr>
                      <w:noProof/>
                      <w:sz w:val="20"/>
                      <w:szCs w:val="20"/>
                    </w:rPr>
                  </w:pPr>
                  <w:r>
                    <w:rPr>
                      <w:noProof/>
                      <w:sz w:val="20"/>
                    </w:rPr>
                    <w:t>1,95</w:t>
                  </w:r>
                </w:p>
              </w:tc>
              <w:tc>
                <w:tcPr>
                  <w:tcW w:w="1234" w:type="dxa"/>
                  <w:vAlign w:val="center"/>
                </w:tcPr>
                <w:p w:rsidR="00EB61C4" w:rsidRDefault="00A8283A">
                  <w:pPr>
                    <w:pStyle w:val="Pagedecouverture"/>
                    <w:jc w:val="center"/>
                    <w:rPr>
                      <w:noProof/>
                      <w:sz w:val="20"/>
                      <w:szCs w:val="20"/>
                    </w:rPr>
                  </w:pPr>
                  <w:r>
                    <w:rPr>
                      <w:noProof/>
                      <w:sz w:val="20"/>
                    </w:rPr>
                    <w:t>6</w:t>
                  </w:r>
                </w:p>
              </w:tc>
              <w:tc>
                <w:tcPr>
                  <w:tcW w:w="1204" w:type="dxa"/>
                  <w:vAlign w:val="center"/>
                </w:tcPr>
                <w:p w:rsidR="00EB61C4" w:rsidRDefault="00A8283A">
                  <w:pPr>
                    <w:pStyle w:val="Pagedecouverture"/>
                    <w:jc w:val="center"/>
                    <w:rPr>
                      <w:noProof/>
                      <w:sz w:val="20"/>
                      <w:szCs w:val="20"/>
                    </w:rPr>
                  </w:pPr>
                  <w:r>
                    <w:rPr>
                      <w:noProof/>
                      <w:sz w:val="20"/>
                    </w:rPr>
                    <w:t>45,55</w:t>
                  </w:r>
                </w:p>
              </w:tc>
            </w:tr>
          </w:tbl>
          <w:p w:rsidR="00EB61C4" w:rsidRDefault="00EB61C4">
            <w:pPr>
              <w:pStyle w:val="Pagedecouverture"/>
              <w:rPr>
                <w:noProof/>
                <w:sz w:val="20"/>
                <w:szCs w:val="20"/>
              </w:rPr>
            </w:pPr>
          </w:p>
        </w:tc>
      </w:tr>
    </w:tbl>
    <w:p w:rsidR="00EB61C4" w:rsidRDefault="00EB61C4">
      <w:pPr>
        <w:pStyle w:val="Sectionbreak"/>
        <w:sectPr w:rsidR="00EB61C4">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rsidR="00EB61C4" w:rsidRDefault="00A8283A">
      <w:pPr>
        <w:pStyle w:val="Heading40"/>
        <w:rPr>
          <w:szCs w:val="24"/>
        </w:rPr>
      </w:pPr>
      <w:r>
        <w:t>3.2.3.</w:t>
      </w:r>
      <w:r>
        <w:tab/>
        <w:t>Εκτιμώμενες επιπτώσεις στις πιστώσεις διοικητικού χαρακτήρα</w:t>
      </w:r>
    </w:p>
    <w:p w:rsidR="00EB61C4" w:rsidRDefault="00A8283A">
      <w:pPr>
        <w:pStyle w:val="Heading5"/>
        <w:rPr>
          <w:szCs w:val="24"/>
        </w:rPr>
      </w:pPr>
      <w:r>
        <w:t>3.2.3.1.</w:t>
      </w:r>
      <w:r>
        <w:tab/>
        <w:t xml:space="preserve">Συνοπτική παρουσίαση </w:t>
      </w:r>
    </w:p>
    <w:p w:rsidR="00EB61C4" w:rsidRDefault="00A8283A">
      <w:pPr>
        <w:pStyle w:val="Text1"/>
        <w:rPr>
          <w:noProof/>
          <w:szCs w:val="24"/>
        </w:rPr>
      </w:pPr>
      <w:r>
        <w:rPr>
          <w:noProof/>
          <w:szCs w:val="24"/>
        </w:rPr>
        <w:sym w:font="Wingdings" w:char="F0A8"/>
      </w:r>
      <w:r>
        <w:rPr>
          <w:noProof/>
        </w:rPr>
        <w:tab/>
      </w:r>
      <w:r>
        <w:rPr>
          <w:noProof/>
        </w:rPr>
        <w:t xml:space="preserve">Η πρόταση/πρωτοβουλία δεν συνεπάγεται τη χρησιμοποίηση πιστώσεων διοικητικού χαρακτήρα. </w:t>
      </w:r>
    </w:p>
    <w:p w:rsidR="00EB61C4" w:rsidRDefault="00A8283A">
      <w:pPr>
        <w:pStyle w:val="Text1"/>
        <w:rPr>
          <w:noProof/>
          <w:szCs w:val="24"/>
        </w:rPr>
      </w:pPr>
      <w:r>
        <w:rPr>
          <w:noProof/>
        </w:rPr>
        <w:t>X Η πρόταση/πρωτοβουλία συνεπάγεται τη χρησιμοποίηση πιστώσεων διοικητικού χαρακτήρα, όπως εξηγείται κατωτέρω:</w:t>
      </w:r>
    </w:p>
    <w:p w:rsidR="00EB61C4" w:rsidRDefault="00A8283A">
      <w:pPr>
        <w:pStyle w:val="Text1"/>
        <w:rPr>
          <w:noProof/>
          <w:sz w:val="20"/>
          <w:szCs w:val="20"/>
        </w:rPr>
      </w:pPr>
      <w:r>
        <w:rPr>
          <w:noProof/>
          <w:sz w:val="20"/>
        </w:rPr>
        <w:t>Σε εκατ. EURO (με 3 δεκαδικά ψηφία)</w:t>
      </w:r>
    </w:p>
    <w:tbl>
      <w:tblPr>
        <w:tblW w:w="0" w:type="auto"/>
        <w:tblInd w:w="534" w:type="dxa"/>
        <w:tblLayout w:type="fixed"/>
        <w:tblLook w:val="01E0" w:firstRow="1" w:lastRow="1" w:firstColumn="1" w:lastColumn="1" w:noHBand="0" w:noVBand="0"/>
      </w:tblPr>
      <w:tblGrid>
        <w:gridCol w:w="1984"/>
        <w:gridCol w:w="822"/>
        <w:gridCol w:w="850"/>
        <w:gridCol w:w="851"/>
        <w:gridCol w:w="850"/>
        <w:gridCol w:w="851"/>
        <w:gridCol w:w="850"/>
        <w:gridCol w:w="1037"/>
      </w:tblGrid>
      <w:tr w:rsidR="00EB61C4">
        <w:trPr>
          <w:trHeight w:val="585"/>
        </w:trPr>
        <w:tc>
          <w:tcPr>
            <w:tcW w:w="1984" w:type="dxa"/>
          </w:tcPr>
          <w:p w:rsidR="00EB61C4" w:rsidRDefault="00EB61C4">
            <w:pPr>
              <w:pStyle w:val="Pagedecouverture"/>
              <w:rPr>
                <w:noProof/>
                <w:sz w:val="21"/>
                <w:szCs w:val="21"/>
              </w:rPr>
            </w:pPr>
          </w:p>
        </w:tc>
        <w:tc>
          <w:tcPr>
            <w:tcW w:w="822" w:type="dxa"/>
          </w:tcPr>
          <w:p w:rsidR="00EB61C4" w:rsidRDefault="00A8283A">
            <w:pPr>
              <w:pStyle w:val="Pagedecouverture"/>
              <w:jc w:val="center"/>
              <w:rPr>
                <w:noProof/>
                <w:sz w:val="21"/>
                <w:szCs w:val="21"/>
              </w:rPr>
            </w:pPr>
            <w:r>
              <w:rPr>
                <w:noProof/>
                <w:sz w:val="20"/>
              </w:rPr>
              <w:t>Έτος</w:t>
            </w:r>
            <w:r>
              <w:rPr>
                <w:noProof/>
                <w:sz w:val="21"/>
                <w:szCs w:val="21"/>
              </w:rPr>
              <w:br/>
            </w:r>
            <w:r>
              <w:rPr>
                <w:b/>
                <w:noProof/>
                <w:sz w:val="21"/>
              </w:rPr>
              <w:t>2016</w:t>
            </w:r>
          </w:p>
          <w:p w:rsidR="00EB61C4" w:rsidRDefault="00EB61C4">
            <w:pPr>
              <w:pStyle w:val="Pagedecouverture"/>
              <w:jc w:val="center"/>
              <w:rPr>
                <w:noProof/>
                <w:sz w:val="21"/>
                <w:szCs w:val="21"/>
              </w:rPr>
            </w:pPr>
          </w:p>
        </w:tc>
        <w:tc>
          <w:tcPr>
            <w:tcW w:w="850" w:type="dxa"/>
          </w:tcPr>
          <w:p w:rsidR="00EB61C4" w:rsidRDefault="00A8283A">
            <w:pPr>
              <w:pStyle w:val="Pagedecouverture"/>
              <w:jc w:val="center"/>
              <w:rPr>
                <w:noProof/>
                <w:sz w:val="21"/>
                <w:szCs w:val="21"/>
              </w:rPr>
            </w:pPr>
            <w:r>
              <w:rPr>
                <w:noProof/>
                <w:sz w:val="21"/>
              </w:rPr>
              <w:t>Έτος</w:t>
            </w:r>
            <w:r>
              <w:rPr>
                <w:noProof/>
                <w:sz w:val="21"/>
                <w:szCs w:val="21"/>
              </w:rPr>
              <w:br/>
            </w:r>
            <w:r>
              <w:rPr>
                <w:b/>
                <w:noProof/>
                <w:sz w:val="21"/>
              </w:rPr>
              <w:t>2017</w:t>
            </w:r>
            <w:r>
              <w:rPr>
                <w:rStyle w:val="FootnoteReference"/>
                <w:b/>
                <w:noProof/>
                <w:sz w:val="21"/>
              </w:rPr>
              <w:footnoteReference w:id="27"/>
            </w:r>
          </w:p>
        </w:tc>
        <w:tc>
          <w:tcPr>
            <w:tcW w:w="851" w:type="dxa"/>
          </w:tcPr>
          <w:p w:rsidR="00EB61C4" w:rsidRDefault="00A8283A">
            <w:pPr>
              <w:pStyle w:val="Pagedecouverture"/>
              <w:jc w:val="center"/>
              <w:rPr>
                <w:noProof/>
                <w:sz w:val="21"/>
                <w:szCs w:val="21"/>
              </w:rPr>
            </w:pPr>
            <w:r>
              <w:rPr>
                <w:noProof/>
                <w:sz w:val="21"/>
              </w:rPr>
              <w:t>Έτος</w:t>
            </w:r>
            <w:r>
              <w:rPr>
                <w:noProof/>
                <w:sz w:val="21"/>
                <w:szCs w:val="21"/>
              </w:rPr>
              <w:br/>
            </w:r>
            <w:r>
              <w:rPr>
                <w:b/>
                <w:noProof/>
                <w:sz w:val="21"/>
              </w:rPr>
              <w:t>2018</w:t>
            </w:r>
          </w:p>
        </w:tc>
        <w:tc>
          <w:tcPr>
            <w:tcW w:w="850" w:type="dxa"/>
          </w:tcPr>
          <w:p w:rsidR="00EB61C4" w:rsidRDefault="00A8283A">
            <w:pPr>
              <w:pStyle w:val="Pagedecouverture"/>
              <w:jc w:val="center"/>
              <w:rPr>
                <w:noProof/>
                <w:sz w:val="21"/>
                <w:szCs w:val="21"/>
              </w:rPr>
            </w:pPr>
            <w:r>
              <w:rPr>
                <w:noProof/>
                <w:sz w:val="21"/>
              </w:rPr>
              <w:t>Έτος</w:t>
            </w:r>
            <w:r>
              <w:rPr>
                <w:noProof/>
                <w:sz w:val="21"/>
                <w:szCs w:val="21"/>
              </w:rPr>
              <w:br/>
            </w:r>
            <w:r>
              <w:rPr>
                <w:b/>
                <w:noProof/>
                <w:sz w:val="21"/>
              </w:rPr>
              <w:t>2019</w:t>
            </w:r>
          </w:p>
        </w:tc>
        <w:tc>
          <w:tcPr>
            <w:tcW w:w="851" w:type="dxa"/>
          </w:tcPr>
          <w:p w:rsidR="00EB61C4" w:rsidRDefault="00A8283A">
            <w:pPr>
              <w:pStyle w:val="Pagedecouverture"/>
              <w:jc w:val="center"/>
              <w:rPr>
                <w:noProof/>
                <w:sz w:val="21"/>
                <w:szCs w:val="21"/>
              </w:rPr>
            </w:pPr>
            <w:r>
              <w:rPr>
                <w:noProof/>
                <w:sz w:val="21"/>
              </w:rPr>
              <w:t>Έτος</w:t>
            </w:r>
            <w:r>
              <w:rPr>
                <w:noProof/>
                <w:sz w:val="21"/>
                <w:szCs w:val="21"/>
              </w:rPr>
              <w:br/>
            </w:r>
            <w:r>
              <w:rPr>
                <w:b/>
                <w:noProof/>
                <w:sz w:val="21"/>
              </w:rPr>
              <w:t>2020</w:t>
            </w:r>
          </w:p>
        </w:tc>
        <w:tc>
          <w:tcPr>
            <w:tcW w:w="850" w:type="dxa"/>
          </w:tcPr>
          <w:p w:rsidR="00EB61C4" w:rsidRDefault="00EB61C4">
            <w:pPr>
              <w:pStyle w:val="Pagedecouverture"/>
              <w:jc w:val="center"/>
              <w:rPr>
                <w:noProof/>
                <w:sz w:val="21"/>
                <w:szCs w:val="21"/>
              </w:rPr>
            </w:pPr>
          </w:p>
        </w:tc>
        <w:tc>
          <w:tcPr>
            <w:tcW w:w="1037" w:type="dxa"/>
          </w:tcPr>
          <w:p w:rsidR="00EB61C4" w:rsidRDefault="00A8283A">
            <w:pPr>
              <w:pStyle w:val="Pagedecouverture"/>
              <w:jc w:val="center"/>
              <w:rPr>
                <w:b/>
                <w:noProof/>
                <w:sz w:val="21"/>
                <w:szCs w:val="21"/>
              </w:rPr>
            </w:pPr>
            <w:r>
              <w:rPr>
                <w:b/>
                <w:noProof/>
                <w:sz w:val="21"/>
              </w:rPr>
              <w:t>ΣYΝΟΛΟ</w:t>
            </w: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4"/>
        </w:trPr>
        <w:tc>
          <w:tcPr>
            <w:tcW w:w="1984" w:type="dxa"/>
            <w:shd w:val="clear" w:color="auto" w:fill="CCCCCC"/>
            <w:vAlign w:val="center"/>
          </w:tcPr>
          <w:p w:rsidR="00EB61C4" w:rsidRDefault="00A8283A">
            <w:pPr>
              <w:pStyle w:val="Pagedecouverture"/>
              <w:jc w:val="center"/>
              <w:rPr>
                <w:b/>
                <w:noProof/>
                <w:sz w:val="20"/>
                <w:szCs w:val="20"/>
              </w:rPr>
            </w:pPr>
            <w:r>
              <w:rPr>
                <w:b/>
                <w:noProof/>
                <w:sz w:val="16"/>
              </w:rPr>
              <w:t>ΤΟΜΕΑΣ 5</w:t>
            </w:r>
            <w:r>
              <w:rPr>
                <w:b/>
                <w:noProof/>
                <w:sz w:val="20"/>
                <w:szCs w:val="20"/>
              </w:rPr>
              <w:br/>
            </w:r>
            <w:r>
              <w:rPr>
                <w:b/>
                <w:noProof/>
                <w:sz w:val="20"/>
              </w:rPr>
              <w:t>του πολυετούς δημοσιονομικού πλαισίου</w:t>
            </w:r>
          </w:p>
        </w:tc>
        <w:tc>
          <w:tcPr>
            <w:tcW w:w="822"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Borders>
              <w:bottom w:val="single" w:sz="4" w:space="0" w:color="auto"/>
            </w:tcBorders>
            <w:vAlign w:val="center"/>
          </w:tcPr>
          <w:p w:rsidR="00EB61C4" w:rsidRDefault="00EB61C4">
            <w:pPr>
              <w:pStyle w:val="Pagedecouverture"/>
              <w:rPr>
                <w:noProof/>
                <w:sz w:val="21"/>
                <w:szCs w:val="21"/>
              </w:rPr>
            </w:pPr>
          </w:p>
        </w:tc>
        <w:tc>
          <w:tcPr>
            <w:tcW w:w="1037" w:type="dxa"/>
            <w:vAlign w:val="center"/>
          </w:tcPr>
          <w:p w:rsidR="00EB61C4" w:rsidRDefault="00EB61C4">
            <w:pPr>
              <w:pStyle w:val="Pagedecouverture"/>
              <w:rPr>
                <w:noProof/>
                <w:sz w:val="21"/>
                <w:szCs w:val="21"/>
              </w:rPr>
            </w:pP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EB61C4" w:rsidRDefault="00A8283A">
            <w:pPr>
              <w:pStyle w:val="Pagedecouverture"/>
              <w:rPr>
                <w:noProof/>
                <w:sz w:val="20"/>
                <w:szCs w:val="20"/>
              </w:rPr>
            </w:pPr>
            <w:r>
              <w:rPr>
                <w:noProof/>
                <w:sz w:val="20"/>
              </w:rPr>
              <w:t xml:space="preserve">Ανθρώπινοι πόροι </w:t>
            </w:r>
          </w:p>
        </w:tc>
        <w:tc>
          <w:tcPr>
            <w:tcW w:w="822" w:type="dxa"/>
            <w:vAlign w:val="center"/>
          </w:tcPr>
          <w:p w:rsidR="00EB61C4" w:rsidRDefault="00A8283A">
            <w:pPr>
              <w:pStyle w:val="Pagedecouverture"/>
              <w:jc w:val="center"/>
              <w:rPr>
                <w:noProof/>
                <w:sz w:val="21"/>
                <w:szCs w:val="21"/>
              </w:rPr>
            </w:pPr>
            <w:r>
              <w:rPr>
                <w:noProof/>
                <w:sz w:val="22"/>
              </w:rPr>
              <w:t>0,034</w:t>
            </w:r>
          </w:p>
        </w:tc>
        <w:tc>
          <w:tcPr>
            <w:tcW w:w="850" w:type="dxa"/>
            <w:vAlign w:val="center"/>
          </w:tcPr>
          <w:p w:rsidR="00EB61C4" w:rsidRDefault="00A8283A">
            <w:pPr>
              <w:pStyle w:val="Pagedecouverture"/>
              <w:jc w:val="center"/>
              <w:rPr>
                <w:noProof/>
                <w:sz w:val="21"/>
                <w:szCs w:val="21"/>
              </w:rPr>
            </w:pPr>
            <w:r>
              <w:rPr>
                <w:noProof/>
                <w:sz w:val="22"/>
              </w:rPr>
              <w:t>0,044</w:t>
            </w:r>
          </w:p>
        </w:tc>
        <w:tc>
          <w:tcPr>
            <w:tcW w:w="851" w:type="dxa"/>
            <w:vAlign w:val="center"/>
          </w:tcPr>
          <w:p w:rsidR="00EB61C4" w:rsidRDefault="00A8283A">
            <w:pPr>
              <w:pStyle w:val="Pagedecouverture"/>
              <w:jc w:val="center"/>
              <w:rPr>
                <w:noProof/>
                <w:sz w:val="21"/>
                <w:szCs w:val="21"/>
              </w:rPr>
            </w:pPr>
            <w:r>
              <w:rPr>
                <w:noProof/>
                <w:sz w:val="22"/>
              </w:rPr>
              <w:t>0,022</w:t>
            </w:r>
          </w:p>
        </w:tc>
        <w:tc>
          <w:tcPr>
            <w:tcW w:w="850" w:type="dxa"/>
            <w:vAlign w:val="center"/>
          </w:tcPr>
          <w:p w:rsidR="00EB61C4" w:rsidRDefault="00A8283A">
            <w:pPr>
              <w:pStyle w:val="Pagedecouverture"/>
              <w:jc w:val="center"/>
              <w:rPr>
                <w:noProof/>
                <w:sz w:val="21"/>
                <w:szCs w:val="21"/>
              </w:rPr>
            </w:pPr>
            <w:r>
              <w:rPr>
                <w:noProof/>
                <w:sz w:val="22"/>
              </w:rPr>
              <w:t>0,011</w:t>
            </w:r>
          </w:p>
        </w:tc>
        <w:tc>
          <w:tcPr>
            <w:tcW w:w="851" w:type="dxa"/>
            <w:vAlign w:val="center"/>
          </w:tcPr>
          <w:p w:rsidR="00EB61C4" w:rsidRDefault="00A8283A">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EB61C4" w:rsidRDefault="00EB61C4">
            <w:pPr>
              <w:pStyle w:val="Pagedecouverture"/>
              <w:jc w:val="center"/>
              <w:rPr>
                <w:noProof/>
                <w:sz w:val="21"/>
                <w:szCs w:val="21"/>
              </w:rPr>
            </w:pPr>
          </w:p>
        </w:tc>
        <w:tc>
          <w:tcPr>
            <w:tcW w:w="1037" w:type="dxa"/>
            <w:tcBorders>
              <w:bottom w:val="single" w:sz="4" w:space="0" w:color="auto"/>
            </w:tcBorders>
            <w:vAlign w:val="center"/>
          </w:tcPr>
          <w:p w:rsidR="00EB61C4" w:rsidRDefault="00A8283A">
            <w:pPr>
              <w:pStyle w:val="Pagedecouverture"/>
              <w:jc w:val="center"/>
              <w:rPr>
                <w:b/>
                <w:noProof/>
                <w:sz w:val="21"/>
                <w:szCs w:val="21"/>
              </w:rPr>
            </w:pPr>
            <w:r>
              <w:rPr>
                <w:b/>
                <w:noProof/>
                <w:sz w:val="22"/>
              </w:rPr>
              <w:t>0,122</w:t>
            </w: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EB61C4" w:rsidRDefault="00A8283A">
            <w:pPr>
              <w:pStyle w:val="Pagedecouverture"/>
              <w:rPr>
                <w:noProof/>
                <w:sz w:val="20"/>
                <w:szCs w:val="20"/>
              </w:rPr>
            </w:pPr>
            <w:r>
              <w:rPr>
                <w:noProof/>
                <w:sz w:val="20"/>
              </w:rPr>
              <w:t xml:space="preserve">Άλλες διοικητικές δαπάνες </w:t>
            </w:r>
          </w:p>
        </w:tc>
        <w:tc>
          <w:tcPr>
            <w:tcW w:w="822" w:type="dxa"/>
            <w:vAlign w:val="center"/>
          </w:tcPr>
          <w:p w:rsidR="00EB61C4" w:rsidRDefault="00A8283A">
            <w:pPr>
              <w:pStyle w:val="Pagedecouverture"/>
              <w:jc w:val="center"/>
              <w:rPr>
                <w:noProof/>
                <w:sz w:val="21"/>
                <w:szCs w:val="21"/>
              </w:rPr>
            </w:pPr>
            <w:r>
              <w:rPr>
                <w:noProof/>
                <w:sz w:val="21"/>
              </w:rPr>
              <w:t>0,010</w:t>
            </w:r>
          </w:p>
        </w:tc>
        <w:tc>
          <w:tcPr>
            <w:tcW w:w="850" w:type="dxa"/>
            <w:vAlign w:val="center"/>
          </w:tcPr>
          <w:p w:rsidR="00EB61C4" w:rsidRDefault="00A8283A">
            <w:pPr>
              <w:pStyle w:val="Pagedecouverture"/>
              <w:jc w:val="center"/>
              <w:rPr>
                <w:noProof/>
                <w:sz w:val="21"/>
                <w:szCs w:val="21"/>
              </w:rPr>
            </w:pPr>
            <w:r>
              <w:rPr>
                <w:noProof/>
                <w:sz w:val="21"/>
              </w:rPr>
              <w:t>0,020</w:t>
            </w:r>
          </w:p>
        </w:tc>
        <w:tc>
          <w:tcPr>
            <w:tcW w:w="851" w:type="dxa"/>
            <w:vAlign w:val="center"/>
          </w:tcPr>
          <w:p w:rsidR="00EB61C4" w:rsidRDefault="00A8283A">
            <w:pPr>
              <w:pStyle w:val="Pagedecouverture"/>
              <w:jc w:val="center"/>
              <w:rPr>
                <w:noProof/>
                <w:sz w:val="21"/>
                <w:szCs w:val="21"/>
              </w:rPr>
            </w:pPr>
            <w:r>
              <w:rPr>
                <w:noProof/>
                <w:sz w:val="21"/>
              </w:rPr>
              <w:t>0,010</w:t>
            </w:r>
          </w:p>
        </w:tc>
        <w:tc>
          <w:tcPr>
            <w:tcW w:w="850" w:type="dxa"/>
            <w:vAlign w:val="center"/>
          </w:tcPr>
          <w:p w:rsidR="00EB61C4" w:rsidRDefault="00EB61C4">
            <w:pPr>
              <w:pStyle w:val="Pagedecouverture"/>
              <w:jc w:val="center"/>
              <w:rPr>
                <w:noProof/>
                <w:sz w:val="21"/>
                <w:szCs w:val="21"/>
              </w:rPr>
            </w:pPr>
          </w:p>
        </w:tc>
        <w:tc>
          <w:tcPr>
            <w:tcW w:w="851" w:type="dxa"/>
            <w:tcBorders>
              <w:bottom w:val="single" w:sz="4" w:space="0" w:color="auto"/>
            </w:tcBorders>
            <w:vAlign w:val="center"/>
          </w:tcPr>
          <w:p w:rsidR="00EB61C4" w:rsidRDefault="00EB61C4">
            <w:pPr>
              <w:pStyle w:val="Pagedecouverture"/>
              <w:jc w:val="center"/>
              <w:rPr>
                <w:noProof/>
                <w:sz w:val="21"/>
                <w:szCs w:val="21"/>
              </w:rPr>
            </w:pPr>
          </w:p>
        </w:tc>
        <w:tc>
          <w:tcPr>
            <w:tcW w:w="850" w:type="dxa"/>
            <w:tcBorders>
              <w:top w:val="single" w:sz="4" w:space="0" w:color="auto"/>
              <w:bottom w:val="single" w:sz="4" w:space="0" w:color="auto"/>
            </w:tcBorders>
            <w:vAlign w:val="center"/>
          </w:tcPr>
          <w:p w:rsidR="00EB61C4" w:rsidRDefault="00EB61C4">
            <w:pPr>
              <w:pStyle w:val="Pagedecouverture"/>
              <w:jc w:val="center"/>
              <w:rPr>
                <w:noProof/>
                <w:sz w:val="21"/>
                <w:szCs w:val="21"/>
              </w:rPr>
            </w:pPr>
          </w:p>
        </w:tc>
        <w:tc>
          <w:tcPr>
            <w:tcW w:w="1037" w:type="dxa"/>
            <w:tcBorders>
              <w:top w:val="single" w:sz="4" w:space="0" w:color="auto"/>
            </w:tcBorders>
            <w:vAlign w:val="center"/>
          </w:tcPr>
          <w:p w:rsidR="00EB61C4" w:rsidRDefault="00A8283A">
            <w:pPr>
              <w:pStyle w:val="Pagedecouverture"/>
              <w:jc w:val="center"/>
              <w:rPr>
                <w:b/>
                <w:noProof/>
                <w:sz w:val="21"/>
                <w:szCs w:val="21"/>
              </w:rPr>
            </w:pPr>
            <w:r>
              <w:rPr>
                <w:b/>
                <w:noProof/>
                <w:sz w:val="21"/>
              </w:rPr>
              <w:t>0,040</w:t>
            </w: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5"/>
        </w:trPr>
        <w:tc>
          <w:tcPr>
            <w:tcW w:w="1984" w:type="dxa"/>
            <w:shd w:val="clear" w:color="auto" w:fill="CCCCCC"/>
            <w:vAlign w:val="center"/>
          </w:tcPr>
          <w:p w:rsidR="00EB61C4" w:rsidRDefault="00A8283A">
            <w:pPr>
              <w:pStyle w:val="Pagedecouverture"/>
              <w:jc w:val="center"/>
              <w:rPr>
                <w:b/>
                <w:noProof/>
                <w:sz w:val="20"/>
                <w:szCs w:val="20"/>
              </w:rPr>
            </w:pPr>
            <w:r>
              <w:rPr>
                <w:b/>
                <w:noProof/>
                <w:sz w:val="16"/>
              </w:rPr>
              <w:t>Μερικό σύνολο του ΤΟΜΕΑ 5</w:t>
            </w:r>
            <w:r>
              <w:rPr>
                <w:b/>
                <w:noProof/>
                <w:sz w:val="20"/>
                <w:szCs w:val="20"/>
              </w:rPr>
              <w:br/>
            </w:r>
            <w:r>
              <w:rPr>
                <w:b/>
                <w:noProof/>
                <w:sz w:val="20"/>
              </w:rPr>
              <w:t xml:space="preserve">του πολυετούς </w:t>
            </w:r>
            <w:r>
              <w:rPr>
                <w:b/>
                <w:noProof/>
                <w:sz w:val="20"/>
              </w:rPr>
              <w:t>δημοσιονομικού πλαισίου</w:t>
            </w:r>
          </w:p>
        </w:tc>
        <w:tc>
          <w:tcPr>
            <w:tcW w:w="822" w:type="dxa"/>
            <w:vAlign w:val="center"/>
          </w:tcPr>
          <w:p w:rsidR="00EB61C4" w:rsidRDefault="00A8283A">
            <w:pPr>
              <w:pStyle w:val="Pagedecouverture"/>
              <w:jc w:val="center"/>
              <w:rPr>
                <w:noProof/>
                <w:sz w:val="21"/>
                <w:szCs w:val="21"/>
              </w:rPr>
            </w:pPr>
            <w:r>
              <w:rPr>
                <w:noProof/>
                <w:sz w:val="22"/>
              </w:rPr>
              <w:t>0,044</w:t>
            </w:r>
          </w:p>
        </w:tc>
        <w:tc>
          <w:tcPr>
            <w:tcW w:w="850" w:type="dxa"/>
            <w:vAlign w:val="center"/>
          </w:tcPr>
          <w:p w:rsidR="00EB61C4" w:rsidRDefault="00A8283A">
            <w:pPr>
              <w:pStyle w:val="Pagedecouverture"/>
              <w:jc w:val="center"/>
              <w:rPr>
                <w:noProof/>
                <w:sz w:val="21"/>
                <w:szCs w:val="21"/>
              </w:rPr>
            </w:pPr>
            <w:r>
              <w:rPr>
                <w:noProof/>
                <w:sz w:val="22"/>
              </w:rPr>
              <w:t>0,064</w:t>
            </w:r>
          </w:p>
        </w:tc>
        <w:tc>
          <w:tcPr>
            <w:tcW w:w="851" w:type="dxa"/>
            <w:vAlign w:val="center"/>
          </w:tcPr>
          <w:p w:rsidR="00EB61C4" w:rsidRDefault="00A8283A">
            <w:pPr>
              <w:pStyle w:val="Pagedecouverture"/>
              <w:jc w:val="center"/>
              <w:rPr>
                <w:noProof/>
                <w:sz w:val="21"/>
                <w:szCs w:val="21"/>
              </w:rPr>
            </w:pPr>
            <w:r>
              <w:rPr>
                <w:noProof/>
                <w:sz w:val="22"/>
              </w:rPr>
              <w:t>0,032</w:t>
            </w:r>
          </w:p>
        </w:tc>
        <w:tc>
          <w:tcPr>
            <w:tcW w:w="850" w:type="dxa"/>
            <w:vAlign w:val="center"/>
          </w:tcPr>
          <w:p w:rsidR="00EB61C4" w:rsidRDefault="00A8283A">
            <w:pPr>
              <w:pStyle w:val="Pagedecouverture"/>
              <w:jc w:val="center"/>
              <w:rPr>
                <w:noProof/>
                <w:sz w:val="21"/>
                <w:szCs w:val="21"/>
              </w:rPr>
            </w:pPr>
            <w:r>
              <w:rPr>
                <w:noProof/>
                <w:sz w:val="22"/>
              </w:rPr>
              <w:t>0,011</w:t>
            </w:r>
          </w:p>
        </w:tc>
        <w:tc>
          <w:tcPr>
            <w:tcW w:w="851" w:type="dxa"/>
            <w:vAlign w:val="center"/>
          </w:tcPr>
          <w:p w:rsidR="00EB61C4" w:rsidRDefault="00A8283A">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EB61C4" w:rsidRDefault="00EB61C4">
            <w:pPr>
              <w:pStyle w:val="Pagedecouverture"/>
              <w:jc w:val="center"/>
              <w:rPr>
                <w:noProof/>
                <w:sz w:val="21"/>
                <w:szCs w:val="21"/>
              </w:rPr>
            </w:pPr>
          </w:p>
        </w:tc>
        <w:tc>
          <w:tcPr>
            <w:tcW w:w="1037" w:type="dxa"/>
            <w:vAlign w:val="center"/>
          </w:tcPr>
          <w:p w:rsidR="00EB61C4" w:rsidRDefault="00A8283A">
            <w:pPr>
              <w:pStyle w:val="Pagedecouverture"/>
              <w:jc w:val="center"/>
              <w:rPr>
                <w:b/>
                <w:noProof/>
                <w:sz w:val="21"/>
                <w:szCs w:val="21"/>
              </w:rPr>
            </w:pPr>
            <w:r>
              <w:rPr>
                <w:b/>
                <w:noProof/>
                <w:sz w:val="22"/>
              </w:rPr>
              <w:t>0,162</w:t>
            </w: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1984" w:type="dxa"/>
            <w:shd w:val="clear" w:color="auto" w:fill="CCCCCC"/>
            <w:vAlign w:val="center"/>
          </w:tcPr>
          <w:p w:rsidR="00EB61C4" w:rsidRDefault="00A8283A">
            <w:pPr>
              <w:pStyle w:val="Pagedecouverture"/>
              <w:jc w:val="center"/>
              <w:rPr>
                <w:b/>
                <w:noProof/>
                <w:sz w:val="20"/>
                <w:szCs w:val="20"/>
              </w:rPr>
            </w:pPr>
            <w:r>
              <w:rPr>
                <w:b/>
                <w:noProof/>
                <w:sz w:val="20"/>
              </w:rPr>
              <w:t>Εκτός του ΤΟΜΕΑ 5</w:t>
            </w:r>
            <w:r>
              <w:rPr>
                <w:rStyle w:val="FootnoteReference"/>
                <w:b/>
                <w:noProof/>
                <w:sz w:val="20"/>
              </w:rPr>
              <w:footnoteReference w:id="28"/>
            </w:r>
            <w:r>
              <w:rPr>
                <w:b/>
                <w:noProof/>
                <w:sz w:val="20"/>
              </w:rPr>
              <w:t xml:space="preserve"> του πολυετούς δημοσιονομικού πλαισίου</w:t>
            </w:r>
          </w:p>
        </w:tc>
        <w:tc>
          <w:tcPr>
            <w:tcW w:w="822"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Borders>
              <w:top w:val="single" w:sz="4" w:space="0" w:color="auto"/>
              <w:bottom w:val="single" w:sz="4" w:space="0" w:color="auto"/>
            </w:tcBorders>
            <w:vAlign w:val="center"/>
          </w:tcPr>
          <w:p w:rsidR="00EB61C4" w:rsidRDefault="00EB61C4">
            <w:pPr>
              <w:pStyle w:val="Pagedecouverture"/>
              <w:rPr>
                <w:noProof/>
                <w:sz w:val="21"/>
                <w:szCs w:val="21"/>
              </w:rPr>
            </w:pPr>
          </w:p>
        </w:tc>
        <w:tc>
          <w:tcPr>
            <w:tcW w:w="1037" w:type="dxa"/>
            <w:vAlign w:val="center"/>
          </w:tcPr>
          <w:p w:rsidR="00EB61C4" w:rsidRDefault="00EB61C4">
            <w:pPr>
              <w:pStyle w:val="Pagedecouverture"/>
              <w:rPr>
                <w:noProof/>
                <w:sz w:val="21"/>
                <w:szCs w:val="21"/>
              </w:rPr>
            </w:pP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EB61C4" w:rsidRDefault="00A8283A">
            <w:pPr>
              <w:pStyle w:val="Pagedecouverture"/>
              <w:rPr>
                <w:noProof/>
                <w:sz w:val="20"/>
                <w:szCs w:val="20"/>
              </w:rPr>
            </w:pPr>
            <w:r>
              <w:rPr>
                <w:noProof/>
                <w:sz w:val="20"/>
              </w:rPr>
              <w:t xml:space="preserve">Ανθρώπινοι πόροι </w:t>
            </w:r>
          </w:p>
        </w:tc>
        <w:tc>
          <w:tcPr>
            <w:tcW w:w="822"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Borders>
              <w:top w:val="single" w:sz="4" w:space="0" w:color="auto"/>
              <w:bottom w:val="single" w:sz="4" w:space="0" w:color="auto"/>
            </w:tcBorders>
            <w:vAlign w:val="center"/>
          </w:tcPr>
          <w:p w:rsidR="00EB61C4" w:rsidRDefault="00EB61C4">
            <w:pPr>
              <w:pStyle w:val="Pagedecouverture"/>
              <w:rPr>
                <w:noProof/>
                <w:sz w:val="21"/>
                <w:szCs w:val="21"/>
              </w:rPr>
            </w:pPr>
          </w:p>
        </w:tc>
        <w:tc>
          <w:tcPr>
            <w:tcW w:w="1037" w:type="dxa"/>
            <w:vAlign w:val="center"/>
          </w:tcPr>
          <w:p w:rsidR="00EB61C4" w:rsidRDefault="00EB61C4">
            <w:pPr>
              <w:pStyle w:val="Pagedecouverture"/>
              <w:rPr>
                <w:noProof/>
                <w:sz w:val="21"/>
                <w:szCs w:val="21"/>
              </w:rPr>
            </w:pP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EB61C4" w:rsidRDefault="00A8283A">
            <w:pPr>
              <w:pStyle w:val="Pagedecouverture"/>
              <w:rPr>
                <w:noProof/>
                <w:sz w:val="20"/>
                <w:szCs w:val="20"/>
              </w:rPr>
            </w:pPr>
            <w:r>
              <w:rPr>
                <w:noProof/>
                <w:sz w:val="20"/>
              </w:rPr>
              <w:t xml:space="preserve">Άλλες δαπάνες </w:t>
            </w:r>
            <w:r>
              <w:rPr>
                <w:noProof/>
                <w:sz w:val="20"/>
                <w:szCs w:val="20"/>
              </w:rPr>
              <w:br/>
            </w:r>
            <w:r>
              <w:rPr>
                <w:noProof/>
                <w:sz w:val="20"/>
              </w:rPr>
              <w:t>διοικητικού χαρακτήρα</w:t>
            </w:r>
          </w:p>
        </w:tc>
        <w:tc>
          <w:tcPr>
            <w:tcW w:w="822"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Borders>
              <w:top w:val="single" w:sz="4" w:space="0" w:color="auto"/>
              <w:bottom w:val="single" w:sz="4" w:space="0" w:color="auto"/>
            </w:tcBorders>
            <w:vAlign w:val="center"/>
          </w:tcPr>
          <w:p w:rsidR="00EB61C4" w:rsidRDefault="00EB61C4">
            <w:pPr>
              <w:pStyle w:val="Pagedecouverture"/>
              <w:rPr>
                <w:noProof/>
                <w:sz w:val="21"/>
                <w:szCs w:val="21"/>
              </w:rPr>
            </w:pPr>
          </w:p>
        </w:tc>
        <w:tc>
          <w:tcPr>
            <w:tcW w:w="1037" w:type="dxa"/>
            <w:tcBorders>
              <w:bottom w:val="single" w:sz="4" w:space="0" w:color="auto"/>
            </w:tcBorders>
            <w:vAlign w:val="center"/>
          </w:tcPr>
          <w:p w:rsidR="00EB61C4" w:rsidRDefault="00EB61C4">
            <w:pPr>
              <w:pStyle w:val="Pagedecouverture"/>
              <w:rPr>
                <w:noProof/>
                <w:sz w:val="21"/>
                <w:szCs w:val="21"/>
              </w:rPr>
            </w:pPr>
          </w:p>
        </w:tc>
      </w:tr>
      <w:tr w:rsidR="00EB61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0"/>
        </w:trPr>
        <w:tc>
          <w:tcPr>
            <w:tcW w:w="1984" w:type="dxa"/>
            <w:shd w:val="clear" w:color="auto" w:fill="CCCCCC"/>
            <w:vAlign w:val="center"/>
          </w:tcPr>
          <w:p w:rsidR="00EB61C4" w:rsidRDefault="00A8283A">
            <w:pPr>
              <w:pStyle w:val="Pagedecouverture"/>
              <w:jc w:val="center"/>
              <w:rPr>
                <w:b/>
                <w:noProof/>
                <w:sz w:val="20"/>
                <w:szCs w:val="20"/>
              </w:rPr>
            </w:pPr>
            <w:r>
              <w:rPr>
                <w:b/>
                <w:noProof/>
                <w:sz w:val="20"/>
              </w:rPr>
              <w:t xml:space="preserve">Μερικό σύνολο </w:t>
            </w:r>
            <w:r>
              <w:rPr>
                <w:b/>
                <w:noProof/>
                <w:sz w:val="20"/>
                <w:szCs w:val="20"/>
              </w:rPr>
              <w:br/>
            </w:r>
            <w:r>
              <w:rPr>
                <w:b/>
                <w:noProof/>
                <w:sz w:val="20"/>
              </w:rPr>
              <w:t>εκτός του ΤΟΜΕΑ 5</w:t>
            </w:r>
            <w:r>
              <w:rPr>
                <w:b/>
                <w:noProof/>
                <w:sz w:val="20"/>
                <w:szCs w:val="20"/>
              </w:rPr>
              <w:br/>
            </w:r>
            <w:r>
              <w:rPr>
                <w:b/>
                <w:noProof/>
                <w:sz w:val="20"/>
              </w:rPr>
              <w:t xml:space="preserve">του πολυετούς </w:t>
            </w:r>
            <w:r>
              <w:rPr>
                <w:b/>
                <w:noProof/>
                <w:sz w:val="20"/>
              </w:rPr>
              <w:t>δημοσιονομικού πλαισίου</w:t>
            </w:r>
          </w:p>
        </w:tc>
        <w:tc>
          <w:tcPr>
            <w:tcW w:w="822"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vAlign w:val="center"/>
          </w:tcPr>
          <w:p w:rsidR="00EB61C4" w:rsidRDefault="00EB61C4">
            <w:pPr>
              <w:pStyle w:val="Pagedecouverture"/>
              <w:rPr>
                <w:noProof/>
                <w:sz w:val="21"/>
                <w:szCs w:val="21"/>
              </w:rPr>
            </w:pPr>
          </w:p>
        </w:tc>
        <w:tc>
          <w:tcPr>
            <w:tcW w:w="851" w:type="dxa"/>
            <w:vAlign w:val="center"/>
          </w:tcPr>
          <w:p w:rsidR="00EB61C4" w:rsidRDefault="00EB61C4">
            <w:pPr>
              <w:pStyle w:val="Pagedecouverture"/>
              <w:rPr>
                <w:noProof/>
                <w:sz w:val="21"/>
                <w:szCs w:val="21"/>
              </w:rPr>
            </w:pPr>
          </w:p>
        </w:tc>
        <w:tc>
          <w:tcPr>
            <w:tcW w:w="850" w:type="dxa"/>
            <w:tcBorders>
              <w:top w:val="single" w:sz="4" w:space="0" w:color="auto"/>
            </w:tcBorders>
            <w:vAlign w:val="center"/>
          </w:tcPr>
          <w:p w:rsidR="00EB61C4" w:rsidRDefault="00EB61C4">
            <w:pPr>
              <w:pStyle w:val="Pagedecouverture"/>
              <w:rPr>
                <w:noProof/>
                <w:sz w:val="21"/>
                <w:szCs w:val="21"/>
              </w:rPr>
            </w:pPr>
          </w:p>
        </w:tc>
        <w:tc>
          <w:tcPr>
            <w:tcW w:w="1037" w:type="dxa"/>
            <w:tcBorders>
              <w:top w:val="single" w:sz="4" w:space="0" w:color="auto"/>
            </w:tcBorders>
            <w:vAlign w:val="center"/>
          </w:tcPr>
          <w:p w:rsidR="00EB61C4" w:rsidRDefault="00EB61C4">
            <w:pPr>
              <w:pStyle w:val="Pagedecouverture"/>
              <w:rPr>
                <w:noProof/>
                <w:sz w:val="21"/>
                <w:szCs w:val="21"/>
              </w:rPr>
            </w:pPr>
          </w:p>
        </w:tc>
      </w:tr>
    </w:tbl>
    <w:p w:rsidR="00EB61C4" w:rsidRDefault="00EB61C4">
      <w:pPr>
        <w:pStyle w:val="Text1"/>
        <w:rPr>
          <w:noProof/>
          <w:sz w:val="21"/>
          <w:szCs w:val="21"/>
        </w:rPr>
      </w:pPr>
    </w:p>
    <w:tbl>
      <w:tblPr>
        <w:tblW w:w="8047" w:type="dxa"/>
        <w:tblInd w:w="534" w:type="dxa"/>
        <w:tblLayout w:type="fixed"/>
        <w:tblLook w:val="01E0" w:firstRow="1" w:lastRow="1" w:firstColumn="1" w:lastColumn="1" w:noHBand="0" w:noVBand="0"/>
      </w:tblPr>
      <w:tblGrid>
        <w:gridCol w:w="1980"/>
        <w:gridCol w:w="822"/>
        <w:gridCol w:w="850"/>
        <w:gridCol w:w="851"/>
        <w:gridCol w:w="850"/>
        <w:gridCol w:w="851"/>
        <w:gridCol w:w="850"/>
        <w:gridCol w:w="993"/>
      </w:tblGrid>
      <w:tr w:rsidR="00EB61C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1"/>
              </w:rPr>
              <w:t>ΣYΝΟΛΟ</w:t>
            </w:r>
          </w:p>
        </w:tc>
        <w:tc>
          <w:tcPr>
            <w:tcW w:w="822" w:type="dxa"/>
            <w:tcBorders>
              <w:top w:val="single" w:sz="12" w:space="0" w:color="auto"/>
              <w:left w:val="single" w:sz="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2"/>
              </w:rPr>
              <w:t>0,044</w:t>
            </w:r>
          </w:p>
        </w:tc>
        <w:tc>
          <w:tcPr>
            <w:tcW w:w="850" w:type="dxa"/>
            <w:tcBorders>
              <w:top w:val="single" w:sz="12" w:space="0" w:color="auto"/>
              <w:left w:val="single" w:sz="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2"/>
              </w:rPr>
              <w:t>0,064</w:t>
            </w:r>
          </w:p>
        </w:tc>
        <w:tc>
          <w:tcPr>
            <w:tcW w:w="851" w:type="dxa"/>
            <w:tcBorders>
              <w:top w:val="single" w:sz="12" w:space="0" w:color="auto"/>
              <w:left w:val="single" w:sz="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2"/>
              </w:rPr>
              <w:t>0,032</w:t>
            </w:r>
          </w:p>
        </w:tc>
        <w:tc>
          <w:tcPr>
            <w:tcW w:w="850" w:type="dxa"/>
            <w:tcBorders>
              <w:top w:val="single" w:sz="12" w:space="0" w:color="auto"/>
              <w:left w:val="single" w:sz="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2"/>
              </w:rPr>
              <w:t>0,011</w:t>
            </w:r>
          </w:p>
        </w:tc>
        <w:tc>
          <w:tcPr>
            <w:tcW w:w="851" w:type="dxa"/>
            <w:tcBorders>
              <w:top w:val="single" w:sz="12" w:space="0" w:color="auto"/>
              <w:left w:val="single" w:sz="2" w:space="0" w:color="auto"/>
              <w:bottom w:val="single" w:sz="12" w:space="0" w:color="auto"/>
              <w:right w:val="single" w:sz="2" w:space="0" w:color="auto"/>
            </w:tcBorders>
            <w:vAlign w:val="center"/>
          </w:tcPr>
          <w:p w:rsidR="00EB61C4" w:rsidRDefault="00A8283A">
            <w:pPr>
              <w:pStyle w:val="Pagedecouverture"/>
              <w:jc w:val="center"/>
              <w:rPr>
                <w:noProof/>
                <w:sz w:val="21"/>
                <w:szCs w:val="21"/>
              </w:rPr>
            </w:pPr>
            <w:r>
              <w:rPr>
                <w:noProof/>
                <w:sz w:val="22"/>
              </w:rPr>
              <w:t>0,011</w:t>
            </w:r>
          </w:p>
        </w:tc>
        <w:tc>
          <w:tcPr>
            <w:tcW w:w="850" w:type="dxa"/>
            <w:tcBorders>
              <w:top w:val="single" w:sz="12" w:space="0" w:color="auto"/>
              <w:left w:val="single" w:sz="2" w:space="0" w:color="auto"/>
              <w:bottom w:val="single" w:sz="12" w:space="0" w:color="auto"/>
              <w:right w:val="single" w:sz="2" w:space="0" w:color="auto"/>
            </w:tcBorders>
            <w:vAlign w:val="center"/>
          </w:tcPr>
          <w:p w:rsidR="00EB61C4" w:rsidRDefault="00EB61C4">
            <w:pPr>
              <w:pStyle w:val="Pagedecouverture"/>
              <w:jc w:val="center"/>
              <w:rPr>
                <w:noProof/>
                <w:sz w:val="21"/>
                <w:szCs w:val="21"/>
              </w:rPr>
            </w:pPr>
          </w:p>
        </w:tc>
        <w:tc>
          <w:tcPr>
            <w:tcW w:w="993" w:type="dxa"/>
            <w:tcBorders>
              <w:top w:val="single" w:sz="12" w:space="0" w:color="auto"/>
              <w:left w:val="single" w:sz="2" w:space="0" w:color="auto"/>
              <w:bottom w:val="single" w:sz="12" w:space="0" w:color="auto"/>
              <w:right w:val="single" w:sz="12" w:space="0" w:color="auto"/>
            </w:tcBorders>
            <w:vAlign w:val="center"/>
          </w:tcPr>
          <w:p w:rsidR="00EB61C4" w:rsidRDefault="00A8283A">
            <w:pPr>
              <w:pStyle w:val="Pagedecouverture"/>
              <w:jc w:val="center"/>
              <w:rPr>
                <w:b/>
                <w:noProof/>
                <w:sz w:val="21"/>
                <w:szCs w:val="21"/>
              </w:rPr>
            </w:pPr>
            <w:r>
              <w:rPr>
                <w:b/>
                <w:noProof/>
                <w:sz w:val="22"/>
              </w:rPr>
              <w:t>0,162</w:t>
            </w:r>
          </w:p>
        </w:tc>
      </w:tr>
    </w:tbl>
    <w:p w:rsidR="00EB61C4" w:rsidRDefault="00A8283A">
      <w:pPr>
        <w:pStyle w:val="Text10"/>
        <w:spacing w:before="240"/>
        <w:ind w:left="142" w:right="140"/>
        <w:rPr>
          <w:sz w:val="24"/>
          <w:szCs w:val="24"/>
        </w:rPr>
      </w:pPr>
      <w:r>
        <w:rPr>
          <w:sz w:val="22"/>
        </w:rPr>
        <w:t>Οι ανάγκες σε διοικητικές πιστώσεις θα καλυφθούν από τις πιστώσεις της ΓΔ που έχουν ήδη διατεθεί για τη διαχείριση της δράσης και/ή έχουν ανακατανεμηθεί στο πλαίσιο της ίδιας της</w:t>
      </w:r>
      <w:r>
        <w:rPr>
          <w:sz w:val="22"/>
        </w:rPr>
        <w:t xml:space="preserve"> ΓΔ και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r>
        <w:rPr>
          <w:sz w:val="24"/>
        </w:rPr>
        <w:t>.</w:t>
      </w:r>
    </w:p>
    <w:p w:rsidR="00EB61C4" w:rsidRDefault="00EB61C4">
      <w:pPr>
        <w:pStyle w:val="Text10"/>
        <w:spacing w:before="240"/>
        <w:ind w:left="142" w:right="140"/>
        <w:rPr>
          <w:sz w:val="24"/>
          <w:szCs w:val="24"/>
        </w:rPr>
        <w:sectPr w:rsidR="00EB61C4" w:rsidSect="00A8283A">
          <w:headerReference w:type="default" r:id="rId17"/>
          <w:footerReference w:type="default" r:id="rId18"/>
          <w:headerReference w:type="first" r:id="rId19"/>
          <w:footerReference w:type="first" r:id="rId20"/>
          <w:pgSz w:w="11907" w:h="16840"/>
          <w:pgMar w:top="1134" w:right="1418" w:bottom="1134" w:left="1418" w:header="709" w:footer="709" w:gutter="0"/>
          <w:pgNumType w:start="28"/>
          <w:cols w:space="708"/>
          <w:docGrid w:linePitch="360"/>
        </w:sectPr>
      </w:pPr>
    </w:p>
    <w:p w:rsidR="00EB61C4" w:rsidRDefault="00A8283A">
      <w:pPr>
        <w:pStyle w:val="Heading5"/>
        <w:rPr>
          <w:b/>
          <w:sz w:val="21"/>
          <w:szCs w:val="21"/>
        </w:rPr>
      </w:pPr>
      <w:r>
        <w:rPr>
          <w:sz w:val="21"/>
        </w:rPr>
        <w:t>3.2.3.2.</w:t>
      </w:r>
      <w:r>
        <w:tab/>
      </w:r>
      <w:r>
        <w:rPr>
          <w:b/>
          <w:sz w:val="21"/>
        </w:rPr>
        <w:t xml:space="preserve"> </w:t>
      </w:r>
      <w:r>
        <w:rPr>
          <w:sz w:val="21"/>
        </w:rPr>
        <w:t xml:space="preserve">Εκτιμώμενες ανάγκες σε ανθρώπινους πόρους </w:t>
      </w:r>
    </w:p>
    <w:p w:rsidR="00EB61C4" w:rsidRDefault="00A8283A">
      <w:pPr>
        <w:pStyle w:val="Text1"/>
        <w:rPr>
          <w:noProof/>
          <w:sz w:val="21"/>
          <w:szCs w:val="21"/>
        </w:rPr>
      </w:pPr>
      <w:r>
        <w:rPr>
          <w:noProof/>
          <w:sz w:val="21"/>
          <w:szCs w:val="21"/>
        </w:rPr>
        <w:sym w:font="Wingdings" w:char="F0A8"/>
      </w:r>
      <w:r>
        <w:rPr>
          <w:noProof/>
        </w:rPr>
        <w:tab/>
      </w:r>
      <w:r>
        <w:rPr>
          <w:noProof/>
          <w:sz w:val="21"/>
        </w:rPr>
        <w:t xml:space="preserve">Η πρόταση/πρωτοβουλία δεν συνεπάγεται τη χρησιμοποίηση ανθρώπινων πόρων. </w:t>
      </w:r>
    </w:p>
    <w:p w:rsidR="00EB61C4" w:rsidRDefault="00A8283A">
      <w:pPr>
        <w:pStyle w:val="Text1"/>
        <w:rPr>
          <w:noProof/>
          <w:sz w:val="21"/>
          <w:szCs w:val="21"/>
        </w:rPr>
      </w:pPr>
      <w:r>
        <w:rPr>
          <w:noProof/>
          <w:sz w:val="21"/>
        </w:rPr>
        <w:t>X Η πρόταση/πρωτοβουλία συνεπά</w:t>
      </w:r>
      <w:r>
        <w:rPr>
          <w:noProof/>
          <w:sz w:val="21"/>
        </w:rPr>
        <w:t>γεται τη χρησιμοποίηση ανθρώπινων πόρων, όπως εξηγείται κατωτέρω:</w:t>
      </w:r>
    </w:p>
    <w:p w:rsidR="00EB61C4" w:rsidRDefault="00A8283A">
      <w:pPr>
        <w:pStyle w:val="Text1"/>
        <w:ind w:right="402"/>
        <w:jc w:val="right"/>
        <w:rPr>
          <w:i/>
          <w:noProof/>
          <w:sz w:val="21"/>
          <w:szCs w:val="21"/>
        </w:rPr>
      </w:pPr>
      <w:r>
        <w:rPr>
          <w:i/>
          <w:noProof/>
          <w:sz w:val="21"/>
        </w:rPr>
        <w:t>Εκτίμηση η οποία πρέπει να εκφράζεται σε μονάδες ισοδυνάμων πλήρους απασχόλησης</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2"/>
        <w:gridCol w:w="1664"/>
        <w:gridCol w:w="860"/>
        <w:gridCol w:w="860"/>
        <w:gridCol w:w="862"/>
        <w:gridCol w:w="439"/>
        <w:gridCol w:w="423"/>
        <w:gridCol w:w="742"/>
        <w:gridCol w:w="742"/>
        <w:gridCol w:w="742"/>
      </w:tblGrid>
      <w:tr w:rsidR="00EB61C4">
        <w:trPr>
          <w:trHeight w:val="207"/>
          <w:jc w:val="center"/>
        </w:trPr>
        <w:tc>
          <w:tcPr>
            <w:tcW w:w="1652" w:type="pct"/>
            <w:gridSpan w:val="2"/>
          </w:tcPr>
          <w:p w:rsidR="00EB61C4" w:rsidRDefault="00EB61C4">
            <w:pPr>
              <w:pStyle w:val="Pagedecouverture"/>
              <w:rPr>
                <w:noProof/>
                <w:sz w:val="21"/>
                <w:szCs w:val="21"/>
              </w:rPr>
            </w:pPr>
          </w:p>
        </w:tc>
        <w:tc>
          <w:tcPr>
            <w:tcW w:w="508" w:type="pct"/>
            <w:vAlign w:val="center"/>
          </w:tcPr>
          <w:p w:rsidR="00EB61C4" w:rsidRDefault="00A8283A">
            <w:pPr>
              <w:pStyle w:val="Pagedecouverture"/>
              <w:jc w:val="center"/>
              <w:rPr>
                <w:noProof/>
                <w:sz w:val="21"/>
                <w:szCs w:val="21"/>
              </w:rPr>
            </w:pPr>
            <w:r>
              <w:rPr>
                <w:noProof/>
                <w:sz w:val="16"/>
              </w:rPr>
              <w:t>Έτος</w:t>
            </w:r>
            <w:r>
              <w:rPr>
                <w:noProof/>
                <w:sz w:val="21"/>
                <w:szCs w:val="21"/>
              </w:rPr>
              <w:br/>
            </w:r>
            <w:r>
              <w:rPr>
                <w:b/>
                <w:noProof/>
                <w:sz w:val="21"/>
              </w:rPr>
              <w:t>2016</w:t>
            </w:r>
          </w:p>
        </w:tc>
        <w:tc>
          <w:tcPr>
            <w:tcW w:w="508" w:type="pct"/>
            <w:vAlign w:val="center"/>
          </w:tcPr>
          <w:p w:rsidR="00EB61C4" w:rsidRDefault="00A8283A">
            <w:pPr>
              <w:pStyle w:val="Pagedecouverture"/>
              <w:jc w:val="center"/>
              <w:rPr>
                <w:noProof/>
                <w:sz w:val="21"/>
                <w:szCs w:val="21"/>
              </w:rPr>
            </w:pPr>
            <w:r>
              <w:rPr>
                <w:noProof/>
                <w:sz w:val="21"/>
              </w:rPr>
              <w:t>Έτος</w:t>
            </w:r>
            <w:r>
              <w:rPr>
                <w:noProof/>
                <w:sz w:val="21"/>
                <w:szCs w:val="21"/>
              </w:rPr>
              <w:br/>
            </w:r>
            <w:r>
              <w:rPr>
                <w:b/>
                <w:noProof/>
                <w:sz w:val="21"/>
              </w:rPr>
              <w:t>2017</w:t>
            </w:r>
          </w:p>
        </w:tc>
        <w:tc>
          <w:tcPr>
            <w:tcW w:w="509" w:type="pct"/>
            <w:vAlign w:val="center"/>
          </w:tcPr>
          <w:p w:rsidR="00EB61C4" w:rsidRDefault="00A8283A">
            <w:pPr>
              <w:pStyle w:val="Pagedecouverture"/>
              <w:jc w:val="center"/>
              <w:rPr>
                <w:noProof/>
                <w:sz w:val="21"/>
                <w:szCs w:val="21"/>
              </w:rPr>
            </w:pPr>
            <w:r>
              <w:rPr>
                <w:noProof/>
                <w:sz w:val="21"/>
              </w:rPr>
              <w:t xml:space="preserve">Έτος </w:t>
            </w:r>
            <w:r>
              <w:rPr>
                <w:b/>
                <w:noProof/>
                <w:sz w:val="21"/>
              </w:rPr>
              <w:t>2018</w:t>
            </w:r>
          </w:p>
        </w:tc>
        <w:tc>
          <w:tcPr>
            <w:tcW w:w="509" w:type="pct"/>
            <w:gridSpan w:val="2"/>
            <w:vAlign w:val="center"/>
          </w:tcPr>
          <w:p w:rsidR="00EB61C4" w:rsidRDefault="00A8283A">
            <w:pPr>
              <w:pStyle w:val="Pagedecouverture"/>
              <w:jc w:val="center"/>
              <w:rPr>
                <w:noProof/>
                <w:sz w:val="21"/>
                <w:szCs w:val="21"/>
              </w:rPr>
            </w:pPr>
            <w:r>
              <w:rPr>
                <w:noProof/>
                <w:sz w:val="21"/>
              </w:rPr>
              <w:t xml:space="preserve">Έτος </w:t>
            </w:r>
            <w:r>
              <w:rPr>
                <w:b/>
                <w:noProof/>
                <w:sz w:val="21"/>
              </w:rPr>
              <w:t>2019</w:t>
            </w:r>
          </w:p>
        </w:tc>
        <w:tc>
          <w:tcPr>
            <w:tcW w:w="438" w:type="pct"/>
            <w:vAlign w:val="center"/>
          </w:tcPr>
          <w:p w:rsidR="00EB61C4" w:rsidRDefault="00A8283A">
            <w:pPr>
              <w:pStyle w:val="Pagedecouverture"/>
              <w:jc w:val="center"/>
              <w:rPr>
                <w:noProof/>
                <w:sz w:val="21"/>
                <w:szCs w:val="21"/>
              </w:rPr>
            </w:pPr>
            <w:r>
              <w:rPr>
                <w:noProof/>
                <w:sz w:val="21"/>
              </w:rPr>
              <w:t xml:space="preserve">Έτος </w:t>
            </w:r>
            <w:r>
              <w:rPr>
                <w:b/>
                <w:noProof/>
                <w:sz w:val="21"/>
              </w:rPr>
              <w:t>2020</w:t>
            </w:r>
          </w:p>
        </w:tc>
        <w:tc>
          <w:tcPr>
            <w:tcW w:w="438" w:type="pct"/>
            <w:vAlign w:val="center"/>
          </w:tcPr>
          <w:p w:rsidR="00EB61C4" w:rsidRDefault="00EB61C4">
            <w:pPr>
              <w:pStyle w:val="Pagedecouverture"/>
              <w:rPr>
                <w:noProof/>
                <w:sz w:val="21"/>
                <w:szCs w:val="21"/>
              </w:rPr>
            </w:pPr>
          </w:p>
        </w:tc>
        <w:tc>
          <w:tcPr>
            <w:tcW w:w="438" w:type="pct"/>
            <w:vAlign w:val="center"/>
          </w:tcPr>
          <w:p w:rsidR="00EB61C4" w:rsidRDefault="00EB61C4">
            <w:pPr>
              <w:pStyle w:val="Pagedecouverture"/>
              <w:rPr>
                <w:noProof/>
                <w:sz w:val="21"/>
                <w:szCs w:val="21"/>
              </w:rPr>
            </w:pPr>
          </w:p>
        </w:tc>
      </w:tr>
      <w:tr w:rsidR="00EB61C4">
        <w:trPr>
          <w:gridAfter w:val="4"/>
          <w:wAfter w:w="1564" w:type="pct"/>
          <w:trHeight w:val="178"/>
          <w:jc w:val="center"/>
        </w:trPr>
        <w:tc>
          <w:tcPr>
            <w:tcW w:w="3436" w:type="pct"/>
            <w:gridSpan w:val="6"/>
            <w:tcBorders>
              <w:right w:val="nil"/>
            </w:tcBorders>
            <w:vAlign w:val="center"/>
          </w:tcPr>
          <w:p w:rsidR="00EB61C4" w:rsidRDefault="00A8283A">
            <w:pPr>
              <w:pStyle w:val="Pagedecouverture"/>
              <w:rPr>
                <w:b/>
                <w:noProof/>
                <w:sz w:val="20"/>
                <w:szCs w:val="20"/>
              </w:rPr>
            </w:pPr>
            <w:r>
              <w:rPr>
                <w:b/>
                <w:noProof/>
                <w:sz w:val="20"/>
                <w:szCs w:val="20"/>
              </w:rPr>
              <w:sym w:font="Wingdings" w:char="F09F"/>
            </w:r>
            <w:r>
              <w:rPr>
                <w:b/>
                <w:noProof/>
                <w:sz w:val="20"/>
              </w:rPr>
              <w:t xml:space="preserve"> Θέσεις απασχόλησης του πίνακα προσωπικού (θέσεις μόνιμων και έκτακτων υπαλλήλων)</w:t>
            </w:r>
          </w:p>
        </w:tc>
      </w:tr>
      <w:tr w:rsidR="00EB61C4">
        <w:trPr>
          <w:trHeight w:val="809"/>
          <w:jc w:val="center"/>
        </w:trPr>
        <w:tc>
          <w:tcPr>
            <w:tcW w:w="1652" w:type="pct"/>
            <w:gridSpan w:val="2"/>
            <w:vAlign w:val="center"/>
          </w:tcPr>
          <w:p w:rsidR="00EB61C4" w:rsidRDefault="00A8283A">
            <w:pPr>
              <w:pStyle w:val="Pagedecouverture"/>
              <w:jc w:val="left"/>
              <w:rPr>
                <w:noProof/>
                <w:sz w:val="20"/>
                <w:szCs w:val="20"/>
              </w:rPr>
            </w:pPr>
            <w:r>
              <w:rPr>
                <w:noProof/>
                <w:sz w:val="20"/>
              </w:rPr>
              <w:t>01 01 01 01 (έδρα και γραφεία αντιπροσωπείας της Επιτροπής)</w:t>
            </w:r>
          </w:p>
        </w:tc>
        <w:tc>
          <w:tcPr>
            <w:tcW w:w="508" w:type="pct"/>
            <w:vAlign w:val="center"/>
          </w:tcPr>
          <w:p w:rsidR="00EB61C4" w:rsidRDefault="00A8283A">
            <w:pPr>
              <w:pStyle w:val="Pagedecouverture"/>
              <w:jc w:val="center"/>
              <w:rPr>
                <w:noProof/>
                <w:sz w:val="20"/>
                <w:szCs w:val="20"/>
              </w:rPr>
            </w:pPr>
            <w:r>
              <w:rPr>
                <w:noProof/>
                <w:sz w:val="20"/>
              </w:rPr>
              <w:t>0,25</w:t>
            </w:r>
          </w:p>
        </w:tc>
        <w:tc>
          <w:tcPr>
            <w:tcW w:w="508" w:type="pct"/>
            <w:vAlign w:val="center"/>
          </w:tcPr>
          <w:p w:rsidR="00EB61C4" w:rsidRDefault="00A8283A">
            <w:pPr>
              <w:pStyle w:val="Pagedecouverture"/>
              <w:jc w:val="center"/>
              <w:rPr>
                <w:noProof/>
                <w:sz w:val="20"/>
                <w:szCs w:val="20"/>
              </w:rPr>
            </w:pPr>
            <w:r>
              <w:rPr>
                <w:noProof/>
                <w:sz w:val="20"/>
              </w:rPr>
              <w:t>0,32</w:t>
            </w:r>
          </w:p>
        </w:tc>
        <w:tc>
          <w:tcPr>
            <w:tcW w:w="509" w:type="pct"/>
            <w:vAlign w:val="center"/>
          </w:tcPr>
          <w:p w:rsidR="00EB61C4" w:rsidRDefault="00A8283A">
            <w:pPr>
              <w:pStyle w:val="Pagedecouverture"/>
              <w:jc w:val="center"/>
              <w:rPr>
                <w:noProof/>
                <w:sz w:val="20"/>
                <w:szCs w:val="20"/>
              </w:rPr>
            </w:pPr>
            <w:r>
              <w:rPr>
                <w:noProof/>
                <w:sz w:val="20"/>
              </w:rPr>
              <w:t>0,16</w:t>
            </w:r>
          </w:p>
        </w:tc>
        <w:tc>
          <w:tcPr>
            <w:tcW w:w="509" w:type="pct"/>
            <w:gridSpan w:val="2"/>
            <w:vAlign w:val="center"/>
          </w:tcPr>
          <w:p w:rsidR="00EB61C4" w:rsidRDefault="00A8283A">
            <w:pPr>
              <w:pStyle w:val="Pagedecouverture"/>
              <w:jc w:val="center"/>
              <w:rPr>
                <w:noProof/>
                <w:sz w:val="20"/>
                <w:szCs w:val="20"/>
              </w:rPr>
            </w:pPr>
            <w:r>
              <w:rPr>
                <w:noProof/>
                <w:sz w:val="20"/>
              </w:rPr>
              <w:t>0,08</w:t>
            </w:r>
          </w:p>
        </w:tc>
        <w:tc>
          <w:tcPr>
            <w:tcW w:w="438" w:type="pct"/>
            <w:vAlign w:val="center"/>
          </w:tcPr>
          <w:p w:rsidR="00EB61C4" w:rsidRDefault="00A8283A">
            <w:pPr>
              <w:pStyle w:val="Pagedecouverture"/>
              <w:jc w:val="center"/>
              <w:rPr>
                <w:noProof/>
                <w:sz w:val="20"/>
                <w:szCs w:val="20"/>
              </w:rPr>
            </w:pPr>
            <w:r>
              <w:rPr>
                <w:noProof/>
                <w:sz w:val="20"/>
              </w:rPr>
              <w:t>0,08</w:t>
            </w: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409"/>
          <w:jc w:val="center"/>
        </w:trPr>
        <w:tc>
          <w:tcPr>
            <w:tcW w:w="1652" w:type="pct"/>
            <w:gridSpan w:val="2"/>
            <w:vAlign w:val="center"/>
          </w:tcPr>
          <w:p w:rsidR="00EB61C4" w:rsidRDefault="00A8283A">
            <w:pPr>
              <w:pStyle w:val="Pagedecouverture"/>
              <w:jc w:val="left"/>
              <w:rPr>
                <w:noProof/>
                <w:sz w:val="20"/>
                <w:szCs w:val="20"/>
              </w:rPr>
            </w:pPr>
            <w:r>
              <w:rPr>
                <w:noProof/>
                <w:sz w:val="20"/>
              </w:rPr>
              <w:t>XX 01 01 02 (σε αντιπροσωπεία)</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415"/>
          <w:jc w:val="center"/>
        </w:trPr>
        <w:tc>
          <w:tcPr>
            <w:tcW w:w="1652" w:type="pct"/>
            <w:gridSpan w:val="2"/>
            <w:vAlign w:val="center"/>
          </w:tcPr>
          <w:p w:rsidR="00EB61C4" w:rsidRDefault="00A8283A">
            <w:pPr>
              <w:pStyle w:val="Pagedecouverture"/>
              <w:jc w:val="left"/>
              <w:rPr>
                <w:noProof/>
                <w:sz w:val="20"/>
                <w:szCs w:val="20"/>
              </w:rPr>
            </w:pPr>
            <w:r>
              <w:rPr>
                <w:noProof/>
                <w:sz w:val="20"/>
              </w:rPr>
              <w:t>XX 01 05 01 (έμμεση έρευνα)</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407"/>
          <w:jc w:val="center"/>
        </w:trPr>
        <w:tc>
          <w:tcPr>
            <w:tcW w:w="1652" w:type="pct"/>
            <w:gridSpan w:val="2"/>
            <w:vAlign w:val="center"/>
          </w:tcPr>
          <w:p w:rsidR="00EB61C4" w:rsidRDefault="00A8283A">
            <w:pPr>
              <w:pStyle w:val="Pagedecouverture"/>
              <w:jc w:val="left"/>
              <w:rPr>
                <w:noProof/>
                <w:sz w:val="20"/>
                <w:szCs w:val="20"/>
              </w:rPr>
            </w:pPr>
            <w:r>
              <w:rPr>
                <w:noProof/>
                <w:sz w:val="20"/>
              </w:rPr>
              <w:t xml:space="preserve">10 01 05 </w:t>
            </w:r>
            <w:r>
              <w:rPr>
                <w:noProof/>
                <w:sz w:val="20"/>
              </w:rPr>
              <w:t>01 (άμεση έρευνα)</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178"/>
          <w:jc w:val="center"/>
        </w:trPr>
        <w:tc>
          <w:tcPr>
            <w:tcW w:w="5000" w:type="pct"/>
            <w:gridSpan w:val="10"/>
          </w:tcPr>
          <w:p w:rsidR="00EB61C4" w:rsidRDefault="00A8283A">
            <w:pPr>
              <w:pStyle w:val="Pagedecouverture"/>
              <w:rPr>
                <w:b/>
                <w:noProof/>
                <w:sz w:val="20"/>
                <w:szCs w:val="20"/>
              </w:rPr>
            </w:pPr>
            <w:r>
              <w:rPr>
                <w:b/>
                <w:noProof/>
                <w:sz w:val="20"/>
                <w:szCs w:val="20"/>
              </w:rPr>
              <w:sym w:font="Wingdings" w:char="F09F"/>
            </w:r>
            <w:r>
              <w:rPr>
                <w:b/>
                <w:noProof/>
                <w:sz w:val="20"/>
              </w:rPr>
              <w:t xml:space="preserve"> Εξωτερικό προσωπικό (σε μονάδα ισοδυνάμου πλήρους απασχόλησης: </w:t>
            </w:r>
            <w:r>
              <w:rPr>
                <w:b/>
                <w:noProof/>
              </w:rPr>
              <w:t>IΠΑ)</w:t>
            </w:r>
            <w:r>
              <w:rPr>
                <w:rStyle w:val="FootnoteReference"/>
                <w:b/>
                <w:noProof/>
              </w:rPr>
              <w:footnoteReference w:id="29"/>
            </w:r>
          </w:p>
        </w:tc>
      </w:tr>
      <w:tr w:rsidR="00EB61C4">
        <w:trPr>
          <w:trHeight w:val="504"/>
          <w:jc w:val="center"/>
        </w:trPr>
        <w:tc>
          <w:tcPr>
            <w:tcW w:w="1652" w:type="pct"/>
            <w:gridSpan w:val="2"/>
            <w:vAlign w:val="center"/>
          </w:tcPr>
          <w:p w:rsidR="00EB61C4" w:rsidRDefault="00A8283A">
            <w:pPr>
              <w:pStyle w:val="Pagedecouverture"/>
              <w:jc w:val="left"/>
              <w:rPr>
                <w:noProof/>
                <w:sz w:val="20"/>
                <w:szCs w:val="20"/>
              </w:rPr>
            </w:pPr>
            <w:r>
              <w:rPr>
                <w:noProof/>
                <w:sz w:val="20"/>
              </w:rPr>
              <w:t>XX 01 02 01 (CA, INT, SNE από το συνολικό κονδύλιο)</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207"/>
          <w:jc w:val="center"/>
        </w:trPr>
        <w:tc>
          <w:tcPr>
            <w:tcW w:w="1652" w:type="pct"/>
            <w:gridSpan w:val="2"/>
            <w:vAlign w:val="center"/>
          </w:tcPr>
          <w:p w:rsidR="00EB61C4" w:rsidRDefault="00A8283A">
            <w:pPr>
              <w:pStyle w:val="Pagedecouverture"/>
              <w:jc w:val="left"/>
              <w:rPr>
                <w:noProof/>
                <w:sz w:val="20"/>
                <w:szCs w:val="20"/>
              </w:rPr>
            </w:pPr>
            <w:r>
              <w:rPr>
                <w:noProof/>
                <w:sz w:val="20"/>
              </w:rPr>
              <w:t>XX 01 02 02 (CA, INT, JED, LA και SNE στις αντιπροσωπείες)</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363"/>
          <w:jc w:val="center"/>
        </w:trPr>
        <w:tc>
          <w:tcPr>
            <w:tcW w:w="669" w:type="pct"/>
            <w:vMerge w:val="restart"/>
            <w:vAlign w:val="center"/>
          </w:tcPr>
          <w:p w:rsidR="00EB61C4" w:rsidRDefault="00A8283A">
            <w:pPr>
              <w:pStyle w:val="Pagedecouverture"/>
              <w:jc w:val="left"/>
              <w:rPr>
                <w:b/>
                <w:noProof/>
                <w:sz w:val="20"/>
                <w:szCs w:val="20"/>
              </w:rPr>
            </w:pPr>
            <w:r>
              <w:rPr>
                <w:b/>
                <w:noProof/>
                <w:sz w:val="20"/>
              </w:rPr>
              <w:t>XX</w:t>
            </w:r>
            <w:r>
              <w:rPr>
                <w:noProof/>
                <w:sz w:val="20"/>
              </w:rPr>
              <w:t xml:space="preserve"> 01 04 </w:t>
            </w:r>
            <w:r>
              <w:rPr>
                <w:b/>
                <w:noProof/>
                <w:sz w:val="20"/>
              </w:rPr>
              <w:t>yy</w:t>
            </w:r>
            <w:r>
              <w:rPr>
                <w:rStyle w:val="FootnoteReference"/>
                <w:b/>
                <w:noProof/>
                <w:sz w:val="20"/>
              </w:rPr>
              <w:footnoteReference w:id="30"/>
            </w:r>
          </w:p>
          <w:p w:rsidR="00EB61C4" w:rsidRDefault="00EB61C4">
            <w:pPr>
              <w:pStyle w:val="Pagedecouverture"/>
              <w:jc w:val="left"/>
              <w:rPr>
                <w:noProof/>
                <w:sz w:val="20"/>
                <w:szCs w:val="20"/>
              </w:rPr>
            </w:pPr>
          </w:p>
        </w:tc>
        <w:tc>
          <w:tcPr>
            <w:tcW w:w="983" w:type="pct"/>
            <w:vAlign w:val="center"/>
          </w:tcPr>
          <w:p w:rsidR="00EB61C4" w:rsidRDefault="00A8283A">
            <w:pPr>
              <w:pStyle w:val="Pagedecouverture"/>
              <w:jc w:val="left"/>
              <w:rPr>
                <w:b/>
                <w:noProof/>
                <w:sz w:val="20"/>
                <w:szCs w:val="20"/>
              </w:rPr>
            </w:pPr>
            <w:r>
              <w:rPr>
                <w:noProof/>
                <w:sz w:val="20"/>
              </w:rPr>
              <w:t>- στην έδρα</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207"/>
          <w:jc w:val="center"/>
        </w:trPr>
        <w:tc>
          <w:tcPr>
            <w:tcW w:w="669" w:type="pct"/>
            <w:vMerge/>
            <w:vAlign w:val="center"/>
          </w:tcPr>
          <w:p w:rsidR="00EB61C4" w:rsidRDefault="00EB61C4">
            <w:pPr>
              <w:pStyle w:val="Pagedecouverture"/>
              <w:jc w:val="left"/>
              <w:rPr>
                <w:noProof/>
                <w:sz w:val="20"/>
                <w:szCs w:val="20"/>
              </w:rPr>
            </w:pPr>
          </w:p>
        </w:tc>
        <w:tc>
          <w:tcPr>
            <w:tcW w:w="983" w:type="pct"/>
            <w:vAlign w:val="center"/>
          </w:tcPr>
          <w:p w:rsidR="00EB61C4" w:rsidRDefault="00A8283A">
            <w:pPr>
              <w:pStyle w:val="Pagedecouverture"/>
              <w:jc w:val="left"/>
              <w:rPr>
                <w:noProof/>
                <w:sz w:val="20"/>
                <w:szCs w:val="20"/>
              </w:rPr>
            </w:pPr>
            <w:r>
              <w:rPr>
                <w:noProof/>
                <w:sz w:val="20"/>
              </w:rPr>
              <w:t xml:space="preserve">- σε αντιπροσωπείες </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207"/>
          <w:jc w:val="center"/>
        </w:trPr>
        <w:tc>
          <w:tcPr>
            <w:tcW w:w="1652" w:type="pct"/>
            <w:gridSpan w:val="2"/>
            <w:vAlign w:val="center"/>
          </w:tcPr>
          <w:p w:rsidR="00EB61C4" w:rsidRDefault="00A8283A">
            <w:pPr>
              <w:pStyle w:val="Pagedecouverture"/>
              <w:jc w:val="left"/>
              <w:rPr>
                <w:noProof/>
                <w:sz w:val="20"/>
                <w:szCs w:val="20"/>
              </w:rPr>
            </w:pPr>
            <w:r>
              <w:rPr>
                <w:b/>
                <w:noProof/>
                <w:sz w:val="20"/>
              </w:rPr>
              <w:t>XX</w:t>
            </w:r>
            <w:r>
              <w:rPr>
                <w:noProof/>
                <w:sz w:val="20"/>
              </w:rPr>
              <w:t xml:space="preserve"> 01 05 02 (CA, SNE, INT - έμμεση έρευνα)</w:t>
            </w:r>
          </w:p>
          <w:p w:rsidR="00EB61C4" w:rsidRDefault="00EB61C4">
            <w:pPr>
              <w:pStyle w:val="Pagedecouverture"/>
              <w:jc w:val="left"/>
              <w:rPr>
                <w:noProof/>
                <w:sz w:val="20"/>
                <w:szCs w:val="20"/>
              </w:rPr>
            </w:pP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207"/>
          <w:jc w:val="center"/>
        </w:trPr>
        <w:tc>
          <w:tcPr>
            <w:tcW w:w="1652" w:type="pct"/>
            <w:gridSpan w:val="2"/>
            <w:vAlign w:val="center"/>
          </w:tcPr>
          <w:p w:rsidR="00EB61C4" w:rsidRDefault="00A8283A">
            <w:pPr>
              <w:pStyle w:val="Pagedecouverture"/>
              <w:jc w:val="left"/>
              <w:rPr>
                <w:noProof/>
                <w:sz w:val="20"/>
                <w:szCs w:val="20"/>
              </w:rPr>
            </w:pPr>
            <w:r>
              <w:rPr>
                <w:noProof/>
                <w:sz w:val="20"/>
              </w:rPr>
              <w:t>10 01 05 02 (CA, SNE, INT - άμεση έρευνα)</w:t>
            </w:r>
          </w:p>
        </w:tc>
        <w:tc>
          <w:tcPr>
            <w:tcW w:w="508" w:type="pct"/>
            <w:vAlign w:val="center"/>
          </w:tcPr>
          <w:p w:rsidR="00EB61C4" w:rsidRDefault="00EB61C4">
            <w:pPr>
              <w:pStyle w:val="Pagedecouverture"/>
              <w:rPr>
                <w:noProof/>
                <w:sz w:val="20"/>
                <w:szCs w:val="20"/>
              </w:rPr>
            </w:pPr>
          </w:p>
        </w:tc>
        <w:tc>
          <w:tcPr>
            <w:tcW w:w="508" w:type="pct"/>
            <w:vAlign w:val="center"/>
          </w:tcPr>
          <w:p w:rsidR="00EB61C4" w:rsidRDefault="00EB61C4">
            <w:pPr>
              <w:pStyle w:val="Pagedecouverture"/>
              <w:rPr>
                <w:noProof/>
                <w:sz w:val="20"/>
                <w:szCs w:val="20"/>
              </w:rPr>
            </w:pPr>
          </w:p>
        </w:tc>
        <w:tc>
          <w:tcPr>
            <w:tcW w:w="509" w:type="pct"/>
            <w:vAlign w:val="center"/>
          </w:tcPr>
          <w:p w:rsidR="00EB61C4" w:rsidRDefault="00EB61C4">
            <w:pPr>
              <w:pStyle w:val="Pagedecouverture"/>
              <w:rPr>
                <w:noProof/>
                <w:sz w:val="20"/>
                <w:szCs w:val="20"/>
              </w:rPr>
            </w:pPr>
          </w:p>
        </w:tc>
        <w:tc>
          <w:tcPr>
            <w:tcW w:w="509" w:type="pct"/>
            <w:gridSpan w:val="2"/>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c>
          <w:tcPr>
            <w:tcW w:w="438" w:type="pct"/>
            <w:vAlign w:val="center"/>
          </w:tcPr>
          <w:p w:rsidR="00EB61C4" w:rsidRDefault="00EB61C4">
            <w:pPr>
              <w:pStyle w:val="Pagedecouverture"/>
              <w:rPr>
                <w:noProof/>
                <w:sz w:val="20"/>
                <w:szCs w:val="20"/>
              </w:rPr>
            </w:pPr>
          </w:p>
        </w:tc>
      </w:tr>
      <w:tr w:rsidR="00EB61C4">
        <w:trPr>
          <w:trHeight w:val="461"/>
          <w:jc w:val="center"/>
        </w:trPr>
        <w:tc>
          <w:tcPr>
            <w:tcW w:w="1652" w:type="pct"/>
            <w:gridSpan w:val="2"/>
            <w:tcBorders>
              <w:bottom w:val="double" w:sz="4" w:space="0" w:color="auto"/>
            </w:tcBorders>
            <w:vAlign w:val="center"/>
          </w:tcPr>
          <w:p w:rsidR="00EB61C4" w:rsidRDefault="00A8283A">
            <w:pPr>
              <w:pStyle w:val="Pagedecouverture"/>
              <w:jc w:val="left"/>
              <w:rPr>
                <w:noProof/>
                <w:sz w:val="20"/>
                <w:szCs w:val="20"/>
              </w:rPr>
            </w:pPr>
            <w:r>
              <w:rPr>
                <w:noProof/>
                <w:sz w:val="20"/>
              </w:rPr>
              <w:t>Άλλες γραμμές του προϋπολογισμού (να προσδιοριστούν)</w:t>
            </w:r>
          </w:p>
        </w:tc>
        <w:tc>
          <w:tcPr>
            <w:tcW w:w="508" w:type="pct"/>
            <w:tcBorders>
              <w:bottom w:val="double" w:sz="4" w:space="0" w:color="auto"/>
            </w:tcBorders>
            <w:vAlign w:val="center"/>
          </w:tcPr>
          <w:p w:rsidR="00EB61C4" w:rsidRDefault="00EB61C4">
            <w:pPr>
              <w:pStyle w:val="Pagedecouverture"/>
              <w:rPr>
                <w:noProof/>
                <w:sz w:val="20"/>
                <w:szCs w:val="20"/>
              </w:rPr>
            </w:pPr>
          </w:p>
        </w:tc>
        <w:tc>
          <w:tcPr>
            <w:tcW w:w="508" w:type="pct"/>
            <w:tcBorders>
              <w:bottom w:val="double" w:sz="4" w:space="0" w:color="auto"/>
            </w:tcBorders>
            <w:vAlign w:val="center"/>
          </w:tcPr>
          <w:p w:rsidR="00EB61C4" w:rsidRDefault="00EB61C4">
            <w:pPr>
              <w:pStyle w:val="Pagedecouverture"/>
              <w:rPr>
                <w:noProof/>
                <w:sz w:val="20"/>
                <w:szCs w:val="20"/>
              </w:rPr>
            </w:pPr>
          </w:p>
        </w:tc>
        <w:tc>
          <w:tcPr>
            <w:tcW w:w="509" w:type="pct"/>
            <w:tcBorders>
              <w:bottom w:val="double" w:sz="4" w:space="0" w:color="auto"/>
            </w:tcBorders>
            <w:vAlign w:val="center"/>
          </w:tcPr>
          <w:p w:rsidR="00EB61C4" w:rsidRDefault="00EB61C4">
            <w:pPr>
              <w:pStyle w:val="Pagedecouverture"/>
              <w:rPr>
                <w:noProof/>
                <w:sz w:val="20"/>
                <w:szCs w:val="20"/>
              </w:rPr>
            </w:pPr>
          </w:p>
        </w:tc>
        <w:tc>
          <w:tcPr>
            <w:tcW w:w="509" w:type="pct"/>
            <w:gridSpan w:val="2"/>
            <w:tcBorders>
              <w:bottom w:val="double" w:sz="4" w:space="0" w:color="auto"/>
            </w:tcBorders>
          </w:tcPr>
          <w:p w:rsidR="00EB61C4" w:rsidRDefault="00EB61C4">
            <w:pPr>
              <w:pStyle w:val="Pagedecouverture"/>
              <w:rPr>
                <w:noProof/>
                <w:sz w:val="20"/>
                <w:szCs w:val="20"/>
              </w:rPr>
            </w:pPr>
          </w:p>
        </w:tc>
        <w:tc>
          <w:tcPr>
            <w:tcW w:w="438" w:type="pct"/>
            <w:tcBorders>
              <w:bottom w:val="double" w:sz="4" w:space="0" w:color="auto"/>
            </w:tcBorders>
            <w:vAlign w:val="center"/>
          </w:tcPr>
          <w:p w:rsidR="00EB61C4" w:rsidRDefault="00EB61C4">
            <w:pPr>
              <w:pStyle w:val="Pagedecouverture"/>
              <w:rPr>
                <w:noProof/>
                <w:sz w:val="20"/>
                <w:szCs w:val="20"/>
              </w:rPr>
            </w:pPr>
          </w:p>
        </w:tc>
        <w:tc>
          <w:tcPr>
            <w:tcW w:w="438" w:type="pct"/>
            <w:tcBorders>
              <w:bottom w:val="double" w:sz="4" w:space="0" w:color="auto"/>
            </w:tcBorders>
            <w:vAlign w:val="center"/>
          </w:tcPr>
          <w:p w:rsidR="00EB61C4" w:rsidRDefault="00EB61C4">
            <w:pPr>
              <w:pStyle w:val="Pagedecouverture"/>
              <w:rPr>
                <w:noProof/>
                <w:sz w:val="20"/>
                <w:szCs w:val="20"/>
              </w:rPr>
            </w:pPr>
          </w:p>
        </w:tc>
        <w:tc>
          <w:tcPr>
            <w:tcW w:w="438" w:type="pct"/>
            <w:tcBorders>
              <w:bottom w:val="double" w:sz="4" w:space="0" w:color="auto"/>
            </w:tcBorders>
            <w:vAlign w:val="center"/>
          </w:tcPr>
          <w:p w:rsidR="00EB61C4" w:rsidRDefault="00EB61C4">
            <w:pPr>
              <w:pStyle w:val="Pagedecouverture"/>
              <w:rPr>
                <w:noProof/>
                <w:sz w:val="20"/>
                <w:szCs w:val="20"/>
              </w:rPr>
            </w:pPr>
          </w:p>
        </w:tc>
      </w:tr>
      <w:tr w:rsidR="00EB61C4">
        <w:trPr>
          <w:trHeight w:val="396"/>
          <w:jc w:val="center"/>
        </w:trPr>
        <w:tc>
          <w:tcPr>
            <w:tcW w:w="1652" w:type="pct"/>
            <w:gridSpan w:val="2"/>
            <w:tcBorders>
              <w:top w:val="double" w:sz="4" w:space="0" w:color="auto"/>
            </w:tcBorders>
            <w:vAlign w:val="center"/>
          </w:tcPr>
          <w:p w:rsidR="00EB61C4" w:rsidRDefault="00A8283A">
            <w:pPr>
              <w:pStyle w:val="Pagedecouverture"/>
              <w:rPr>
                <w:b/>
                <w:noProof/>
                <w:sz w:val="20"/>
                <w:szCs w:val="20"/>
              </w:rPr>
            </w:pPr>
            <w:r>
              <w:rPr>
                <w:b/>
                <w:noProof/>
                <w:sz w:val="20"/>
              </w:rPr>
              <w:t>ΣYΝΟΛΟ</w:t>
            </w:r>
          </w:p>
        </w:tc>
        <w:tc>
          <w:tcPr>
            <w:tcW w:w="508" w:type="pct"/>
            <w:tcBorders>
              <w:top w:val="double" w:sz="4" w:space="0" w:color="auto"/>
            </w:tcBorders>
            <w:vAlign w:val="center"/>
          </w:tcPr>
          <w:p w:rsidR="00EB61C4" w:rsidRDefault="00A8283A">
            <w:pPr>
              <w:pStyle w:val="Pagedecouverture"/>
              <w:jc w:val="center"/>
              <w:rPr>
                <w:noProof/>
                <w:sz w:val="20"/>
                <w:szCs w:val="20"/>
              </w:rPr>
            </w:pPr>
            <w:r>
              <w:rPr>
                <w:noProof/>
                <w:sz w:val="20"/>
              </w:rPr>
              <w:t>0,25</w:t>
            </w:r>
          </w:p>
        </w:tc>
        <w:tc>
          <w:tcPr>
            <w:tcW w:w="508" w:type="pct"/>
            <w:tcBorders>
              <w:top w:val="double" w:sz="4" w:space="0" w:color="auto"/>
            </w:tcBorders>
            <w:vAlign w:val="center"/>
          </w:tcPr>
          <w:p w:rsidR="00EB61C4" w:rsidRDefault="00A8283A">
            <w:pPr>
              <w:pStyle w:val="Pagedecouverture"/>
              <w:jc w:val="center"/>
              <w:rPr>
                <w:noProof/>
                <w:sz w:val="20"/>
                <w:szCs w:val="20"/>
              </w:rPr>
            </w:pPr>
            <w:r>
              <w:rPr>
                <w:noProof/>
                <w:sz w:val="20"/>
              </w:rPr>
              <w:t>0,32</w:t>
            </w:r>
          </w:p>
        </w:tc>
        <w:tc>
          <w:tcPr>
            <w:tcW w:w="509" w:type="pct"/>
            <w:tcBorders>
              <w:top w:val="double" w:sz="4" w:space="0" w:color="auto"/>
            </w:tcBorders>
            <w:vAlign w:val="center"/>
          </w:tcPr>
          <w:p w:rsidR="00EB61C4" w:rsidRDefault="00A8283A">
            <w:pPr>
              <w:pStyle w:val="Pagedecouverture"/>
              <w:jc w:val="center"/>
              <w:rPr>
                <w:noProof/>
                <w:sz w:val="20"/>
                <w:szCs w:val="20"/>
              </w:rPr>
            </w:pPr>
            <w:r>
              <w:rPr>
                <w:noProof/>
                <w:sz w:val="20"/>
              </w:rPr>
              <w:t>0,16</w:t>
            </w:r>
          </w:p>
        </w:tc>
        <w:tc>
          <w:tcPr>
            <w:tcW w:w="509" w:type="pct"/>
            <w:gridSpan w:val="2"/>
            <w:tcBorders>
              <w:top w:val="double" w:sz="4" w:space="0" w:color="auto"/>
            </w:tcBorders>
            <w:vAlign w:val="center"/>
          </w:tcPr>
          <w:p w:rsidR="00EB61C4" w:rsidRDefault="00A8283A">
            <w:pPr>
              <w:pStyle w:val="Pagedecouverture"/>
              <w:jc w:val="center"/>
              <w:rPr>
                <w:noProof/>
                <w:sz w:val="20"/>
                <w:szCs w:val="20"/>
              </w:rPr>
            </w:pPr>
            <w:r>
              <w:rPr>
                <w:noProof/>
                <w:sz w:val="20"/>
              </w:rPr>
              <w:t>0,08</w:t>
            </w:r>
          </w:p>
        </w:tc>
        <w:tc>
          <w:tcPr>
            <w:tcW w:w="438" w:type="pct"/>
            <w:tcBorders>
              <w:top w:val="double" w:sz="4" w:space="0" w:color="auto"/>
            </w:tcBorders>
            <w:vAlign w:val="center"/>
          </w:tcPr>
          <w:p w:rsidR="00EB61C4" w:rsidRDefault="00A8283A">
            <w:pPr>
              <w:pStyle w:val="Pagedecouverture"/>
              <w:jc w:val="center"/>
              <w:rPr>
                <w:noProof/>
                <w:sz w:val="20"/>
                <w:szCs w:val="20"/>
              </w:rPr>
            </w:pPr>
            <w:r>
              <w:rPr>
                <w:noProof/>
                <w:sz w:val="20"/>
              </w:rPr>
              <w:t>0,08</w:t>
            </w:r>
          </w:p>
        </w:tc>
        <w:tc>
          <w:tcPr>
            <w:tcW w:w="438" w:type="pct"/>
            <w:tcBorders>
              <w:top w:val="double" w:sz="4" w:space="0" w:color="auto"/>
            </w:tcBorders>
            <w:vAlign w:val="center"/>
          </w:tcPr>
          <w:p w:rsidR="00EB61C4" w:rsidRDefault="00EB61C4">
            <w:pPr>
              <w:pStyle w:val="Pagedecouverture"/>
              <w:rPr>
                <w:noProof/>
                <w:sz w:val="20"/>
                <w:szCs w:val="20"/>
              </w:rPr>
            </w:pPr>
          </w:p>
        </w:tc>
        <w:tc>
          <w:tcPr>
            <w:tcW w:w="438" w:type="pct"/>
            <w:tcBorders>
              <w:top w:val="double" w:sz="4" w:space="0" w:color="auto"/>
            </w:tcBorders>
            <w:vAlign w:val="center"/>
          </w:tcPr>
          <w:p w:rsidR="00EB61C4" w:rsidRDefault="00EB61C4">
            <w:pPr>
              <w:pStyle w:val="Pagedecouverture"/>
              <w:rPr>
                <w:noProof/>
                <w:sz w:val="20"/>
                <w:szCs w:val="20"/>
              </w:rPr>
            </w:pPr>
          </w:p>
        </w:tc>
      </w:tr>
    </w:tbl>
    <w:p w:rsidR="00EB61C4" w:rsidRDefault="00A8283A">
      <w:pPr>
        <w:pStyle w:val="Text1"/>
        <w:ind w:left="426" w:right="261"/>
        <w:rPr>
          <w:noProof/>
          <w:sz w:val="21"/>
          <w:szCs w:val="21"/>
        </w:rPr>
      </w:pPr>
      <w:r>
        <w:rPr>
          <w:b/>
          <w:noProof/>
          <w:sz w:val="21"/>
        </w:rPr>
        <w:t>XX</w:t>
      </w:r>
      <w:r>
        <w:rPr>
          <w:noProof/>
          <w:sz w:val="21"/>
        </w:rPr>
        <w:t xml:space="preserve"> είναι ο σχετικός τομέας πολιτικής ή ο σχετικός τίτλος του προϋπολογισμού.</w:t>
      </w:r>
    </w:p>
    <w:p w:rsidR="00EB61C4" w:rsidRDefault="00A8283A">
      <w:pPr>
        <w:pStyle w:val="Text1"/>
        <w:ind w:left="426" w:right="261"/>
        <w:rPr>
          <w:noProof/>
          <w:sz w:val="21"/>
          <w:szCs w:val="21"/>
        </w:rPr>
      </w:pPr>
      <w:r>
        <w:rPr>
          <w:noProof/>
          <w:sz w:val="21"/>
        </w:rPr>
        <w:t xml:space="preserve">Οι ανάγκες σε ανθρώπινους πόρους θα καλυφθούν από το προσωπικό της ΓΔ που έχει ήδη διατεθεί για τη διαχείριση της δράσης ή/και έχει ανακατανεμηθεί στο εσωτερικό της ΓΔ και το οποίο </w:t>
      </w:r>
      <w:r>
        <w:rPr>
          <w:noProof/>
          <w:sz w:val="21"/>
        </w:rPr>
        <w:t>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EB61C4" w:rsidRDefault="00A8283A">
      <w:pPr>
        <w:pStyle w:val="Text1"/>
        <w:ind w:left="426" w:right="261"/>
        <w:rPr>
          <w:noProof/>
          <w:sz w:val="21"/>
          <w:szCs w:val="21"/>
        </w:rPr>
      </w:pPr>
      <w:r>
        <w:rPr>
          <w:noProof/>
          <w:sz w:val="21"/>
        </w:rPr>
        <w:t>Το κόστος του απαιτούμενου προσω</w:t>
      </w:r>
      <w:r>
        <w:rPr>
          <w:noProof/>
          <w:sz w:val="21"/>
        </w:rPr>
        <w:t>πικού εκτιμάται με βάση το 30% των ετήσιων δαπανών για έναν υπάλληλο βαθμού AD5 — AD12</w:t>
      </w:r>
    </w:p>
    <w:p w:rsidR="00EB61C4" w:rsidRDefault="00A8283A">
      <w:pPr>
        <w:pStyle w:val="Text1"/>
        <w:ind w:left="426" w:right="261"/>
        <w:rPr>
          <w:noProof/>
          <w:sz w:val="21"/>
          <w:szCs w:val="21"/>
        </w:rPr>
      </w:pPr>
      <w:r>
        <w:rPr>
          <w:noProof/>
          <w:sz w:val="21"/>
        </w:rPr>
        <w:t>Περιγραφή των προς εκτέλεση καθηκόντων:</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EB61C4">
        <w:tc>
          <w:tcPr>
            <w:tcW w:w="3686" w:type="dxa"/>
          </w:tcPr>
          <w:p w:rsidR="00EB61C4" w:rsidRDefault="00A8283A">
            <w:pPr>
              <w:pStyle w:val="Pagedecouverture"/>
              <w:rPr>
                <w:noProof/>
                <w:sz w:val="21"/>
                <w:szCs w:val="21"/>
              </w:rPr>
            </w:pPr>
            <w:r>
              <w:rPr>
                <w:noProof/>
                <w:sz w:val="21"/>
              </w:rPr>
              <w:t>Μόνιμοι και έκτακτοι υπάλληλοι</w:t>
            </w:r>
          </w:p>
        </w:tc>
        <w:tc>
          <w:tcPr>
            <w:tcW w:w="5953" w:type="dxa"/>
          </w:tcPr>
          <w:p w:rsidR="00EB61C4" w:rsidRDefault="00A8283A">
            <w:pPr>
              <w:pStyle w:val="Pagedecouverture"/>
              <w:rPr>
                <w:noProof/>
                <w:sz w:val="21"/>
                <w:szCs w:val="21"/>
              </w:rPr>
            </w:pPr>
            <w:r>
              <w:rPr>
                <w:noProof/>
                <w:sz w:val="21"/>
              </w:rPr>
              <w:t>Προϊστάμενοι μονάδας: Επιβλέπουν και διαχειρίζονται την πράξη, συμφωνούν ως προς τις εκθέσεις ανασ</w:t>
            </w:r>
            <w:r>
              <w:rPr>
                <w:noProof/>
                <w:sz w:val="21"/>
              </w:rPr>
              <w:t xml:space="preserve">κόπησης της δανειακής σύμβασης, ηγούνται αποστολών και αξιολογούν την πρόοδο ως προς τη συμμόρφωση με τους σχετικούς όρους. </w:t>
            </w:r>
          </w:p>
          <w:p w:rsidR="00EB61C4" w:rsidRDefault="00A8283A">
            <w:pPr>
              <w:pStyle w:val="Pagedecouverture"/>
              <w:rPr>
                <w:noProof/>
                <w:sz w:val="21"/>
                <w:szCs w:val="21"/>
              </w:rPr>
            </w:pPr>
            <w:r>
              <w:rPr>
                <w:noProof/>
                <w:sz w:val="21"/>
              </w:rPr>
              <w:t xml:space="preserve">Υπάλληλοι: Καταρτίζουν το </w:t>
            </w:r>
            <w:r>
              <w:rPr>
                <w:noProof/>
              </w:rPr>
              <w:t>μνημόνιο συνεννόησης, έχουν επαφές με τις αρχές και διεθνείς χρηματοδοτικούς οργανισμούς, καθώς και με εξ</w:t>
            </w:r>
            <w:r>
              <w:rPr>
                <w:noProof/>
              </w:rPr>
              <w:t>ωτερικούς εμπειρογνώμονες για την επιχειρησιακή αξιολόγηση και την εκ των υστέρων αξιολόγηση, διενεργούν αποστολές επιθεώρησης, καταρτίζουν εκθέσεις των υπηρεσιών της Επιτροπής και διαδικασίες της Επιτροπής σχετικά με τη διαχείριση της συνδρομής.</w:t>
            </w:r>
          </w:p>
        </w:tc>
      </w:tr>
      <w:tr w:rsidR="00EB61C4">
        <w:trPr>
          <w:trHeight w:val="65"/>
        </w:trPr>
        <w:tc>
          <w:tcPr>
            <w:tcW w:w="3686" w:type="dxa"/>
          </w:tcPr>
          <w:p w:rsidR="00EB61C4" w:rsidRDefault="00A8283A">
            <w:pPr>
              <w:pStyle w:val="Pagedecouverture"/>
              <w:rPr>
                <w:noProof/>
                <w:sz w:val="21"/>
                <w:szCs w:val="21"/>
              </w:rPr>
            </w:pPr>
            <w:r>
              <w:rPr>
                <w:noProof/>
                <w:sz w:val="21"/>
              </w:rPr>
              <w:t>Εξωτερικό προσωπικό</w:t>
            </w:r>
          </w:p>
        </w:tc>
        <w:tc>
          <w:tcPr>
            <w:tcW w:w="5953" w:type="dxa"/>
          </w:tcPr>
          <w:p w:rsidR="00EB61C4" w:rsidRDefault="00A8283A">
            <w:pPr>
              <w:pStyle w:val="Pagedecouverture"/>
              <w:rPr>
                <w:noProof/>
                <w:sz w:val="21"/>
                <w:szCs w:val="21"/>
              </w:rPr>
            </w:pPr>
            <w:r>
              <w:rPr>
                <w:noProof/>
              </w:rPr>
              <w:t>Α/Α</w:t>
            </w:r>
          </w:p>
        </w:tc>
      </w:tr>
    </w:tbl>
    <w:p w:rsidR="00A8283A" w:rsidRDefault="00A8283A">
      <w:pPr>
        <w:pStyle w:val="Heading40"/>
        <w:rPr>
          <w:lang w:val="fr-BE"/>
        </w:rPr>
      </w:pPr>
    </w:p>
    <w:p w:rsidR="00A8283A" w:rsidRDefault="00A8283A">
      <w:pPr>
        <w:pStyle w:val="Heading40"/>
        <w:rPr>
          <w:lang w:val="fr-BE"/>
        </w:rPr>
      </w:pPr>
    </w:p>
    <w:p w:rsidR="00EB61C4" w:rsidRDefault="00A8283A">
      <w:pPr>
        <w:pStyle w:val="Heading40"/>
      </w:pPr>
      <w:bookmarkStart w:id="0" w:name="_GoBack"/>
      <w:bookmarkEnd w:id="0"/>
      <w:r>
        <w:t>3.2.4.</w:t>
      </w:r>
      <w:r>
        <w:tab/>
        <w:t xml:space="preserve">Συμβατότητα με το ισχύον πολυετές δημοσιονομικό πλαίσιο </w:t>
      </w:r>
    </w:p>
    <w:p w:rsidR="00EB61C4" w:rsidRDefault="00A8283A">
      <w:pPr>
        <w:pStyle w:val="Text1"/>
        <w:rPr>
          <w:noProof/>
        </w:rPr>
      </w:pPr>
      <w:r>
        <w:rPr>
          <w:noProof/>
        </w:rPr>
        <w:t>X Η πρόταση/πρωτοβουλία είναι συμβατή με το ισχύον πολυετές δημοσιονομικό πλαίσιο.</w:t>
      </w:r>
    </w:p>
    <w:p w:rsidR="00EB61C4" w:rsidRDefault="00A8283A">
      <w:pPr>
        <w:pStyle w:val="Heading40"/>
      </w:pPr>
      <w:r>
        <w:t>3.2.5.</w:t>
      </w:r>
      <w:r>
        <w:tab/>
        <w:t xml:space="preserve">Συμμετοχή τρίτων μερών στη χρηματοδότηση </w:t>
      </w:r>
    </w:p>
    <w:p w:rsidR="00EB61C4" w:rsidRDefault="00A8283A">
      <w:pPr>
        <w:pStyle w:val="Text1"/>
        <w:rPr>
          <w:noProof/>
        </w:rPr>
      </w:pPr>
      <w:r>
        <w:rPr>
          <w:noProof/>
        </w:rPr>
        <w:t xml:space="preserve">X Η πρόταση/πρωτοβουλία δεν προβλέπει συγχρηματοδότηση από τρίτα μέρη. </w:t>
      </w:r>
    </w:p>
    <w:p w:rsidR="00EB61C4" w:rsidRDefault="00A8283A">
      <w:pPr>
        <w:pStyle w:val="Heading30"/>
      </w:pPr>
      <w:r>
        <w:rPr>
          <w:b/>
        </w:rPr>
        <w:t>3.3.</w:t>
      </w:r>
      <w:r>
        <w:tab/>
      </w:r>
      <w:r>
        <w:rPr>
          <w:b/>
        </w:rPr>
        <w:t xml:space="preserve">Εκτιμώμενες επιπτώσεις στα έσοδα </w:t>
      </w:r>
    </w:p>
    <w:p w:rsidR="00EB61C4" w:rsidRDefault="00A8283A">
      <w:pPr>
        <w:pStyle w:val="Text1"/>
        <w:rPr>
          <w:noProof/>
        </w:rPr>
      </w:pPr>
      <w:r>
        <w:rPr>
          <w:noProof/>
        </w:rPr>
        <w:t>Χ</w:t>
      </w:r>
      <w:r>
        <w:rPr>
          <w:noProof/>
        </w:rPr>
        <w:tab/>
        <w:t>Η πρόταση/πρωτοβουλία δεν έχει δημοσιονομικές επιπτώσεις στα έσοδα</w:t>
      </w:r>
    </w:p>
    <w:sectPr w:rsidR="00EB61C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C4" w:rsidRDefault="00A8283A">
      <w:r>
        <w:separator/>
      </w:r>
    </w:p>
  </w:endnote>
  <w:endnote w:type="continuationSeparator" w:id="0">
    <w:p w:rsidR="00EB61C4" w:rsidRDefault="00A8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A8283A">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A8283A">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w:instrText>
    </w:r>
    <w:r>
      <w:instrText xml:space="preserve">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A8283A">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A8283A">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w:instrText>
    </w:r>
    <w:r>
      <w:instrText xml:space="preserve">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C4" w:rsidRDefault="00A8283A">
      <w:r>
        <w:separator/>
      </w:r>
    </w:p>
  </w:footnote>
  <w:footnote w:type="continuationSeparator" w:id="0">
    <w:p w:rsidR="00EB61C4" w:rsidRDefault="00A8283A">
      <w:r>
        <w:continuationSeparator/>
      </w:r>
    </w:p>
  </w:footnote>
  <w:footnote w:id="1">
    <w:p w:rsidR="00EB61C4" w:rsidRDefault="00A8283A">
      <w:pPr>
        <w:pStyle w:val="FootnoteText"/>
      </w:pPr>
      <w:r>
        <w:rPr>
          <w:rStyle w:val="FootnoteReference"/>
        </w:rPr>
        <w:footnoteRef/>
      </w:r>
      <w:r>
        <w:tab/>
        <w:t xml:space="preserve">Επιστολή της 20ης Αυγούστου 2015 από τον Πρωθυπουργό </w:t>
      </w:r>
      <w:proofErr w:type="spellStart"/>
      <w:r>
        <w:t>Στρέλετ</w:t>
      </w:r>
      <w:proofErr w:type="spellEnd"/>
      <w:r>
        <w:t xml:space="preserve"> προς τον </w:t>
      </w:r>
      <w:r>
        <w:t xml:space="preserve">Επίτροπο </w:t>
      </w:r>
      <w:proofErr w:type="spellStart"/>
      <w:r>
        <w:t>Μοσκοβισί</w:t>
      </w:r>
      <w:proofErr w:type="spellEnd"/>
      <w:r>
        <w:t xml:space="preserve"> και επιστολή της 25ης Μαρτίου 2016 από τον Πρωθυπουργό </w:t>
      </w:r>
      <w:proofErr w:type="spellStart"/>
      <w:r>
        <w:t>Φίλιπ</w:t>
      </w:r>
      <w:proofErr w:type="spellEnd"/>
      <w:r>
        <w:t xml:space="preserve"> στον Αντιπρόεδρο </w:t>
      </w:r>
      <w:proofErr w:type="spellStart"/>
      <w:r>
        <w:t>Ντομπρόβσκις</w:t>
      </w:r>
      <w:proofErr w:type="spellEnd"/>
      <w:r>
        <w:t>.</w:t>
      </w:r>
    </w:p>
  </w:footnote>
  <w:footnote w:id="2">
    <w:p w:rsidR="00EB61C4" w:rsidRDefault="00A8283A">
      <w:pPr>
        <w:pStyle w:val="FootnoteText"/>
      </w:pPr>
      <w:r>
        <w:rPr>
          <w:rStyle w:val="FootnoteReference"/>
        </w:rPr>
        <w:footnoteRef/>
      </w:r>
      <w:r>
        <w:tab/>
      </w:r>
      <w:r>
        <w:t>Απόφαση 938/2010/ΕΕ του Ευρωπαϊκού Κοινοβουλίου και του Συμβουλίου, της 20ής Οκτωβρίου 2010, για τη χορήγηση μακροοικονομικής χρηματοδοτικής συ</w:t>
      </w:r>
      <w:r>
        <w:t>νδρομής στη Δημοκρατία της Μολδαβίας (ΕΕ L 277 της 21.10.2010, σ. 1).</w:t>
      </w:r>
    </w:p>
  </w:footnote>
  <w:footnote w:id="3">
    <w:p w:rsidR="00EB61C4" w:rsidRDefault="00A8283A">
      <w:pPr>
        <w:pStyle w:val="FootnoteText"/>
      </w:pPr>
      <w:r>
        <w:rPr>
          <w:rStyle w:val="FootnoteReference"/>
        </w:rPr>
        <w:footnoteRef/>
      </w:r>
      <w:r>
        <w:tab/>
      </w:r>
      <w:r>
        <w:t xml:space="preserve">Το Ταμείο Εγγυήσεων θα πρέπει να τροφοδοτείται σε ποσοστό 9% των </w:t>
      </w:r>
      <w:proofErr w:type="spellStart"/>
      <w:r>
        <w:t>εκταμιευθέντων</w:t>
      </w:r>
      <w:proofErr w:type="spellEnd"/>
      <w:r>
        <w:t xml:space="preserve"> ποσών δύο έτη μετά τις εκταμιεύσεις.</w:t>
      </w:r>
    </w:p>
  </w:footnote>
  <w:footnote w:id="4">
    <w:p w:rsidR="00EB61C4" w:rsidRDefault="00A8283A">
      <w:pPr>
        <w:pStyle w:val="FootnoteText"/>
      </w:pPr>
      <w:r>
        <w:rPr>
          <w:rStyle w:val="FootnoteReference"/>
        </w:rPr>
        <w:footnoteRef/>
      </w:r>
      <w:r>
        <w:tab/>
      </w:r>
      <w:r>
        <w:t>ΕΕ C [...], [...], σ. [...].</w:t>
      </w:r>
    </w:p>
  </w:footnote>
  <w:footnote w:id="5">
    <w:p w:rsidR="00EB61C4" w:rsidRDefault="00A8283A">
      <w:pPr>
        <w:pStyle w:val="FootnoteText"/>
      </w:pPr>
      <w:r>
        <w:rPr>
          <w:rStyle w:val="FootnoteReference"/>
        </w:rPr>
        <w:footnoteRef/>
      </w:r>
      <w:r>
        <w:tab/>
      </w:r>
      <w:r>
        <w:t>Θέση του Ευρωπαϊκού Κοινοβουλίου τ</w:t>
      </w:r>
      <w:r>
        <w:t>ης... και απόφαση του Συμβουλίου της....</w:t>
      </w:r>
    </w:p>
  </w:footnote>
  <w:footnote w:id="6">
    <w:p w:rsidR="00EB61C4" w:rsidRDefault="00A8283A">
      <w:pPr>
        <w:pStyle w:val="FootnoteText"/>
      </w:pPr>
      <w:r>
        <w:rPr>
          <w:rStyle w:val="FootnoteReference"/>
        </w:rPr>
        <w:footnoteRef/>
      </w:r>
      <w:r>
        <w:tab/>
      </w:r>
      <w:r>
        <w:t>Κανονισμός (ΕΕ)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w:t>
      </w:r>
      <w:r>
        <w:t>στικών αρμοδιοτήτων από την Επιτροπή (ΕΕ L 55 της 28.2.2011, σ. 13).</w:t>
      </w:r>
    </w:p>
  </w:footnote>
  <w:footnote w:id="7">
    <w:p w:rsidR="00EB61C4" w:rsidRDefault="00A8283A">
      <w:pPr>
        <w:pStyle w:val="FootnoteText"/>
      </w:pPr>
      <w:r>
        <w:rPr>
          <w:rStyle w:val="FootnoteReference"/>
        </w:rPr>
        <w:footnoteRef/>
      </w:r>
      <w:r>
        <w:tab/>
      </w:r>
      <w:r>
        <w:t xml:space="preserve">Απόφαση 2010/427/ΕΕ </w:t>
      </w:r>
      <w:r>
        <w:rPr>
          <w:color w:val="000000"/>
        </w:rPr>
        <w:t>του Συμβουλίου, της 26ης Ιουλίου 2010</w:t>
      </w:r>
      <w:r>
        <w:t xml:space="preserve"> , για τον καθορισμό της οργάνωσης και της λειτουργίας της Ευρωπαϊκής Υπηρεσίας Εξωτερικής Δράσης (ΕΕ L 201 της 3.8.2010, σ. 30)</w:t>
      </w:r>
      <w:r>
        <w:t>.</w:t>
      </w:r>
    </w:p>
  </w:footnote>
  <w:footnote w:id="8">
    <w:p w:rsidR="00EB61C4" w:rsidRDefault="00A8283A">
      <w:pPr>
        <w:pStyle w:val="FootnoteText"/>
      </w:pPr>
      <w:r>
        <w:rPr>
          <w:rStyle w:val="FootnoteReference"/>
        </w:rPr>
        <w:footnoteRef/>
      </w:r>
      <w:r>
        <w:tab/>
      </w:r>
      <w:r>
        <w:t xml:space="preserve">Κανονισμός (EΚ, </w:t>
      </w:r>
      <w:proofErr w:type="spellStart"/>
      <w:r>
        <w:t>Ευρατόμ</w:t>
      </w:r>
      <w:proofErr w:type="spellEnd"/>
      <w:r>
        <w:t>) 480/2009 του Συμβουλίου, της 25ης Μαΐου 2009, για την ίδρυση Ταμείου Εγγυήσεων για τις εξωτερικές δράσεις (ΕΕ L 145 της 10.06.2009, σ. 10).</w:t>
      </w:r>
    </w:p>
  </w:footnote>
  <w:footnote w:id="9">
    <w:p w:rsidR="00EB61C4" w:rsidRDefault="00A8283A">
      <w:pPr>
        <w:pStyle w:val="FootnoteText"/>
      </w:pPr>
      <w:r>
        <w:rPr>
          <w:rStyle w:val="FootnoteReference"/>
        </w:rPr>
        <w:footnoteRef/>
      </w:r>
      <w:r>
        <w:tab/>
      </w:r>
      <w:r>
        <w:t xml:space="preserve">Κανονισμός (ΕΕ, </w:t>
      </w:r>
      <w:proofErr w:type="spellStart"/>
      <w:r>
        <w:t>Ευρατόμ</w:t>
      </w:r>
      <w:proofErr w:type="spellEnd"/>
      <w:r>
        <w:t>) 966/2012 του Ευρωπαϊκού Κοινοβουλίου και του Συμβουλίου, της</w:t>
      </w:r>
      <w:r>
        <w:t xml:space="preserve"> 25ης Οκτωβρίου 2012, σχετικά με τους δημοσιονομικούς κανόνες που εφαρμόζονται στον γενικό προϋπολογισμό της Ένωσης και την κατάργηση του κανονισμού (ΕΚ, </w:t>
      </w:r>
      <w:proofErr w:type="spellStart"/>
      <w:r>
        <w:t>Ευρατόμ</w:t>
      </w:r>
      <w:proofErr w:type="spellEnd"/>
      <w:r>
        <w:t xml:space="preserve">) 1605/2002 του Συμβουλίου </w:t>
      </w:r>
      <w:r>
        <w:rPr>
          <w:rStyle w:val="Emphasis"/>
          <w:i w:val="0"/>
        </w:rPr>
        <w:t>(ΕΕ L 298 της 26.10.2012, σ. 1).</w:t>
      </w:r>
    </w:p>
  </w:footnote>
  <w:footnote w:id="10">
    <w:p w:rsidR="00EB61C4" w:rsidRDefault="00A8283A">
      <w:pPr>
        <w:pStyle w:val="FootnoteText"/>
      </w:pPr>
      <w:r>
        <w:rPr>
          <w:rStyle w:val="FootnoteReference"/>
        </w:rPr>
        <w:footnoteRef/>
      </w:r>
      <w:r>
        <w:tab/>
      </w:r>
      <w:r>
        <w:t>Κατ’ εξουσιοδότηση κανονισμός (ΕΕ</w:t>
      </w:r>
      <w:r>
        <w:t xml:space="preserve">) 1268/2012 της Επιτροπής, της 29ης Οκτωβρίου 2012, σχετικά με τους κανόνες εφαρμογής του κανονισμού (ΕΕ, </w:t>
      </w:r>
      <w:proofErr w:type="spellStart"/>
      <w:r>
        <w:t>Ευρατόμ</w:t>
      </w:r>
      <w:proofErr w:type="spellEnd"/>
      <w:r>
        <w:t>) 966/2012 για τους δημοσιονομικούς κανόνες που εφαρμόζονται στον γενικό προϋπολογισμό της Ένωσης</w:t>
      </w:r>
      <w:r>
        <w:rPr>
          <w:color w:val="000000"/>
        </w:rPr>
        <w:t xml:space="preserve"> </w:t>
      </w:r>
      <w:r>
        <w:t>(ΕΕ L 362 της 31.12.2012, σ.1).</w:t>
      </w:r>
    </w:p>
  </w:footnote>
  <w:footnote w:id="11">
    <w:p w:rsidR="00EB61C4" w:rsidRDefault="00A8283A">
      <w:pPr>
        <w:pStyle w:val="FootnoteText"/>
      </w:pPr>
      <w:r>
        <w:rPr>
          <w:rStyle w:val="FootnoteReference"/>
        </w:rPr>
        <w:footnoteRef/>
      </w:r>
      <w:r>
        <w:tab/>
      </w:r>
      <w:r>
        <w:t xml:space="preserve">Κανονισμός </w:t>
      </w:r>
      <w:r>
        <w:t xml:space="preserve">(ΕΚ, </w:t>
      </w:r>
      <w:proofErr w:type="spellStart"/>
      <w:r>
        <w:t>Ευρατόμ</w:t>
      </w:r>
      <w:proofErr w:type="spellEnd"/>
      <w:r>
        <w:t>) 2988/95 του Συμβουλίου, της 18ης Δεκεμβρίου 1995, σχετικά με την προστασία των οικονομικών συμφερόντων των Ευρωπαϊκών Κοινοτήτων (ΕΕ L 312 της 23.12.1995, σ. 1).</w:t>
      </w:r>
    </w:p>
  </w:footnote>
  <w:footnote w:id="12">
    <w:p w:rsidR="00EB61C4" w:rsidRDefault="00A8283A">
      <w:pPr>
        <w:pStyle w:val="FootnoteText"/>
      </w:pPr>
      <w:r>
        <w:rPr>
          <w:rStyle w:val="FootnoteReference"/>
        </w:rPr>
        <w:footnoteRef/>
      </w:r>
      <w:r>
        <w:tab/>
      </w:r>
      <w:r>
        <w:t>Κανονισμός (</w:t>
      </w:r>
      <w:proofErr w:type="spellStart"/>
      <w:r>
        <w:t>Ευρατόμ</w:t>
      </w:r>
      <w:proofErr w:type="spellEnd"/>
      <w:r>
        <w:t>, ΕΚ) 2185/96 του Συμβουλίου, της 11ης Νοεμβρίου 1996, σχετ</w:t>
      </w:r>
      <w:r>
        <w:t>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15.11.1996, σ. 2).</w:t>
      </w:r>
    </w:p>
  </w:footnote>
  <w:footnote w:id="13">
    <w:p w:rsidR="00EB61C4" w:rsidRDefault="00A8283A">
      <w:pPr>
        <w:pStyle w:val="FootnoteText"/>
      </w:pPr>
      <w:r>
        <w:rPr>
          <w:rStyle w:val="FootnoteReference"/>
        </w:rPr>
        <w:footnoteRef/>
      </w:r>
      <w:r>
        <w:tab/>
      </w:r>
      <w:r>
        <w:rPr>
          <w:color w:val="000000"/>
        </w:rPr>
        <w:t xml:space="preserve">Κανονισμός (ΕΕ, </w:t>
      </w:r>
      <w:proofErr w:type="spellStart"/>
      <w:r>
        <w:rPr>
          <w:color w:val="000000"/>
        </w:rPr>
        <w:t>Ευρατόμ</w:t>
      </w:r>
      <w:proofErr w:type="spellEnd"/>
      <w:r>
        <w:rPr>
          <w:color w:val="000000"/>
        </w:rPr>
        <w:t>) 883/2013 του Ε</w:t>
      </w:r>
      <w:r>
        <w:rPr>
          <w:color w:val="000000"/>
        </w:rPr>
        <w:t xml:space="preserve">υρωπαϊκού Κοινοβουλίου και του Συμβουλίου, της </w:t>
      </w:r>
      <w:r>
        <w:t>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1073/1999 του Ευρωπαϊκού Κοινοβουλίου και το</w:t>
      </w:r>
      <w:r>
        <w:t>υ Συμβουλίου και του κανονισμού (</w:t>
      </w:r>
      <w:proofErr w:type="spellStart"/>
      <w:r>
        <w:t>Ευρατόμ</w:t>
      </w:r>
      <w:proofErr w:type="spellEnd"/>
      <w:r>
        <w:t>) 1074/1999 του Συμβουλίου (ΕΕ L 248 της 18.9.2013, σ. 1).</w:t>
      </w:r>
    </w:p>
  </w:footnote>
  <w:footnote w:id="14">
    <w:p w:rsidR="00EB61C4" w:rsidRDefault="00A8283A">
      <w:pPr>
        <w:pStyle w:val="FootnoteText"/>
      </w:pPr>
      <w:r>
        <w:rPr>
          <w:rStyle w:val="FootnoteReference"/>
        </w:rPr>
        <w:footnoteRef/>
      </w:r>
      <w:r>
        <w:tab/>
      </w:r>
      <w:r>
        <w:t>ΔΒΔ: Διαχείριση βάσει δραστηριοτήτων — ΠΒΔ: Προϋπολογισμός βάσει δραστηριοτήτων.</w:t>
      </w:r>
    </w:p>
  </w:footnote>
  <w:footnote w:id="15">
    <w:p w:rsidR="00EB61C4" w:rsidRDefault="00A8283A">
      <w:pPr>
        <w:pStyle w:val="FootnoteText"/>
      </w:pPr>
      <w:r>
        <w:rPr>
          <w:rStyle w:val="FootnoteReference"/>
        </w:rPr>
        <w:footnoteRef/>
      </w:r>
      <w:r>
        <w:tab/>
      </w:r>
      <w:r>
        <w:t>Η εκ των υστέρων αξιολόγηση της μακροοικονομικής χρηματοδοτικής συνδρομή</w:t>
      </w:r>
      <w:r>
        <w:t xml:space="preserve">ς που χορηγήθηκε το 2010-2012 στη Δημοκρατία της Μολδαβίας είναι διαθέσιμη στον εξυπηρετητή </w:t>
      </w:r>
      <w:proofErr w:type="spellStart"/>
      <w:r>
        <w:t>Europa</w:t>
      </w:r>
      <w:proofErr w:type="spellEnd"/>
      <w:r>
        <w:t>:</w:t>
      </w:r>
      <w:r>
        <w:tab/>
      </w:r>
      <w:r>
        <w:br/>
      </w:r>
      <w:hyperlink r:id="rId1">
        <w:r>
          <w:rPr>
            <w:rStyle w:val="Hyperlink"/>
          </w:rPr>
          <w:t>http://ec.europa.eu/dgs/economy_financ</w:t>
        </w:r>
        <w:r>
          <w:rPr>
            <w:rStyle w:val="Hyperlink"/>
          </w:rPr>
          <w:t>e/evaluation/pdf/mfa_moldova_evaluation_final_report_en.pdf</w:t>
        </w:r>
      </w:hyperlink>
    </w:p>
  </w:footnote>
  <w:footnote w:id="16">
    <w:p w:rsidR="00EB61C4" w:rsidRDefault="00A8283A">
      <w:pPr>
        <w:pStyle w:val="FootnoteText"/>
      </w:pPr>
      <w:r>
        <w:rPr>
          <w:rStyle w:val="FootnoteReference"/>
        </w:rPr>
        <w:footnoteRef/>
      </w:r>
      <w:r>
        <w:tab/>
      </w:r>
      <w:r>
        <w:t>Το 2016 ο αντίκτυπος είναι 60 000 EUR που αντιστοιχούν στην επιχειρησιακή αξιολόγηση των χρηματοδοτικών και διοικητικών κυκλωμάτων της Μολδαβίας.</w:t>
      </w:r>
    </w:p>
  </w:footnote>
  <w:footnote w:id="17">
    <w:p w:rsidR="00EB61C4" w:rsidRDefault="00A8283A">
      <w:pPr>
        <w:pStyle w:val="FootnoteText"/>
      </w:pPr>
      <w:r>
        <w:rPr>
          <w:rStyle w:val="FootnoteReference"/>
        </w:rPr>
        <w:footnoteRef/>
      </w:r>
      <w:r>
        <w:tab/>
      </w:r>
      <w:r>
        <w:t>Οι λεπτομέρειες σχετικά με τους τρόπους διαχεί</w:t>
      </w:r>
      <w:r>
        <w:t xml:space="preserve">ρισης, καθώς και οι παραπομπές στον δημοσιονομικό κανονισμό είναι διαθέσιμες στον εξυπηρετητή </w:t>
      </w:r>
      <w:proofErr w:type="spellStart"/>
      <w:r>
        <w:t>Europa</w:t>
      </w:r>
      <w:proofErr w:type="spellEnd"/>
      <w:r>
        <w:t xml:space="preserve">: </w:t>
      </w:r>
      <w:hyperlink r:id="rId2">
        <w:r>
          <w:rPr>
            <w:rStyle w:val="Hyperlink"/>
          </w:rPr>
          <w:t>http://ec.europa.eu/budget/explained/management/managt_who/who_en</w:t>
        </w:r>
        <w:r>
          <w:rPr>
            <w:rStyle w:val="Hyperlink"/>
          </w:rPr>
          <w:t>.cfm</w:t>
        </w:r>
      </w:hyperlink>
    </w:p>
  </w:footnote>
  <w:footnote w:id="18">
    <w:p w:rsidR="00EB61C4" w:rsidRDefault="00A8283A">
      <w:pPr>
        <w:pStyle w:val="FootnoteText"/>
      </w:pPr>
      <w:r>
        <w:rPr>
          <w:rStyle w:val="FootnoteReference"/>
        </w:rPr>
        <w:footnoteRef/>
      </w:r>
      <w:r>
        <w:tab/>
      </w:r>
      <w:r>
        <w:t>ΔΠ= Διαχωριζόμενες πιστώσεις / ΜΔΠ= Μη διαχωριζόμενες πιστώσεις</w:t>
      </w:r>
    </w:p>
  </w:footnote>
  <w:footnote w:id="19">
    <w:p w:rsidR="00EB61C4" w:rsidRDefault="00A8283A">
      <w:pPr>
        <w:pStyle w:val="FootnoteText"/>
      </w:pPr>
      <w:r>
        <w:rPr>
          <w:rStyle w:val="FootnoteReference"/>
        </w:rPr>
        <w:footnoteRef/>
      </w:r>
      <w:r>
        <w:tab/>
      </w:r>
      <w:r>
        <w:t xml:space="preserve">ΕΖΕΣ: Ευρωπαϊκή Ζώνη Ελεύθερων Συναλλαγών. </w:t>
      </w:r>
    </w:p>
  </w:footnote>
  <w:footnote w:id="20">
    <w:p w:rsidR="00EB61C4" w:rsidRDefault="00A8283A">
      <w:pPr>
        <w:pStyle w:val="FootnoteText"/>
      </w:pPr>
      <w:r>
        <w:rPr>
          <w:rStyle w:val="FootnoteReference"/>
        </w:rPr>
        <w:footnoteRef/>
      </w:r>
      <w:r>
        <w:tab/>
      </w:r>
      <w:r>
        <w:t>Υποψήφιες χώρες και, εφόσον ισχύει, δυνάμει υποψήφιες για ένταξη χώρες των Δυτικών Βαλκανίων.</w:t>
      </w:r>
    </w:p>
  </w:footnote>
  <w:footnote w:id="21">
    <w:p w:rsidR="00EB61C4" w:rsidRDefault="00A8283A">
      <w:pPr>
        <w:pStyle w:val="FootnoteText"/>
      </w:pPr>
      <w:r>
        <w:rPr>
          <w:rStyle w:val="FootnoteReference"/>
        </w:rPr>
        <w:footnoteRef/>
      </w:r>
      <w:r>
        <w:tab/>
      </w:r>
      <w:r>
        <w:t xml:space="preserve">Κανονισμός του Συμβουλίου (ΕΚ, </w:t>
      </w:r>
      <w:proofErr w:type="spellStart"/>
      <w:r>
        <w:t>Ευρατόμ</w:t>
      </w:r>
      <w:proofErr w:type="spellEnd"/>
      <w:r>
        <w:t xml:space="preserve">) </w:t>
      </w:r>
      <w:r>
        <w:t>480/2009 του Συμβουλίου, της 25ης Μαΐου 2009, για την ίδρυση Ταμείου Εγγύησης για τις εξωτερικές δράσεις, ΕΕ L 145 της 10.6.2009, σ. 10.</w:t>
      </w:r>
    </w:p>
  </w:footnote>
  <w:footnote w:id="22">
    <w:p w:rsidR="00EB61C4" w:rsidRDefault="00A8283A">
      <w:pPr>
        <w:pStyle w:val="FootnoteText"/>
      </w:pPr>
      <w:r>
        <w:rPr>
          <w:rStyle w:val="FootnoteReference"/>
        </w:rPr>
        <w:footnoteRef/>
      </w:r>
      <w:r>
        <w:tab/>
      </w:r>
      <w:r>
        <w:t>Έτος έναρξης εφαρμογής της πρότασης/πρωτοβουλίας.</w:t>
      </w:r>
    </w:p>
  </w:footnote>
  <w:footnote w:id="23">
    <w:p w:rsidR="00EB61C4" w:rsidRDefault="00A8283A">
      <w:pPr>
        <w:pStyle w:val="FootnoteText"/>
      </w:pPr>
      <w:r>
        <w:rPr>
          <w:rStyle w:val="FootnoteReference"/>
        </w:rPr>
        <w:footnoteRef/>
      </w:r>
      <w:r>
        <w:tab/>
      </w:r>
      <w:r>
        <w:t>Τεχνική και/ή διοικητική βοήθεια και δαπάνες στήριξης της εφαρμογ</w:t>
      </w:r>
      <w:r>
        <w:t>ής προγραμμάτων και/ή δράσεων της ΕΕ (πρώην γραμμές «BA»), έμμεση έρευνα, άμεση έρευνα.</w:t>
      </w:r>
    </w:p>
  </w:footnote>
  <w:footnote w:id="24">
    <w:p w:rsidR="00EB61C4" w:rsidRDefault="00A8283A">
      <w:pPr>
        <w:pStyle w:val="FootnoteText"/>
      </w:pPr>
      <w:r>
        <w:rPr>
          <w:rStyle w:val="FootnoteReference"/>
        </w:rPr>
        <w:footnoteRef/>
      </w:r>
      <w:r>
        <w:tab/>
      </w:r>
      <w:r>
        <w:t>Έτος έναρξης εφαρμογής της πρότασης.</w:t>
      </w:r>
    </w:p>
  </w:footnote>
  <w:footnote w:id="25">
    <w:p w:rsidR="00EB61C4" w:rsidRDefault="00A8283A">
      <w:pPr>
        <w:pStyle w:val="FootnoteText"/>
      </w:pPr>
      <w:r>
        <w:rPr>
          <w:rStyle w:val="FootnoteReference"/>
        </w:rPr>
        <w:footnoteRef/>
      </w:r>
      <w:r>
        <w:tab/>
      </w:r>
      <w:r>
        <w:t>Αποτελέσματα θα είναι τα προϊόντα και οι υπηρεσίες που θα παρασχεθούν (παράδειγμα: αριθμός ανταλλαγών σπουδαστών που θα χρηματο</w:t>
      </w:r>
      <w:r>
        <w:t xml:space="preserve">δοτηθούν, αριθμός </w:t>
      </w:r>
      <w:proofErr w:type="spellStart"/>
      <w:r>
        <w:t>χλμ</w:t>
      </w:r>
      <w:proofErr w:type="spellEnd"/>
      <w:r>
        <w:t xml:space="preserve"> οδών που θα κατασκευαστούν κ.λπ.).  </w:t>
      </w:r>
    </w:p>
  </w:footnote>
  <w:footnote w:id="26">
    <w:p w:rsidR="00EB61C4" w:rsidRDefault="00A8283A">
      <w:pPr>
        <w:pStyle w:val="FootnoteText"/>
      </w:pPr>
      <w:r>
        <w:rPr>
          <w:rStyle w:val="FootnoteReference"/>
        </w:rPr>
        <w:footnoteRef/>
      </w:r>
      <w:r>
        <w:tab/>
      </w:r>
      <w:r>
        <w:t xml:space="preserve">Όπως περιγράφεται στο τμήμα 1.4.2. «Ειδικός(-οί) στόχος(-οι)…».  </w:t>
      </w:r>
    </w:p>
  </w:footnote>
  <w:footnote w:id="27">
    <w:p w:rsidR="00EB61C4" w:rsidRDefault="00A8283A">
      <w:pPr>
        <w:pStyle w:val="FootnoteText"/>
      </w:pPr>
      <w:r>
        <w:rPr>
          <w:rStyle w:val="FootnoteReference"/>
        </w:rPr>
        <w:footnoteRef/>
      </w:r>
      <w:r>
        <w:tab/>
      </w:r>
      <w:r>
        <w:t>Έτος έναρξης εφαρμογής της πρότασης/πρωτοβουλίας.</w:t>
      </w:r>
    </w:p>
  </w:footnote>
  <w:footnote w:id="28">
    <w:p w:rsidR="00EB61C4" w:rsidRDefault="00A8283A">
      <w:pPr>
        <w:pStyle w:val="FootnoteText"/>
      </w:pPr>
      <w:r>
        <w:rPr>
          <w:rStyle w:val="FootnoteReference"/>
        </w:rPr>
        <w:footnoteRef/>
      </w:r>
      <w:r>
        <w:tab/>
      </w:r>
      <w:r>
        <w:t>Τεχνική και/ή διοικητική βοήθεια και δαπάνες στήριξης της εφαρμογής προγραμ</w:t>
      </w:r>
      <w:r>
        <w:t>μάτων και/ή δράσεων της ΕΕ (πρώην γραμμές «BA»), έμμεση έρευνα, άμεση έρευνα.</w:t>
      </w:r>
    </w:p>
  </w:footnote>
  <w:footnote w:id="29">
    <w:p w:rsidR="00EB61C4" w:rsidRDefault="00A8283A">
      <w:pPr>
        <w:pStyle w:val="FootnoteText"/>
      </w:pPr>
      <w:r>
        <w:rPr>
          <w:rStyle w:val="FootnoteReference"/>
        </w:rPr>
        <w:footnoteRef/>
      </w:r>
      <w:r>
        <w:tab/>
      </w:r>
      <w:r>
        <w:t xml:space="preserve">CA= Συμβασιούχος υπάλληλος· LA = Τοπικός υπάλληλος· SNE = Αποσπασμένος εθνικός εμπειρογνώμονας· INT = προσωρινό προσωπικό οργανισμού· JED = Νέος εμπειρογνώμονας σε αντιπροσωπεία. </w:t>
      </w:r>
    </w:p>
  </w:footnote>
  <w:footnote w:id="30">
    <w:p w:rsidR="00EB61C4" w:rsidRDefault="00A8283A">
      <w:pPr>
        <w:pStyle w:val="FootnoteText"/>
      </w:pPr>
      <w:r>
        <w:rPr>
          <w:rStyle w:val="FootnoteReference"/>
        </w:rPr>
        <w:footnoteRef/>
      </w:r>
      <w:r>
        <w:tab/>
      </w:r>
      <w:r>
        <w:t>Επιμέρους ανώτατο όριο εξωτερικού προσωπικού που καλύπτεται από επιχειρησι</w:t>
      </w:r>
      <w:r>
        <w:t>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4" w:rsidRDefault="00EB6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2"/>
  </w:num>
  <w:num w:numId="25">
    <w:abstractNumId w:val="12"/>
  </w:num>
  <w:num w:numId="26">
    <w:abstractNumId w:val="14"/>
  </w:num>
  <w:num w:numId="27">
    <w:abstractNumId w:val="10"/>
  </w:num>
  <w:num w:numId="28">
    <w:abstractNumId w:val="21"/>
  </w:num>
  <w:num w:numId="29">
    <w:abstractNumId w:val="9"/>
  </w:num>
  <w:num w:numId="30">
    <w:abstractNumId w:val="15"/>
  </w:num>
  <w:num w:numId="31">
    <w:abstractNumId w:val="18"/>
  </w:num>
  <w:num w:numId="32">
    <w:abstractNumId w:val="19"/>
  </w:num>
  <w:num w:numId="33">
    <w:abstractNumId w:val="11"/>
  </w:num>
  <w:num w:numId="34">
    <w:abstractNumId w:val="17"/>
  </w:num>
  <w:num w:numId="35">
    <w:abstractNumId w:val="23"/>
  </w:num>
  <w:num w:numId="36">
    <w:abstractNumId w:val="20"/>
  </w:num>
  <w:num w:numId="37">
    <w:abstractNumId w:val="13"/>
  </w:num>
  <w:num w:numId="38">
    <w:abstractNumId w:val="22"/>
  </w:num>
  <w:num w:numId="39">
    <w:abstractNumId w:val="12"/>
  </w:num>
  <w:num w:numId="40">
    <w:abstractNumId w:val="14"/>
  </w:num>
  <w:num w:numId="41">
    <w:abstractNumId w:val="10"/>
  </w:num>
  <w:num w:numId="42">
    <w:abstractNumId w:val="21"/>
  </w:num>
  <w:num w:numId="43">
    <w:abstractNumId w:val="9"/>
  </w:num>
  <w:num w:numId="44">
    <w:abstractNumId w:val="15"/>
  </w:num>
  <w:num w:numId="45">
    <w:abstractNumId w:val="18"/>
  </w:num>
  <w:num w:numId="46">
    <w:abstractNumId w:val="19"/>
  </w:num>
  <w:num w:numId="47">
    <w:abstractNumId w:val="11"/>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08:20:25"/>
    <w:docVar w:name="DQCNUMB_30" w:val="88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38"/>
    <w:docVar w:name="DQCResult_UnknownFonts" w:val="0;0"/>
    <w:docVar w:name="DQCResult_UnknownStyles" w:val="0;48"/>
    <w:docVar w:name="DQCStatus" w:val="Yellow"/>
    <w:docVar w:name="DQCVersion" w:val="3"/>
    <w:docVar w:name="DQCWithWarnings" w:val="0"/>
    <w:docVar w:name="LW_CONFIDENCE" w:val=" "/>
    <w:docVar w:name="LW_CONST_RESTREINT_UE" w:val="RESTREINT UE"/>
    <w:docVar w:name="LW_CORRIGENDUM" w:val="&lt;UNUSED&gt;"/>
    <w:docVar w:name="LW_COVERPAGE_GUID" w:val="04AE2FC237DB4DA2BFD5C561B9D0ECA2"/>
    <w:docVar w:name="LW_CROSSREFERENCE" w:val="{SWD(2017) 12 final}"/>
    <w:docVar w:name="LW_DocType" w:val="COM"/>
    <w:docVar w:name="LW_EMISSION" w:val="13.1.2017"/>
    <w:docVar w:name="LW_EMISSION_ISODATE" w:val="2017-01-13"/>
    <w:docVar w:name="LW_EMISSION_LOCATION" w:val="BRX"/>
    <w:docVar w:name="LW_EMISSION_PREFIX" w:val="Βρυξέλλες,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07"/>
    <w:docVar w:name="LW_REF.II.NEW.CP_YEAR" w:val="2017"/>
    <w:docVar w:name="LW_REF.INST.NEW" w:val="COM"/>
    <w:docVar w:name="LW_REF.INST.NEW_ADOPTED" w:val="final"/>
    <w:docVar w:name="LW_REF.INST.NEW_TEXT" w:val="(2017) 14"/>
    <w:docVar w:name="LW_REF.INTERNE" w:val="&lt;UNUSED&gt;"/>
    <w:docVar w:name="LW_SOUS.TITRE.OBJ.CP" w:val="&lt;UNUSED&gt;"/>
    <w:docVar w:name="LW_STATUT.CP" w:val="\u928?\u961?\u972?\u964?\u945?\u963?\u951?"/>
    <w:docVar w:name="LW_SUPERTITRE" w:val="&lt;UNUSED&gt;"/>
    <w:docVar w:name="LW_TITRE.OBJ.CP" w:val="\u947?\u953?\u945? \u964?\u951? \u967?\u959?\u961?\u942?\u947?\u951?\u963?\u951? \u956?\u945?\u954?\u961?\u959?\u959?\u953?\u954?\u959?\u957?\u959?\u956?\u953?\u954?\u942?\u962? \u967?\u961?\u951?\u956?\u945?\u964?\u959?\u948?\u959?\u964?\u953?\u954?\u942?\u962? \u963?\u965?\u957?\u948?\u961?\u959?\u956?\u942?\u962? \u963?\u964?\u951? \u916?\u951?\u956?\u959?\u954?\u961?\u945?\u964?\u943?\u945? \u964?\u951?\u962? \u924?\u959?\u955?\u948?\u945?\u946?\u943?\u945?\u962?"/>
    <w:docVar w:name="LW_TYPE.DOC.CP" w:val="\u913?\u928?\u927?\u934?\u913?\u931?\u919? \u932?\u927?\u933? \u917?\u933?\u929?\u937?\u928?\u913?\u938?\u922?\u927?\u933? \u922?\u927?\u921?\u925?\u927?\u914?\u927?\u933?\u923?\u921?\u927?\u933? \u922?\u913?\u921? \u932?\u927?\u933? \u931?\u933?\u924?\u914?\u927?\u933?\u923?\u921?\u927?\u933?"/>
  </w:docVars>
  <w:rsids>
    <w:rsidRoot w:val="00EB61C4"/>
    <w:rsid w:val="00A8283A"/>
    <w:rsid w:val="00EB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lang w:val="fr-FR" w:eastAsia="en-GB"/>
    </w:rPr>
  </w:style>
  <w:style w:type="paragraph" w:customStyle="1" w:styleId="ListDash1">
    <w:name w:val="List Dash 1"/>
    <w:basedOn w:val="Normal"/>
    <w:pPr>
      <w:numPr>
        <w:numId w:val="2"/>
      </w:numPr>
    </w:pPr>
    <w:rPr>
      <w:rFonts w:eastAsia="Times New Roman"/>
      <w:lang w:val="fr-FR" w:eastAsia="en-GB"/>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Heading20">
    <w:name w:val="Heading2"/>
    <w:basedOn w:val="Pagedecouverture"/>
    <w:rPr>
      <w:rFonts w:eastAsia="Arial Unicode MS"/>
      <w:noProof/>
      <w:u w:color="000000"/>
      <w:bdr w:val="nil"/>
      <w:lang w:val="en-US" w:eastAsia="en-GB"/>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0"/>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lang w:val="fr-FR" w:eastAsia="en-GB"/>
    </w:rPr>
  </w:style>
  <w:style w:type="paragraph" w:customStyle="1" w:styleId="ListDash1">
    <w:name w:val="List Dash 1"/>
    <w:basedOn w:val="Normal"/>
    <w:pPr>
      <w:numPr>
        <w:numId w:val="2"/>
      </w:numPr>
    </w:pPr>
    <w:rPr>
      <w:rFonts w:eastAsia="Times New Roman"/>
      <w:lang w:val="fr-FR" w:eastAsia="en-GB"/>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Heading20">
    <w:name w:val="Heading2"/>
    <w:basedOn w:val="Pagedecouverture"/>
    <w:rPr>
      <w:rFonts w:eastAsia="Arial Unicode MS"/>
      <w:noProof/>
      <w:u w:color="000000"/>
      <w:bdr w:val="nil"/>
      <w:lang w:val="en-US" w:eastAsia="en-GB"/>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0"/>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3270">
      <w:bodyDiv w:val="1"/>
      <w:marLeft w:val="0"/>
      <w:marRight w:val="0"/>
      <w:marTop w:val="0"/>
      <w:marBottom w:val="0"/>
      <w:divBdr>
        <w:top w:val="none" w:sz="0" w:space="0" w:color="auto"/>
        <w:left w:val="none" w:sz="0" w:space="0" w:color="auto"/>
        <w:bottom w:val="none" w:sz="0" w:space="0" w:color="auto"/>
        <w:right w:val="none" w:sz="0" w:space="0" w:color="auto"/>
      </w:divBdr>
    </w:div>
    <w:div w:id="935671675">
      <w:bodyDiv w:val="1"/>
      <w:marLeft w:val="0"/>
      <w:marRight w:val="0"/>
      <w:marTop w:val="0"/>
      <w:marBottom w:val="0"/>
      <w:divBdr>
        <w:top w:val="none" w:sz="0" w:space="0" w:color="auto"/>
        <w:left w:val="none" w:sz="0" w:space="0" w:color="auto"/>
        <w:bottom w:val="none" w:sz="0" w:space="0" w:color="auto"/>
        <w:right w:val="none" w:sz="0" w:space="0" w:color="auto"/>
      </w:divBdr>
    </w:div>
    <w:div w:id="1036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explained/management/managt_who/who_en.cfm" TargetMode="External"/><Relationship Id="rId1" Type="http://schemas.openxmlformats.org/officeDocument/2006/relationships/hyperlink" Target="http://ec.europa.eu/dgs/economy_finance/evaluation/pdf/mfa_moldova_evaluation_final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5C03-5560-4AD4-B3B4-23D4E68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30</Pages>
  <Words>10213</Words>
  <Characters>63834</Characters>
  <Application>Microsoft Office Word</Application>
  <DocSecurity>0</DocSecurity>
  <Lines>1725</Lines>
  <Paragraphs>740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2016-12-01T13:43:00Z</cp:lastPrinted>
  <dcterms:created xsi:type="dcterms:W3CDTF">2017-01-12T16:11:00Z</dcterms:created>
  <dcterms:modified xsi:type="dcterms:W3CDTF">2017-01-13T07:32:00Z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