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28F79A1AED548958E31317BFBE38B3A" style="width:450.8pt;height:463.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TΗΣ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Μια βαθύτερη και δικαιότερη εσωτερική αγορά είναι μία από τις δέκα προτεραιότητες της Ευρωπαϊκής Επιτροπής. Η αξιοποίηση των δυνατών σημείων της εσωτερικής αγοράς και του συνόλου των δυνατοτήτων της είναι το κλειδί για την προώθηση της απασχόλησης και της ανάπτυξης στην Ευρωπαϊκή Ένωση. Η Επιτροπή τον Οκτώβριο του 2015 ενέκρινε τη στρατηγική για την ενιαία αγορά με μια σειρά μέτρων για την αναβάθμιση της ενιαίας αγοράς για περισσότερες ευκαιρίες για τις επιχειρήσεις και τους πολίτες, μεταξύ των οποίων μια νομοθετική πρόταση για τη βελτίωση της επιβολής της οδηγίας για τις υπηρεσίες με τη μεταρρύθμιση της διαδικασίας κοινοποίησης των υφιστάμενων υπηρεσιών</w:t>
      </w:r>
      <w:r>
        <w:rPr>
          <w:rStyle w:val="FootnoteReference"/>
          <w:noProof/>
        </w:rPr>
        <w:footnoteReference w:id="1"/>
      </w:r>
      <w:r>
        <w:rPr>
          <w:noProof/>
        </w:rPr>
        <w:t>. Το Ευρωπαϊκό Συμβούλιο απηύθυνε έκκληση για μια φιλόδοξη υλοποίηση της στρατηγικής για την ενιαία αγορά</w:t>
      </w:r>
      <w:r>
        <w:rPr>
          <w:rStyle w:val="FootnoteReference"/>
          <w:noProof/>
        </w:rPr>
        <w:footnoteReference w:id="2"/>
      </w:r>
      <w:r>
        <w:rPr>
          <w:noProof/>
        </w:rPr>
        <w:t xml:space="preserve"> και για την ολοκλήρωση των διαφορετικών στρατηγικών για την ενιαία αγορά και την εφαρμογή τους πριν από το 2018, υπενθυμίζοντας ότι «η καλύτερη εφαρμογή και επιβολή της ισχύουσας νομοθεσίας θα συμβάλει στην αποκόμιση των οφελών από τις φιλόδοξες επιδιώξεις της ενιαίας αγοράς της Ευρώπης»</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Από την οδηγία για τις υπηρεσίες</w:t>
      </w:r>
      <w:r>
        <w:rPr>
          <w:rStyle w:val="FootnoteReference"/>
          <w:noProof/>
        </w:rPr>
        <w:footnoteReference w:id="4"/>
      </w:r>
      <w:r>
        <w:rPr>
          <w:noProof/>
        </w:rPr>
        <w:t xml:space="preserve"> προκύπτει ότι ορισμένοι εθνικοί κανόνες που περιορίζουν την ελευθερία εγκατάστασης και την ελεύθερη παροχή υπηρεσιών δεν πρέπει να εισάγουν διακρίσεις όσον αφορά την ιθαγένεια ή τον τόπο κατοικίας, ενώ παράλληλα πρέπει να είναι αναλογικοί και να δικαιολογούνται από επιτακτικούς λόγους δημόσιου συμφέροντος. Προκειμένου να εξασφαλιστεί, στην πράξη, η εκπλήρωση αυτών των προϋποθέσεων από τα νέα μέτρα που επιβάλλουν τα κράτη μέλη και, κατά συνέπεια, να διευκολυνθεί η ανταγωνιστικότητα και η ολοκλήρωση της ενιαίας αγοράς υπηρεσιών, η οδηγία για τις υπηρεσίες προβλέπει ότι τα κράτη μέλη κοινοποιούν στην Επιτροπή νέα ή τροποποιημένα συστήματα χορήγησης άδειας ή ορισμένες νέες ή τροποποιημένες απαιτήσεις που εμπίπτουν στο πεδίο εφαρμογής της οδηγίας.</w:t>
      </w:r>
    </w:p>
    <w:p>
      <w:pPr>
        <w:pBdr>
          <w:top w:val="nil"/>
          <w:left w:val="nil"/>
          <w:bottom w:val="nil"/>
          <w:right w:val="nil"/>
          <w:between w:val="nil"/>
          <w:bar w:val="nil"/>
        </w:pBdr>
        <w:spacing w:before="0" w:after="240"/>
        <w:rPr>
          <w:rFonts w:eastAsia="Arial Unicode MS"/>
          <w:noProof/>
        </w:rPr>
      </w:pPr>
      <w:r>
        <w:rPr>
          <w:noProof/>
        </w:rPr>
        <w:t xml:space="preserve">Ωστόσο, οι αξιολογήσεις της Επιτροπής καταδεικνύουν ότι η τρέχουσα διαδικασία κοινοποίησης σύμφωνα με την οδηγία για τις υπηρεσίες δεν επιτυγχάνει τον στόχο της παρά τις προσπάθειες που έχουν καταβληθεί κατά τα τελευταία έτη για βελτίωση της εφαρμογής της, μεταξύ άλλων μέσω των κατευθυντήριων γραμμών που παρέχονται στο Εγχειρίδιο εφαρμογής της οδηγίας για τις υπηρεσίες, της ανταλλαγής εμπειριών και βέλτιστων πρακτικών μεταξύ των εθνικών διοικήσεων, καθώς και της δημοσίευσης δεδομένων σχετικά με τη χρήση της υπάρχουσας διαδικασίας κοινοποίησης από τα κράτη μέλη. Συνεπώς, το 40% των διαρθρωμένων διαλόγων τους οποίους έπρεπε να ξεκινήσει η Επιτροπή με κράτη μέλη το 2015, προκειμένου να διασφαλίσει τη συμμόρφωσή τους με την οδηγία για τις υπηρεσίες, αφορούσαν νέα εθνικά μέτρα. Ως εκ τούτου, φαίνεται ότι η ισχύουσα διαδικασία </w:t>
      </w:r>
      <w:r>
        <w:rPr>
          <w:noProof/>
        </w:rPr>
        <w:lastRenderedPageBreak/>
        <w:t>κοινοποίησης δεν συνεισφέρει επαρκώς στην ορθή και πλήρη εφαρμογή της οδηγίας για τις υπηρεσίες</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Ως εκ τούτου, η Επιτροπή παρουσιάζει ένα αυτοτελές νομοθετικό μέσο για τον εκσυγχρονισμό της τρέχουσας διαδικασίας κοινοποίησης σύμφωνα με την οδηγία για τις υπηρεσίες, προκειμένου να βελτιώσει την επιβολή των υπαρχουσών διατάξεων της εν λόγω οδηγίας, καθιερώνοντας μια πιο αποτελεσματική και αποδοτική διαδικασία με την οποία αποτρέπεται η θέσπιση από τα κράτη μέλη συστημάτων χορήγησης άδειας ή ορισμένων απαιτήσεων που δεν συμμορφώνονται με την οδηγία για τις υπηρεσίες. Οι διατάξεις της παρούσας οδηγίας δεν τροποποιούν την υφιστάμενη οδηγία για τις υπηρεσίες, πέρα από την απαραίτητη αναθεώρηση των ειδικών διατάξεών της σχετικά με τις διαδικασίες κοινοποίησης.</w:t>
      </w:r>
    </w:p>
    <w:p>
      <w:pPr>
        <w:pBdr>
          <w:top w:val="nil"/>
          <w:left w:val="nil"/>
          <w:bottom w:val="nil"/>
          <w:right w:val="nil"/>
          <w:between w:val="nil"/>
          <w:bar w:val="nil"/>
        </w:pBdr>
        <w:spacing w:before="0" w:after="240"/>
        <w:rPr>
          <w:rFonts w:eastAsia="Arial Unicode MS"/>
          <w:noProof/>
        </w:rPr>
      </w:pPr>
      <w:r>
        <w:rPr>
          <w:noProof/>
        </w:rPr>
        <w:t>Πιο συγκεκριμένα, οι στόχοι του παρόντος νομοθετικού μέσου είναι η αύξηση της αποτελεσματικότητας της διαδικασίας κοινοποίησης, η βελτίωση της ποιότητας και του περιεχομένου των κοινοποιήσεων που υποβάλλονται, η κάλυψη πρόσθετων απαιτήσεων οι οποίες έχει καταδειχθεί από την εφαρμογή της οδηγίας για τις υπηρεσίες ότι συνιστούν σοβαρά εμπόδια στην εσωτερική αγορά υπηρεσιών, καθώς και η ενίσχυση της αποτελεσματικής συμμόρφωσης με την υποχρέωση κοινοποίησης.</w:t>
      </w:r>
    </w:p>
    <w:p>
      <w:pPr>
        <w:pBdr>
          <w:top w:val="nil"/>
          <w:left w:val="nil"/>
          <w:bottom w:val="nil"/>
          <w:right w:val="nil"/>
          <w:between w:val="nil"/>
          <w:bar w:val="nil"/>
        </w:pBdr>
        <w:spacing w:before="0" w:after="240"/>
        <w:rPr>
          <w:rFonts w:eastAsia="Arial Unicode MS"/>
          <w:noProof/>
        </w:rPr>
      </w:pPr>
      <w:r>
        <w:rPr>
          <w:noProof/>
        </w:rPr>
        <w:t>Μια πιο αποτελεσματική, αποδοτική και συνεκτική διαδικασία κοινοποίησης θα στηρίξει τα κράτη μέλη και θα αποτρέψει τη θέσπιση συστημάτων χορήγησης άδειας ή απαιτήσεων σχετιζόμενων με τις υπηρεσίες που καλύπτει η οδηγία για τις υπηρεσίες τα οποία εισάγουν διακρίσεις και είναι αδικαιολόγητα και δυσανάλογα. Τέτοια συστήματα χορήγησης άδειας ή απαιτήσεις οδηγούν σε μια λιγότερο ανοικτή και λιγότερο ολοκληρωμένη ανταγωνιστική οικονομία, με υψηλότερες τιμές και λιγότερες επιλογές για τους καταναλωτές. Ενδέχεται επίσης να περιορίσουν την επιχειρηματικότητα και τις επενδύσεις, καθώς είναι πιθανόν να οδηγήσουν σε μείωση του αριθμού των εταιρειών που ιδρύονται και εισέρχονται στην ευρωπαϊκή αγορά. Ως εκ τούτου, αναμένεται ότι η προτεινόμενη νομοθεσία θα συμβάλλει στην ενίσχυση της ανταγωνιστικότητας και στην περαιτέρω ολοκλήρωση των αγορών υπηρεσιών στην Ευρώπη, αποφέροντας οφέλη τόσο στους καταναλωτές όσο και στους επιχειρηματίες.</w:t>
      </w:r>
    </w:p>
    <w:p>
      <w:pPr>
        <w:pStyle w:val="ManualHeading2"/>
        <w:rPr>
          <w:rFonts w:eastAsia="Arial Unicode MS"/>
          <w:noProof/>
          <w:color w:val="000000"/>
          <w:u w:color="000000"/>
          <w:bdr w:val="nil"/>
        </w:rPr>
      </w:pPr>
      <w:r>
        <w:rPr>
          <w:noProof/>
          <w:color w:val="000000"/>
          <w:u w:color="000000"/>
          <w:bdr w:val="nil"/>
        </w:rPr>
        <w:t>•</w:t>
      </w:r>
      <w:r>
        <w:rPr>
          <w:noProof/>
        </w:rPr>
        <w:tab/>
        <w:t>Συνοχή με ισχύουσες διατάξεις στον τομέα πολιτικής</w:t>
      </w:r>
    </w:p>
    <w:p>
      <w:pPr>
        <w:pBdr>
          <w:top w:val="nil"/>
          <w:left w:val="nil"/>
          <w:bottom w:val="nil"/>
          <w:right w:val="nil"/>
          <w:between w:val="nil"/>
          <w:bar w:val="nil"/>
        </w:pBdr>
        <w:spacing w:before="0" w:after="240"/>
        <w:rPr>
          <w:rFonts w:eastAsia="Arial Unicode MS"/>
          <w:noProof/>
        </w:rPr>
      </w:pPr>
      <w:r>
        <w:rPr>
          <w:noProof/>
        </w:rPr>
        <w:t>Η εν λόγω οδηγία λειτουργεί συμπληρωματικά προς την υφιστάμενη διαδικασία κοινοποίησης που εφαρμόζεται στον τομέα των αγαθών και των υπηρεσιών της κοινωνίας των πληροφοριών που έχει θεσπιστεί από την οδηγία για τη διαφάνεια στην ενιαία αγορά</w:t>
      </w:r>
      <w:r>
        <w:rPr>
          <w:rStyle w:val="FootnoteReference"/>
          <w:noProof/>
        </w:rPr>
        <w:footnoteReference w:id="6"/>
      </w:r>
      <w:r>
        <w:rPr>
          <w:noProof/>
        </w:rPr>
        <w:t>. Η σχέση μεταξύ των δύο οδηγιών ρυθμίζεται από αμφότερα τα νομικά μέσα.</w:t>
      </w:r>
    </w:p>
    <w:p>
      <w:pPr>
        <w:pBdr>
          <w:top w:val="nil"/>
          <w:left w:val="nil"/>
          <w:bottom w:val="nil"/>
          <w:right w:val="nil"/>
          <w:between w:val="nil"/>
          <w:bar w:val="nil"/>
        </w:pBdr>
        <w:spacing w:before="0" w:after="240"/>
        <w:rPr>
          <w:rFonts w:eastAsia="Arial Unicode MS"/>
          <w:noProof/>
        </w:rPr>
      </w:pPr>
      <w:r>
        <w:rPr>
          <w:noProof/>
        </w:rPr>
        <w:lastRenderedPageBreak/>
        <w:t>Η εν λόγω οδηγία λειτουργεί επίσης συμπληρωματικά προς τις υφιστάμενες υποχρεώσεις υποβολής έκθεσης σύμφωνα με την οδηγία για τα επαγγελματικά προσόντα</w:t>
      </w:r>
      <w:r>
        <w:rPr>
          <w:rStyle w:val="FootnoteReference"/>
          <w:noProof/>
        </w:rPr>
        <w:footnoteReference w:id="7"/>
      </w:r>
      <w:r>
        <w:rPr>
          <w:noProof/>
        </w:rPr>
        <w:t>. Περιλαμβάνει ένα άρθρο που ορίζει με σαφήνεια τη σχέση μεταξύ των δύο νομικών μέσων και των υποχρεώσεων που προκύπτουν από αυτά.</w:t>
      </w:r>
    </w:p>
    <w:p>
      <w:pPr>
        <w:pBdr>
          <w:top w:val="nil"/>
          <w:left w:val="nil"/>
          <w:bottom w:val="nil"/>
          <w:right w:val="nil"/>
          <w:between w:val="nil"/>
          <w:bar w:val="nil"/>
        </w:pBdr>
        <w:spacing w:before="0" w:after="240"/>
        <w:rPr>
          <w:rFonts w:eastAsia="Arial Unicode MS"/>
          <w:noProof/>
        </w:rPr>
      </w:pPr>
      <w:r>
        <w:rPr>
          <w:noProof/>
        </w:rPr>
        <w:t>Η εν λόγω οδηγία θα εφαρμοστεί με τη χρήση του υφιστάμενου Συστήματος Πληροφόρησης για την Εσωτερική Αγορά, το οποίο θεσπίστηκε από τον κανονισμό IMI</w:t>
      </w:r>
      <w:r>
        <w:rPr>
          <w:rStyle w:val="FootnoteReference"/>
          <w:noProof/>
        </w:rPr>
        <w:footnoteReference w:id="8"/>
      </w:r>
      <w:r>
        <w:rPr>
          <w:noProof/>
        </w:rPr>
        <w:t>.</w:t>
      </w:r>
    </w:p>
    <w:p>
      <w:pPr>
        <w:pStyle w:val="ManualHeading2"/>
        <w:rPr>
          <w:rFonts w:eastAsia="Arial Unicode MS"/>
          <w:noProof/>
        </w:rPr>
      </w:pPr>
      <w:r>
        <w:rPr>
          <w:noProof/>
          <w:color w:val="000000"/>
          <w:u w:color="000000"/>
          <w:bdr w:val="nil"/>
        </w:rPr>
        <w:t>•</w:t>
      </w:r>
      <w:r>
        <w:rPr>
          <w:noProof/>
        </w:rPr>
        <w:tab/>
        <w:t>Συνοχή με άλλες πολιτικές της Ένωσης</w:t>
      </w:r>
    </w:p>
    <w:p>
      <w:pPr>
        <w:pBdr>
          <w:top w:val="nil"/>
          <w:left w:val="nil"/>
          <w:bottom w:val="nil"/>
          <w:right w:val="nil"/>
          <w:between w:val="nil"/>
          <w:bar w:val="nil"/>
        </w:pBdr>
        <w:spacing w:before="0" w:after="240"/>
        <w:rPr>
          <w:rFonts w:eastAsia="Arial Unicode MS"/>
          <w:bCs/>
          <w:noProof/>
        </w:rPr>
      </w:pPr>
      <w:r>
        <w:rPr>
          <w:noProof/>
        </w:rPr>
        <w:t>Η παρούσα οδηγία είναι συμπληρωματική προς άλλες πρωτοβουλίες πολιτικής που σχετίζονται με τον τομέα των υπηρεσιών και οι οποίες έχουν ανακοινωθεί στο πλαίσιο της στρατηγικής για την ενιαία αγορά, και ιδίως προς την οδηγία για τον έλεγχο της αναλογικότητας. Η τελευταία οδηγία θα καθορίσει τα κριτήρια των κρατών μελών όταν προετοιμάζουν την αξιολόγηση της αναλογικότητας των σχεδίων εθνικών νομοθεσιών που εμπίπτουν στο πλαίσιο της οδηγίας για τα επαγγελματικά προσόντα. Ορισμένα μέτρα που εμπίπτουν στο πεδίο εφαρμογής της οδηγίας για τα επαγγελματικά προσόντα εμπίπτουν επίσης στις διατάξεις της οδηγίας για τις υπηρεσίες και για την υποχρέωση κοινοποίησης. Σε αυτές τις περιπτώσεις, οι πληροφορίες σχετικά με την αξιολόγηση της αναλογικότητας που πρέπει να παρέχονται στο πλαίσιο της παρούσας διαδικασίας κοινοποίησης θα πρέπει να πληρούν τις απαιτήσεις της οδηγίας για τον έλεγχο της αναλογικότητας. Η συνοχή μεταξύ αυτών των μέσων είναι διασφαλισμένη.</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rFonts w:eastAsia="Arial Unicode MS"/>
          <w:noProof/>
        </w:rPr>
      </w:pPr>
      <w:r>
        <w:rPr>
          <w:noProof/>
        </w:rPr>
        <w:t>Η πρόταση βασίζεται στο άρθρο 53 παράγραφος 1 και στα άρθρα 62 και 114 της ΣΛΕΕ.</w:t>
      </w:r>
    </w:p>
    <w:p>
      <w:pPr>
        <w:pBdr>
          <w:top w:val="nil"/>
          <w:left w:val="nil"/>
          <w:bottom w:val="nil"/>
          <w:right w:val="nil"/>
          <w:between w:val="nil"/>
          <w:bar w:val="nil"/>
        </w:pBdr>
        <w:spacing w:before="0" w:after="240"/>
        <w:rPr>
          <w:rFonts w:eastAsia="Arial Unicode MS"/>
          <w:bCs/>
          <w:noProof/>
        </w:rPr>
      </w:pPr>
      <w:r>
        <w:rPr>
          <w:noProof/>
        </w:rPr>
        <w:t xml:space="preserve">Το άρθρο 53 παράγραφος 1 και τα άρθρα 62 και 114 της ΣΛΕΕ παρέχουν στην ΕΕ την αρμοδιότητα να αναλαμβάνει δράση όσον αφορά την ενιαία αγορά υπηρεσιών. Οι κανόνες της ΕΕ που θεσπίζονται βάσει του άρθρου 53 παράγραφος 1 και του άρθρου 62 της ΣΛΕΕ θα πρέπει να αποσκοπούν στον συντονισμό των νομοθετικών, κανονιστικών ή διοικητικών διατάξεων στα κράτη μέλη σχετικά με την ανάληψη και την άσκηση μη μισθωτών δραστηριοτήτων, με στόχο τη διευκόλυνση αυτών των δραστηριοτήτων. Το άρθρο 114 της ΣΛΕΕ παρέχει στην ΕΕ, υπό ορισμένες προϋποθέσεις, την αρμοδιότητα να θεσπίζει νομοθεσία της ΕΕ για την εγκαθίδρυση και τη λειτουργία της ενιαίας αγοράς. </w:t>
      </w:r>
    </w:p>
    <w:p>
      <w:pPr>
        <w:pBdr>
          <w:top w:val="nil"/>
          <w:left w:val="nil"/>
          <w:bottom w:val="nil"/>
          <w:right w:val="nil"/>
          <w:between w:val="nil"/>
          <w:bar w:val="nil"/>
        </w:pBdr>
        <w:spacing w:before="0" w:after="240"/>
        <w:rPr>
          <w:rFonts w:eastAsia="Arial Unicode MS"/>
          <w:bCs/>
          <w:noProof/>
        </w:rPr>
      </w:pPr>
      <w:r>
        <w:rPr>
          <w:noProof/>
        </w:rPr>
        <w:t>Η διαδικασία κοινοποίησης που θεσπίζεται από την παρούσα οδηγία αποσκοπεί στην προστασία της ελευθερίας εγκατάστασης και της ελεύθερης παροχής υπηρεσιών, οι οποίες συγκαταλέγονται στις θεμελιώδεις αρχές της Ένωσης. Πιο συγκεκριμένα, αποσκοπεί στο να διασφαλίσει ότι ορισμένοι εθνικοί περιορισμοί στην ελευθερία εγκατάστασης και στην ελεύθερη παροχή υπηρεσιών θα συμμορφώνονται με την οδηγία για τις υπηρεσίες, συμβάλλοντας στην καλύτερη επιβολή της.</w:t>
      </w:r>
    </w:p>
    <w:p>
      <w:pPr>
        <w:pBdr>
          <w:top w:val="nil"/>
          <w:left w:val="nil"/>
          <w:bottom w:val="nil"/>
          <w:right w:val="nil"/>
          <w:between w:val="nil"/>
          <w:bar w:val="nil"/>
        </w:pBdr>
        <w:spacing w:before="0" w:after="240"/>
        <w:rPr>
          <w:rFonts w:eastAsia="Arial Unicode MS"/>
          <w:bCs/>
          <w:noProof/>
        </w:rPr>
      </w:pPr>
      <w:r>
        <w:rPr>
          <w:noProof/>
        </w:rPr>
        <w:lastRenderedPageBreak/>
        <w:t>Η διαδικασία κοινοποίησης που θεσπίζεται από την παρούσα οδηγία επιτρέπει την αξιολόγηση των εθνικών νομοθετικών, κανονιστικών ή διοικητικών διατάξεων και προβλέπει την ανάληψη αποτελεσματικής προληπτικής δράσης σε περίπτωση μη συμμόρφωσης με τις σχετικές διατάξεις της οδηγίας για τις υπηρεσίες. Η οδηγία για τις υπηρεσίες προβλέπει ειδικότερα τις προϋποθέσεις της μη εισαγωγής διακρίσεων, της αναγκαιότητας και της αναλογικότητας, τις οποίες πρέπει να ικανοποιούν τα συστήματα χορήγησης άδειας και ορισμένες απαιτήσεις που σχετίζονται με τον τομέα των υπηρεσιών στα κράτη μέλη. Ορίζει επίσης συγκεκριμένους κανόνες σχετικά με τα συστήματα χορήγησης άδειας (για παράδειγμα όσον αφορά τις διαδικαστικές εγγυήσεις) και ορισμένες απαιτήσεις (για παράδειγμα απαιτήσεις ασφάλισης).</w:t>
      </w:r>
    </w:p>
    <w:p>
      <w:pPr>
        <w:pBdr>
          <w:top w:val="nil"/>
          <w:left w:val="nil"/>
          <w:bottom w:val="nil"/>
          <w:right w:val="nil"/>
          <w:between w:val="nil"/>
          <w:bar w:val="nil"/>
        </w:pBdr>
        <w:spacing w:before="0" w:after="240"/>
        <w:rPr>
          <w:rFonts w:eastAsia="Arial Unicode MS"/>
          <w:bCs/>
          <w:noProof/>
        </w:rPr>
      </w:pPr>
      <w:r>
        <w:rPr>
          <w:noProof/>
        </w:rPr>
        <w:t>Η διαδικασία κοινοποίησης θα έχει ως αποτέλεσμα να αποτρέπεται η δημιουργία φραγμών στην ενιαία αγορά που οφείλονται στην ετερογενή θέσπιση εθνικών νόμων, ενώ παράλληλα θα συμβάλει στην προσέγγιση των εθνικών νομοθετικών, κανονιστικών ή διοικητικών διατάξεων όσον αφορά τις υπηρεσίες που καλύπτονται από την οδηγία για τις υπηρεσίες. Κατά αυτόν τον τρόπο θα βελτιωθεί η λειτουργία της ενιαίας αγοράς υπηρεσιών της ΕΕ και θα προαχθεί η δημιουργία θέσεων εργασίας και η ανάπτυξη.</w:t>
      </w:r>
    </w:p>
    <w:p>
      <w:pPr>
        <w:pStyle w:val="ManualHeading2"/>
        <w:rPr>
          <w:rFonts w:eastAsia="Arial Unicode MS"/>
          <w:noProof/>
          <w:u w:color="000000"/>
          <w:bdr w:val="nil"/>
        </w:rPr>
      </w:pPr>
      <w:r>
        <w:rPr>
          <w:noProof/>
        </w:rPr>
        <w:t>•</w:t>
      </w:r>
      <w:r>
        <w:rPr>
          <w:noProof/>
        </w:rPr>
        <w:tab/>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rFonts w:eastAsia="Arial Unicode MS"/>
          <w:noProof/>
        </w:rPr>
      </w:pPr>
      <w:r>
        <w:rPr>
          <w:noProof/>
        </w:rPr>
        <w:t>Ο γενικός στόχος της παρούσας νομοθετικής πρότασης είναι να διασφαλιστεί η ομαλή λειτουργία της ενιαίας αγοράς υπηρεσιών της ΕΕ, η οποία δεν περιορίζεται στην επικράτεια ενός κράτους μέλους, αλλά καλύπτει ολόκληρη την επικράτεια της ΕΕ. Δεδομένου του διακρατικού χαρακτήρα της ενιαίας αγοράς της ΕΕ, ο αποτελεσματικός και συνεκτικός έλεγχος της συμμόρφωσης των σχεδίων εθνικών μέτρων με τις διατάξεις της οδηγίας για τις υπηρεσίες, συμπεριλαμβανομένης της διαχείρισης κατάλληλου εργαλείου ΤΠ προς αυτόν τον σκοπό, μπορεί να επιτευχθεί μόνο σε επίπεδο ΕΕ. Η παρούσα οδηγία προβλέπει μια διαδικασία κοινοποίησης που αντικαθιστά την υφιστάμενη διαδικασία κοινοποίησης που έχει θεσπιστεί από την οδηγία για τις υπηρεσίες.</w:t>
      </w:r>
    </w:p>
    <w:p>
      <w:pPr>
        <w:pStyle w:val="ManualHeading2"/>
        <w:rPr>
          <w:rFonts w:eastAsia="Arial Unicode MS"/>
          <w:noProof/>
          <w:u w:color="000000"/>
          <w:bdr w:val="nil"/>
        </w:rPr>
      </w:pPr>
      <w:r>
        <w:rPr>
          <w:noProof/>
        </w:rPr>
        <w:t>•</w:t>
      </w:r>
      <w:r>
        <w:rPr>
          <w:noProof/>
        </w:rPr>
        <w:tab/>
        <w:t>Αναλογικότητα</w:t>
      </w:r>
    </w:p>
    <w:p>
      <w:pPr>
        <w:pBdr>
          <w:top w:val="nil"/>
          <w:left w:val="nil"/>
          <w:bottom w:val="nil"/>
          <w:right w:val="nil"/>
          <w:between w:val="nil"/>
          <w:bar w:val="nil"/>
        </w:pBdr>
        <w:spacing w:before="0" w:after="240"/>
        <w:rPr>
          <w:rFonts w:eastAsia="Arial Unicode MS"/>
          <w:noProof/>
        </w:rPr>
      </w:pPr>
      <w:r>
        <w:rPr>
          <w:noProof/>
        </w:rPr>
        <w:t>Τα μέτρα που θεσπίζει η παρούσα οδηγία είναι αναλογικά προς τον στόχο της για τη θέσπιση μιας πιο αποτελεσματικής διαδικασίας κοινοποίησης με σκοπό τη βελτίωση της επιβολής της οδηγίας για τις υπηρεσίες. Σε σύγκριση με την υφιστάμενη διαδικασία, η παρούσα οδηγία θεσπίζει μια υποχρέωση κοινοποίησης που περιγράφεται με μεγαλύτερη σαφήνεια και η οποία συνάδει περισσότερο με το πεδίο εφαρμογής της οδηγίας για τις υπηρεσίες, προβλέπει μια επαρκώς καθορισμένη και αποτελεσματική διαδικασία διαβούλευσης για κοινοποιηθέντα σχέδια μέτρων, εξασφαλίζει διαφάνεια των κοινοποιήσεων για τα ενδιαφερόμενα μέρη, προσδιορίζει και καθιστά πιο συνεκτική την υφιστάμενη δυνατότητα της Επιτροπής να εκδίδει αποφάσεις σχετικά με κοινοποιηθέντα μέτρα και αποσαφηνίζει τις νομικές συνέπειες σε περίπτωση μη κοινοποίησης.</w:t>
      </w:r>
    </w:p>
    <w:p>
      <w:pPr>
        <w:pBdr>
          <w:top w:val="nil"/>
          <w:left w:val="nil"/>
          <w:bottom w:val="nil"/>
          <w:right w:val="nil"/>
          <w:between w:val="nil"/>
          <w:bar w:val="nil"/>
        </w:pBdr>
        <w:spacing w:before="0" w:after="240"/>
        <w:rPr>
          <w:rFonts w:eastAsia="Arial Unicode MS"/>
          <w:noProof/>
        </w:rPr>
      </w:pPr>
      <w:r>
        <w:rPr>
          <w:noProof/>
        </w:rPr>
        <w:t xml:space="preserve">Αυτά τα μέτρα δεν υπερβαίνουν όλα όσα είναι αναγκαία για την επίλυση των προβλημάτων που έχουν εντοπιστεί και την επίτευξη των στόχων που έχουν τεθεί. Δεν δημιουργούν καμία υποχρέωση για τους παρόχους υπηρεσιών ούτε επιβάλλουν δυσανάλογο κόστος στα κράτη μέλη: οι δημόσιες αρχές των κρατών μελών υποχρεούνται ήδη να συμμορφώνονται με την οδηγία για τις υπηρεσίες και να κοινοποιούν ορισμένα μέτρα στην Επιτροπή σύμφωνα με την οδηγία για τις υπηρεσίες. Η μικρή αναμενόμενη αύξηση του διοικητικού κόστους για τα κράτη μέλη θα μπορούσε στην πράξη να αντισταθμιστεί μερικώς από τη μείωση του κόστους </w:t>
      </w:r>
      <w:r>
        <w:rPr>
          <w:noProof/>
        </w:rPr>
        <w:lastRenderedPageBreak/>
        <w:t>που προκύπτει από υποθέσεις παραβίασης, τον αριθμό των οποίων η εν λόγω πρωτοβουλία υποτίθεται ότι θα μειώσει, καθώς αποσκοπεί στην αποφυγή ορισμένων εμποδίων στον τομέα των υπηρεσιών, τα οποία δεν είναι συμβατά με την οδηγία για τις υπηρεσίες.</w:t>
      </w:r>
    </w:p>
    <w:p>
      <w:pPr>
        <w:pStyle w:val="ManualHeading2"/>
        <w:rPr>
          <w:rFonts w:eastAsia="Arial Unicode MS"/>
          <w:noProof/>
          <w:u w:color="000000"/>
          <w:bdr w:val="nil"/>
        </w:rPr>
      </w:pPr>
      <w:r>
        <w:rPr>
          <w:noProof/>
        </w:rPr>
        <w:t>•</w:t>
      </w:r>
      <w:r>
        <w:rPr>
          <w:noProof/>
        </w:rPr>
        <w:tab/>
        <w:t>Επιλογή του νομικού μέσου</w:t>
      </w:r>
    </w:p>
    <w:p>
      <w:pPr>
        <w:pBdr>
          <w:top w:val="nil"/>
          <w:left w:val="nil"/>
          <w:bottom w:val="nil"/>
          <w:right w:val="nil"/>
          <w:between w:val="nil"/>
          <w:bar w:val="nil"/>
        </w:pBdr>
        <w:spacing w:before="0" w:after="240"/>
        <w:rPr>
          <w:rFonts w:eastAsia="Arial Unicode MS"/>
          <w:noProof/>
          <w:highlight w:val="yellow"/>
        </w:rPr>
      </w:pPr>
      <w:r>
        <w:rPr>
          <w:noProof/>
        </w:rPr>
        <w:t>Η συνεκτική και διαφανής διαδικασία κοινοποίησης που επιτρέπει τον έλεγχο της συμμόρφωσης των συστημάτων χορήγησης άδειας ή των απαιτήσεων με την οδηγία για τις υπηρεσίες πριν από τη θέσπισή τους από τα κράτη μέλη απαιτεί ένα νομικά δεσμευτικό μέσο.</w:t>
      </w:r>
    </w:p>
    <w:p>
      <w:pPr>
        <w:pBdr>
          <w:top w:val="nil"/>
          <w:left w:val="nil"/>
          <w:bottom w:val="nil"/>
          <w:right w:val="nil"/>
          <w:between w:val="nil"/>
          <w:bar w:val="nil"/>
        </w:pBdr>
        <w:spacing w:before="0" w:after="240"/>
        <w:rPr>
          <w:rFonts w:eastAsia="Arial Unicode MS"/>
          <w:noProof/>
        </w:rPr>
      </w:pPr>
      <w:r>
        <w:rPr>
          <w:noProof/>
        </w:rPr>
        <w:t>Η πρόταση βασίζεται στο άρθρο 53 παράγραφος 1, στο άρθρο 62 και στο άρθρο 114 της ΣΛΕΕ. Με αυτήν την πρόταση, η Επιτροπή προωθεί την έκδοση οδηγίας.</w:t>
      </w:r>
    </w:p>
    <w:p>
      <w:pPr>
        <w:pStyle w:val="ManualHeading1"/>
        <w:rPr>
          <w:noProof/>
        </w:rPr>
      </w:pPr>
      <w:r>
        <w:rPr>
          <w:noProof/>
        </w:rPr>
        <w:t>3.</w:t>
      </w:r>
      <w:r>
        <w:rPr>
          <w:noProof/>
        </w:rPr>
        <w:tab/>
        <w:t>ΑΠΟΤΕΛΕΣΜΑΤΑ ΕΚ ΤΩΝ ΥΣΤΕΡΩΝ ΑΞΙΟΛΟΓΗΣΕΩΝ, ΔΙΑΒΟΥΛΕΥΣΕΩΝ ΜΕ ΤΑ ΕΝΔΙΑΦΕΡΟΜΕΝΑ ΜΕΡΗ ΚΑΙ ΕΚΤΙΜΗΣΕΩΝ ΤΩΝ ΕΠΙΠΤΩΣΕΩΝ</w:t>
      </w:r>
    </w:p>
    <w:p>
      <w:pPr>
        <w:pStyle w:val="ManualHeading2"/>
        <w:rPr>
          <w:rFonts w:eastAsia="Arial Unicode MS"/>
          <w:noProof/>
          <w:u w:color="000000"/>
          <w:bdr w:val="nil"/>
        </w:rPr>
      </w:pPr>
      <w:r>
        <w:rPr>
          <w:noProof/>
        </w:rPr>
        <w:t>•</w:t>
      </w:r>
      <w:r>
        <w:rPr>
          <w:noProof/>
        </w:rPr>
        <w:tab/>
        <w:t>Εκ των υστέρων αξιολογήσεις / έλεγχοι καταλληλότητας ισχύουσας νομοθεσίας</w:t>
      </w:r>
    </w:p>
    <w:p>
      <w:pPr>
        <w:pBdr>
          <w:top w:val="nil"/>
          <w:left w:val="nil"/>
          <w:bottom w:val="nil"/>
          <w:right w:val="nil"/>
          <w:between w:val="nil"/>
          <w:bar w:val="nil"/>
        </w:pBdr>
        <w:spacing w:before="0" w:after="240"/>
        <w:rPr>
          <w:rFonts w:eastAsia="Arial Unicode MS"/>
          <w:noProof/>
        </w:rPr>
      </w:pPr>
      <w:r>
        <w:rPr>
          <w:noProof/>
        </w:rPr>
        <w:t>Στο πλαίσιο της κατάρτισης της παρούσας οδηγίας, η Επιτροπή διενέργησε αξιολόγηση της υφιστάμενης διαδικασίας κοινοποίησης που ορίζεται στην οδηγία για τις υπηρεσίες. Η αξιολόγηση αποκάλυψε διάφορες ελλείψεις στην υφιστάμενη διαδικασία, και πιο συγκεκριμένα τα εξής: οι δυνατότητες των κρατών μελών, της Επιτροπής και των ενδιαφερόμενων μερών να παρεμβαίνουν κατά προορατικό τρόπο πριν από την έκδοση εθνικού κανονισμού είναι περιορισμένες, τα μέσα χειρισμού κοινοποιηθεισών απαιτήσεων που εμπίπτουν στην εν λόγω διαδικασία δεν παρουσιάζουν συνοχή, υπάρχει έλλειψη ορθών αξιολογήσεων της αναλογικότητας και τα νομικά αποτελέσματα της μη συμμόρφωσης με την υποχρέωση κοινοποίησης δεν είναι σαφή. Πρωτίστως, δεν συμμορφώνονται όλα τα κράτη μέλη με την υποχρέωση κοινοποίησης. Αυτό λειτουργεί εις βάρος των παρόχων υπηρεσιών και των αποδεκτών υπηρεσιών και είναι επίσης πιθανό να καθιστά το έργο των εθνικών διοικητικών και δικαστικών αρχών πιο επαχθές και σύνθετο.</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Η Επιτροπή πραγματοποίησε δημόσια διαβούλευση με τα ενδιαφερόμενα μέρη στο πλαίσιο της προετοιμασίας της παρούσας οδηγίας από τον Ιανουάριο έως τον Απρίλιο του 2016. Διοργάνωσε επίσης διεξοδικές συζητήσεις με θεσμικά ενδιαφερόμενα μέρη (κράτη μέλη και άλλα θεσμικά όργανα της ΕΕ) τα οποία αφορά άμεσα η διαδικασία κοινοποίησης και η σχεδιαζόμενη μεταρρύθμισή της. Τα αποτελέσματα αυτής της διαβούλευσης έχουν δημοσιευτεί και περιλαμβάνονται στην εκτίμηση των επιπτώσεων.</w:t>
      </w:r>
    </w:p>
    <w:p>
      <w:pPr>
        <w:pBdr>
          <w:top w:val="nil"/>
          <w:left w:val="nil"/>
          <w:bottom w:val="nil"/>
          <w:right w:val="nil"/>
          <w:between w:val="nil"/>
          <w:bar w:val="nil"/>
        </w:pBdr>
        <w:spacing w:before="0" w:after="240"/>
        <w:rPr>
          <w:rFonts w:eastAsia="Arial Unicode MS"/>
          <w:noProof/>
        </w:rPr>
      </w:pPr>
      <w:r>
        <w:rPr>
          <w:noProof/>
        </w:rPr>
        <w:t>Μεγάλη πλειονότητα των ενδιαφερόμενων μερών που συμμετείχαν στη δημόσια διαβούλευση τάχθηκαν υπέρ μιας νομοθετικής πρότασης για τον εκσυγχρονισμό της υφιστάμενης διαδικασίας κοινοποίησης βάσει της οδηγίας για τις υπηρεσίες (το 70% των δημόσιων αρχών· το 60 % των επιχειρήσεων). Τα ενδιαφερόμενα μέρη πρόβαλαν διάφορους λόγους: αποσαφήνιση των μέτρων που πρέπει να κοινοποιούνται και πότε, πρόβλεψη της δυνατότητας εξέτασης ενός εθνικού μέτρου πριν από την επίσημη θέσπισή του, θέσπιση σαφών κανόνων για τη διασφάλιση της συμμόρφωσης όλων των κρατών μελών με την υποχρέωση κοινοποίησης και εξασφάλιση της διαφάνειας των κοινοποιήσεων στο ευρύ κοινό.</w:t>
      </w:r>
    </w:p>
    <w:p>
      <w:pPr>
        <w:pBdr>
          <w:top w:val="nil"/>
          <w:left w:val="nil"/>
          <w:bottom w:val="nil"/>
          <w:right w:val="nil"/>
          <w:between w:val="nil"/>
          <w:bar w:val="nil"/>
        </w:pBdr>
        <w:spacing w:before="0" w:after="240"/>
        <w:rPr>
          <w:rFonts w:eastAsia="Arial Unicode MS"/>
          <w:noProof/>
        </w:rPr>
      </w:pPr>
      <w:r>
        <w:rPr>
          <w:noProof/>
        </w:rPr>
        <w:lastRenderedPageBreak/>
        <w:t>Τα ενδιαφερόμενα μέρη που συμμετείχαν στη δημόσια διαβούλευση υποστήριξαν ευρέως μια νομοθετική πρόταση η οποία αποσαφηνίζει και ευθυγραμμίζει τα βήματα της διαδικασίας κοινοποίησης (το 80 % των δημόσιων αρχών και το 80 % των επιχειρήσεων), προσδίδει διαφάνεια στις κοινοποιήσεις (το 60 % των δημόσιων αρχών και το 80 % των επιχειρήσεων), κοινοποιεί μέτρα στο στάδιο της προετοιμασίας τους (το 50 % των δημόσιων αρχών· το 70 % των επιχειρήσεων), παρέχει πληροφορίες σχετικά με τις αξιολογήσεις της αναλογικότητας (το 60 % των δημόσιων αρχών· το 50 % των επιχειρήσεων), διευρύνει το πεδίο της υποχρέωσης κοινοποίησης σε άλλες βασικές απαιτήσεις που εμπίπτουν στο πεδίο εφαρμογής της οδηγίας για τις υπηρεσίες (το 60 % των δημόσιων αρχών· το 75 % των επιχειρήσεων) και ενισχύει τη συμμόρφωση των κρατών μελών με την υποχρέωση κοινοποίησης (το 80 % των δημόσιων αρχών και το 80 % των επιχειρήσεων).</w:t>
      </w:r>
    </w:p>
    <w:p>
      <w:pPr>
        <w:pStyle w:val="ManualHeading2"/>
        <w:rPr>
          <w:rFonts w:eastAsia="Arial Unicode MS"/>
          <w:noProof/>
          <w:u w:color="000000"/>
          <w:bdr w:val="nil"/>
        </w:rPr>
      </w:pPr>
      <w:r>
        <w:rPr>
          <w:noProof/>
        </w:rPr>
        <w:t>•</w:t>
      </w:r>
      <w:r>
        <w:rPr>
          <w:noProof/>
        </w:rPr>
        <w:tab/>
        <w:t>Συλλογή και χρήση εμπειρογνωσίας</w:t>
      </w:r>
    </w:p>
    <w:p>
      <w:pPr>
        <w:pBdr>
          <w:top w:val="nil"/>
          <w:left w:val="nil"/>
          <w:bottom w:val="nil"/>
          <w:right w:val="nil"/>
          <w:between w:val="nil"/>
          <w:bar w:val="nil"/>
        </w:pBdr>
        <w:spacing w:before="0" w:after="240"/>
        <w:rPr>
          <w:rFonts w:eastAsia="Arial Unicode MS"/>
          <w:noProof/>
        </w:rPr>
      </w:pPr>
      <w:r>
        <w:rPr>
          <w:noProof/>
        </w:rPr>
        <w:t>Στην προετοιμασία αυτής της πρότασης οδηγίας συνέβαλαν τα αποτελέσματα της διαδικασίας αμοιβαίας αξιολόγησης με τα κράτη μέλη το 2010-11</w:t>
      </w:r>
      <w:r>
        <w:rPr>
          <w:rStyle w:val="FootnoteReference"/>
          <w:noProof/>
        </w:rPr>
        <w:footnoteReference w:id="9"/>
      </w:r>
      <w:r>
        <w:rPr>
          <w:noProof/>
        </w:rPr>
        <w:t>, οι έλεγχοι επιδόσεων που διενεργήθηκαν το 2011-12</w:t>
      </w:r>
      <w:r>
        <w:rPr>
          <w:rStyle w:val="FootnoteReference"/>
          <w:noProof/>
        </w:rPr>
        <w:footnoteReference w:id="10"/>
      </w:r>
      <w:r>
        <w:rPr>
          <w:noProof/>
        </w:rPr>
        <w:t xml:space="preserve"> και η αξιολόγηση από ομοτίμους που πραγματοποιήθηκε το 2012-2013</w:t>
      </w:r>
      <w:r>
        <w:rPr>
          <w:rStyle w:val="FootnoteReference"/>
          <w:noProof/>
        </w:rPr>
        <w:footnoteReference w:id="11"/>
      </w:r>
      <w:r>
        <w:rPr>
          <w:noProof/>
        </w:rPr>
        <w:t>.</w:t>
      </w:r>
    </w:p>
    <w:p>
      <w:pPr>
        <w:pBdr>
          <w:top w:val="nil"/>
          <w:left w:val="nil"/>
          <w:bottom w:val="nil"/>
          <w:right w:val="nil"/>
          <w:between w:val="nil"/>
          <w:bar w:val="nil"/>
        </w:pBdr>
        <w:spacing w:before="0" w:after="240"/>
        <w:rPr>
          <w:rFonts w:eastAsia="Arial Unicode MS"/>
          <w:noProof/>
        </w:rPr>
      </w:pPr>
      <w:r>
        <w:rPr>
          <w:noProof/>
        </w:rPr>
        <w:t>Το Ελεγκτικό Συνέδριο εξέτασε την υφιστάμενη υποχρέωση κοινοποίησης στο πλαίσιο της αξιολόγησης που διενέργησε για την αποτελεσματική εφαρμογή της οδηγίας για τις υπηρεσίες</w:t>
      </w:r>
      <w:r>
        <w:rPr>
          <w:rStyle w:val="FootnoteReference"/>
          <w:noProof/>
        </w:rPr>
        <w:footnoteReference w:id="12"/>
      </w:r>
      <w:r>
        <w:rPr>
          <w:noProof/>
        </w:rPr>
        <w:t>. Εντόπισε μια σειρά ανεπαρκειών, συμπεριλαμβανομένης της έλλειψης σαφήνειας στην υφιστάμενη διαδικασία, της απουσίας υποχρέωσης για κοινοποίηση ενός μέτρου κατά το στάδιο του σχεδίου, καθώς και της έλλειψης διαφάνειας στις κοινοποιήσεις.</w:t>
      </w:r>
    </w:p>
    <w:p>
      <w:pPr>
        <w:pStyle w:val="ManualHeading2"/>
        <w:rPr>
          <w:rFonts w:eastAsia="Arial Unicode MS"/>
          <w:noProof/>
          <w:u w:color="000000"/>
          <w:bdr w:val="nil"/>
        </w:rPr>
      </w:pPr>
      <w:r>
        <w:rPr>
          <w:noProof/>
        </w:rPr>
        <w:t>•</w:t>
      </w:r>
      <w:r>
        <w:rPr>
          <w:noProof/>
        </w:rPr>
        <w:tab/>
        <w:t>Εκτίμηση επιπτώσεων</w:t>
      </w:r>
    </w:p>
    <w:p>
      <w:pPr>
        <w:autoSpaceDE w:val="0"/>
        <w:autoSpaceDN w:val="0"/>
        <w:adjustRightInd w:val="0"/>
        <w:spacing w:before="0" w:after="240"/>
        <w:rPr>
          <w:rFonts w:eastAsia="Arial Unicode MS"/>
          <w:noProof/>
        </w:rPr>
      </w:pPr>
      <w:r>
        <w:rPr>
          <w:noProof/>
        </w:rPr>
        <w:t>Διενεργήθηκε εκτίμηση επιπτώσεων στο πλαίσιο της προετοιμασίας της παρούσας πρωτοβουλίας. Πέραν της επικρατούσας κατάστασης (βασικό σενάριο), εξετάστηκαν τέσσερις επιλογές πολιτικής στην έκθεση εκτίμησης επιπτώσεων. Οι μη νομοθετικές κατευθυντήριες γραμμές (επιλογή 2) θα μπορούσαν να συμβάλουν στην αποσαφήνιση της τρέχουσας διαδικασίας και των υποχρεώσεων που απορρέουν από αυτήν, αλλά δεν θα μπορούσαν να αλλάξουν τον σχεδιασμό της υπάρχουσας διαδικασίας ώστε να καταστεί πιο αποτελεσματική και αποδοτική.</w:t>
      </w:r>
    </w:p>
    <w:p>
      <w:pPr>
        <w:autoSpaceDE w:val="0"/>
        <w:autoSpaceDN w:val="0"/>
        <w:adjustRightInd w:val="0"/>
        <w:spacing w:before="0" w:after="240"/>
        <w:rPr>
          <w:rFonts w:eastAsia="Arial Unicode MS"/>
          <w:noProof/>
        </w:rPr>
      </w:pPr>
      <w:r>
        <w:rPr>
          <w:noProof/>
        </w:rPr>
        <w:t xml:space="preserve">Μια νομοθετική πρωτοβουλία θα μπορούσε να περιλαμβάνει διάφορες επιλογές. Θα μπορούσε να έχει στόχο την αύξηση της αποτελεσματικότητας, του περιεχομένου και της ποιότητας της διαδικασίας κοινοποίησης, θεσπίζοντας την υποχρέωση κοινοποίησης των σχεδίων νομοθετικών πράξεων, προσδίδοντας διαφάνεια στο σύστημα, διευκρινίζοντας τα μέτρα και τα καθήκοντα σχετικά με τη διαδικασία και βελτιώνοντας την ποιότητα των πληροφοριών που υποβάλλονται στο πλαίσιο της κοινοποίησης (επιλογή 3). Προκειμένου να είναι πιο αποτελεσματική και ουσιαστική, η υποχρέωση κοινοποίησης θα μπορούσε να επεκταθεί ως προς το πεδίο εφαρμογής και να περιλαμβάνει τις σημαντικές κανονιστικές απαιτήσεις που εμπίπτουν στο πεδίο εφαρμογής της οδηγίας για τις υπηρεσίες, αλλά όχι την </w:t>
      </w:r>
      <w:r>
        <w:rPr>
          <w:noProof/>
        </w:rPr>
        <w:lastRenderedPageBreak/>
        <w:t>υφιστάμενη υποχρέωση κοινοποίησης (επιλογή 4). Και θα μπορούσε να περιλαμβάνει επιπροσθέτως τα μέσα για την ενίσχυση της συμμόρφωσης των κρατών μελών με την υποχρέωση κοινοποίησης - στο πλαίσιο αυτό υφίστανται δύο επιμέρους επιλογές (επιλογές 5α &amp; 5β).</w:t>
      </w:r>
    </w:p>
    <w:p>
      <w:pPr>
        <w:autoSpaceDE w:val="0"/>
        <w:autoSpaceDN w:val="0"/>
        <w:adjustRightInd w:val="0"/>
        <w:spacing w:before="0" w:after="240"/>
        <w:rPr>
          <w:rFonts w:eastAsia="Arial Unicode MS"/>
          <w:noProof/>
        </w:rPr>
      </w:pPr>
      <w:r>
        <w:rPr>
          <w:noProof/>
        </w:rPr>
        <w:t>Η επιλογή να συμπεριληφθούν οι υπηρεσίες στην οδηγία για τη διαφάνεια στην ενιαία αγορά απορρίφθηκε επειδή οι κανονιστικές ρυθμίσεις για τα αγαθά και τις υπηρεσίες στην νομοθεσία της ΕΕ παρουσιάζουν σημαντικές διαφορές. Η επιλογή για τη συγχώνευση της υποχρέωσης της οδηγίας για τα επαγγελματικά προσόντα και της υποχρέωσης κοινοποίησης της οδηγίας για τις υπηρεσίες δεν εξετάστηκε διότι οι δύο οδηγίες διαφέρουν όσον αφορά το πεδίο εφαρμογής και το αντικείμενο.</w:t>
      </w:r>
    </w:p>
    <w:p>
      <w:pPr>
        <w:pBdr>
          <w:top w:val="nil"/>
          <w:left w:val="nil"/>
          <w:bottom w:val="nil"/>
          <w:right w:val="nil"/>
          <w:between w:val="nil"/>
          <w:bar w:val="nil"/>
        </w:pBdr>
        <w:spacing w:before="0" w:after="240"/>
        <w:rPr>
          <w:rFonts w:eastAsia="Arial Unicode MS"/>
          <w:noProof/>
        </w:rPr>
      </w:pPr>
      <w:r>
        <w:rPr>
          <w:noProof/>
        </w:rPr>
        <w:t>Η προτιμώμενη επιλογή είναι ένας συνδυασμός των επιλογών 3, 4 και 5α. Τούτο αναμένεται να επιτρέψει την καλύτερη αντιμετώπιση των ελλείψεων που διαπιστώθηκαν και να καθιερώσει μια αποδοτική και αποτελεσματική διαδικασία κοινοποίησης με μικρή μόνο αύξηση των διοικητικών δαπανών για τις εθνικές δημόσιες αρχές και για την Επιτροπή.</w:t>
      </w:r>
    </w:p>
    <w:p>
      <w:pPr>
        <w:pBdr>
          <w:top w:val="nil"/>
          <w:left w:val="nil"/>
          <w:bottom w:val="nil"/>
          <w:right w:val="nil"/>
          <w:between w:val="nil"/>
          <w:bar w:val="nil"/>
        </w:pBdr>
        <w:spacing w:before="0" w:after="240"/>
        <w:rPr>
          <w:rFonts w:eastAsia="Arial Unicode MS"/>
          <w:noProof/>
        </w:rPr>
      </w:pPr>
      <w:r>
        <w:rPr>
          <w:noProof/>
        </w:rPr>
        <w:t>Στις 24 Ιουνίου 2016, η επιτροπή ρυθμιστικού ελέγχου εξέδωσε θετική γνώμη σχετικά με την εκτίμηση των επιπτώσεων που διενέργησε η Επιτροπή όσον αφορά αυτή τη συγκεκριμένη πρωτοβουλία. Συνυπολογίστηκαν πλήρως οι συστάσεις της εν λόγω επιτροπής να εξηγηθούν αναλυτικότερα οι ελλείψεις της υφιστάμενης διαδικασίας κοινοποίησης, να βελτιωθεί η αιτιολόγηση για το προτεινόμενο πεδίο εφαρμογής της αναθεωρημένης διαδικασίας, να εξηγηθεί καλύτερα ο τρόπος με τον οποίο διασυνδέονται ο ορισμός του προβλήματος και οι επιλογές και να εξηγηθεί λεπτομερέστερα το περιεχόμενο της προτιμώμενης επιλογής και ο τρόπος με τον οποίο θα επιλύσει τα προβλήματα που εντοπίστηκαν</w:t>
      </w:r>
      <w:r>
        <w:rPr>
          <w:rStyle w:val="FootnoteReference"/>
          <w:noProof/>
        </w:rPr>
        <w:footnoteReference w:id="13"/>
      </w:r>
      <w:r>
        <w:rPr>
          <w:noProof/>
        </w:rPr>
        <w:t>.</w:t>
      </w:r>
    </w:p>
    <w:p>
      <w:pPr>
        <w:pStyle w:val="ManualHeading2"/>
        <w:rPr>
          <w:rFonts w:eastAsia="Arial Unicode MS"/>
          <w:noProof/>
          <w:u w:color="000000"/>
          <w:bdr w:val="nil"/>
        </w:rPr>
      </w:pPr>
      <w:r>
        <w:rPr>
          <w:noProof/>
        </w:rPr>
        <w:t>•</w:t>
      </w:r>
      <w:r>
        <w:rPr>
          <w:noProof/>
        </w:rPr>
        <w:tab/>
        <w:t>Καταλληλότητα του κανονιστικού πλαισίου και απλούστευση</w:t>
      </w:r>
    </w:p>
    <w:p>
      <w:pPr>
        <w:pBdr>
          <w:top w:val="nil"/>
          <w:left w:val="nil"/>
          <w:bottom w:val="nil"/>
          <w:right w:val="nil"/>
          <w:between w:val="nil"/>
          <w:bar w:val="nil"/>
        </w:pBdr>
        <w:spacing w:before="0" w:after="240"/>
        <w:rPr>
          <w:rFonts w:eastAsia="Arial Unicode MS"/>
          <w:noProof/>
        </w:rPr>
      </w:pPr>
      <w:r>
        <w:rPr>
          <w:noProof/>
        </w:rPr>
        <w:t>Η προτεινόμενη οδηγία θα ενισχύει την καταλληλότητα του κανονιστικού πλαισίου και θα συμβάλει στην απλούστευσή του βελτιώνοντας την ομοιόμορφη επιβολή της υφιστάμενης νομοθεσίας της ΕΕ στην ενιαία αγορά και συμβάλλοντας στην αποτροπή της δημιουργίας φραγμών που εισάγουν διακρίσεις ή είναι αδικαιολόγητοι ή δυσανάλογοι στον τομέα των υπηρεσιών. Θα αντικαταστήσει την υφιστάμενη διαδικασία κοινοποίησης που έχει θεσπίσει η οδηγία για τις υπηρεσίες με μια πιο σαφή, πιο συνεκτική, αποτελεσματική και αποδοτική διαδικασία. Θα συμβάλει στην ενίσχυση της σταθερότητας του κανονιστικού περιβάλλοντος, καθώς καθιστά δυνατό τον έλεγχο της συμμόρφωσης με την οδηγία για τις υπηρεσίες των συστημάτων χορήγησης άδειας και ορισμένων απαιτήσεων κατά το στάδιο του σχεδίου και πριν από τη θέσπισή τους, ελαχιστοποιώντας κατά αυτόν τον τρόπο τον κίνδυνο μη συμμόρφωσης ορισμένων εθνικών μέτρων με την οδηγία για τις υπηρεσίες και απαίτησης περαιτέρω νομικών προσαρμογών.</w:t>
      </w:r>
    </w:p>
    <w:p>
      <w:pPr>
        <w:pStyle w:val="ManualHeading2"/>
        <w:rPr>
          <w:rFonts w:eastAsia="Arial Unicode MS"/>
          <w:noProof/>
          <w:u w:color="000000"/>
          <w:bdr w:val="nil"/>
        </w:rPr>
      </w:pPr>
      <w:r>
        <w:rPr>
          <w:noProof/>
        </w:rPr>
        <w:t>•</w:t>
      </w:r>
      <w:r>
        <w:rPr>
          <w:noProof/>
        </w:rPr>
        <w:tab/>
        <w:t>Θεμελιώδη δικαιώματα</w:t>
      </w:r>
    </w:p>
    <w:p>
      <w:pPr>
        <w:pBdr>
          <w:top w:val="nil"/>
          <w:left w:val="nil"/>
          <w:bottom w:val="nil"/>
          <w:right w:val="nil"/>
          <w:between w:val="nil"/>
          <w:bar w:val="nil"/>
        </w:pBdr>
        <w:spacing w:before="0" w:after="240"/>
        <w:rPr>
          <w:rFonts w:eastAsia="Arial Unicode MS"/>
          <w:noProof/>
        </w:rPr>
      </w:pPr>
      <w:r>
        <w:rPr>
          <w:noProof/>
        </w:rPr>
        <w:t>Η παρούσα πρόταση προάγει τα δικαιώματα που προβλέπονται στον Χάρτη των Θεμελιωδών Δικαιωμάτων, και ιδίως στο άρθρο 16 σχετικά με την επιχειρηματική ελευθερία.</w:t>
      </w:r>
    </w:p>
    <w:p>
      <w:pPr>
        <w:pStyle w:val="ManualHeading1"/>
        <w:rPr>
          <w:noProof/>
        </w:rPr>
      </w:pPr>
      <w:r>
        <w:rPr>
          <w:noProof/>
        </w:rPr>
        <w:lastRenderedPageBreak/>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rPr>
      </w:pPr>
      <w:r>
        <w:rPr>
          <w:noProof/>
        </w:rPr>
        <w:t>Η πρόταση δεν έχει επιπτώσεις στον προϋπολογισμό της Ευρωπαϊκής Ένωσης.</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παρακολούθηση, αξιολόγηση και ρυθμίσεις περί υποβολής εκθέσεων</w:t>
      </w:r>
    </w:p>
    <w:p>
      <w:pPr>
        <w:pBdr>
          <w:top w:val="nil"/>
          <w:left w:val="nil"/>
          <w:bottom w:val="nil"/>
          <w:right w:val="nil"/>
          <w:between w:val="nil"/>
          <w:bar w:val="nil"/>
        </w:pBdr>
        <w:spacing w:before="0" w:after="240"/>
        <w:rPr>
          <w:rFonts w:eastAsia="Arial Unicode MS"/>
          <w:noProof/>
        </w:rPr>
      </w:pPr>
      <w:r>
        <w:rPr>
          <w:noProof/>
        </w:rPr>
        <w:t>Η οδηγία προβλέπει ότι η Επιτροπή θα υποβάλλει έκθεση σχετικά με τα αποτελέσματα της εφαρμογής της οδηγίας κάθε τρία έτη.</w:t>
      </w:r>
    </w:p>
    <w:p>
      <w:pPr>
        <w:pStyle w:val="ManualHeading2"/>
        <w:rPr>
          <w:rFonts w:eastAsia="Arial Unicode MS"/>
          <w:noProof/>
          <w:u w:color="000000"/>
          <w:bdr w:val="nil"/>
        </w:rPr>
      </w:pPr>
      <w:r>
        <w:rPr>
          <w:noProof/>
        </w:rPr>
        <w:t>•</w:t>
      </w:r>
      <w:r>
        <w:rPr>
          <w:noProof/>
        </w:rPr>
        <w:tab/>
        <w:t>Επεξηγηματικά έγγραφα</w:t>
      </w:r>
    </w:p>
    <w:p>
      <w:pPr>
        <w:pBdr>
          <w:top w:val="nil"/>
          <w:left w:val="nil"/>
          <w:bottom w:val="nil"/>
          <w:right w:val="nil"/>
          <w:between w:val="nil"/>
          <w:bar w:val="nil"/>
        </w:pBdr>
        <w:spacing w:before="0" w:after="240"/>
        <w:rPr>
          <w:rFonts w:eastAsia="Arial Unicode MS"/>
          <w:noProof/>
        </w:rPr>
      </w:pPr>
      <w:r>
        <w:rPr>
          <w:noProof/>
        </w:rPr>
        <w:t>Αυτή η πρόταση δεν απαιτεί επεξηγηματικά έγγραφα για τη μεταφορά στο εθνικό δίκαιο, δεδομένου ότι εισάγει περιορισμένες αλλαγές σε μια ήδη υπάρχουσα διαδικασία κοινοποίησης που έχει θεσπίσει η οδηγία για τις υπηρεσίες. Η Επιτροπή μπορεί, ωστόσο, στις περιπτώσεις που απαιτείται, να παρουσιάσει κατευθυντήριες γραμμές σχετικά με την εφαρμογή της αναθεωρημένης διαδικασίας κοινοποίησης.</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pBdr>
          <w:top w:val="nil"/>
          <w:left w:val="nil"/>
          <w:bottom w:val="nil"/>
          <w:right w:val="nil"/>
          <w:between w:val="nil"/>
          <w:bar w:val="nil"/>
        </w:pBdr>
        <w:spacing w:before="0" w:after="240"/>
        <w:rPr>
          <w:rFonts w:eastAsia="Arial Unicode MS"/>
          <w:noProof/>
        </w:rPr>
      </w:pPr>
      <w:r>
        <w:rPr>
          <w:noProof/>
        </w:rPr>
        <w:t>Στο άρθρο 1 ορίζονται το αντικείμενο και το πεδίο εφαρμογής της προτεινόμενης οδηγίας. Στόχος της οδηγίας είναι να διασφαλίσει τη συμμόρφωση με την οδηγία για τις υπηρεσίες, των νομοθετικών, κανονιστικών ή διοικητικών διατάξεων των κρατών μελών που θεσπίζουν συστήματα χορήγησης άδειας ή ορισμένες απαιτήσεις που εμπίπτουν στο πεδίο εφαρμογής της οδηγίας για τις υπηρεσίες. Συνεπώς, οι τομείς υπηρεσιών που καλύπτονται από την παρούσα οδηγία είναι εκείνοι που καλύπτονται από την οδηγία για τις υπηρεσίες.</w:t>
      </w:r>
    </w:p>
    <w:p>
      <w:pPr>
        <w:pBdr>
          <w:top w:val="nil"/>
          <w:left w:val="nil"/>
          <w:bottom w:val="nil"/>
          <w:right w:val="nil"/>
          <w:between w:val="nil"/>
          <w:bar w:val="nil"/>
        </w:pBdr>
        <w:spacing w:before="0" w:after="240"/>
        <w:rPr>
          <w:rFonts w:eastAsia="Arial Unicode MS"/>
          <w:noProof/>
        </w:rPr>
      </w:pPr>
      <w:r>
        <w:rPr>
          <w:noProof/>
        </w:rPr>
        <w:t>Στο άρθρο 2 προβλέπονται οι σχετικοί ορισμοί σύμφωνα τόσο με τους ορισμούς της Συνθήκης, όπως ερμηνεύονται από το Δικαστήριο της ΕΕ, όσο και με την οδηγία για τις υπηρεσίες.</w:t>
      </w:r>
    </w:p>
    <w:p>
      <w:pPr>
        <w:pBdr>
          <w:top w:val="nil"/>
          <w:left w:val="nil"/>
          <w:bottom w:val="nil"/>
          <w:right w:val="nil"/>
          <w:between w:val="nil"/>
          <w:bar w:val="nil"/>
        </w:pBdr>
        <w:spacing w:before="0" w:after="240"/>
        <w:rPr>
          <w:rFonts w:eastAsia="Arial Unicode MS"/>
          <w:noProof/>
        </w:rPr>
      </w:pPr>
      <w:r>
        <w:rPr>
          <w:noProof/>
        </w:rPr>
        <w:t>Το άρθρο 3 βασίζεται στην υποχρέωση κοινοποίησης που ορίζεται στην οδηγία για τις υπηρεσίες. Προβλέπει μια ειδική και άνευ όρων υποχρέωση για τα κράτη μέλη. Προσδιορίζει επίσης ποια μέτρα πρέπει να κοινοποιούνται και πότε, ποιες συνοδευτικές πληροφορίες πρέπει να υποβάλλονται στο πλαίσιο οποιασδήποτε κοινοποίησης, καθώς και τις επιπτώσεις σε περίπτωση μη εκπλήρωσης ορισμένων υποχρεώσεων βάσει αυτής της οδηγίας. Για να καταστεί η διαδικασία κοινοποίησης αποδοτική και αποτελεσματική και προς το συμφέρον όλων των ενδιαφερόμενων μερών, τα ισχύοντα χρονικά όρια ορίζονται τόσο στο άρθρο 3 όσο και στο άρθρο 5. Για την αποφυγή της ανασφάλειας δικαίου και προκειμένου να διασφαλιστεί η ομαλή λειτουργία της διαδικασίας, τα εν λόγω χρονικά όρια αρχίζουν να τρέχουν μόλις δηλωθεί ότι η κοινοποίηση έχει ολοκληρωθεί.</w:t>
      </w:r>
    </w:p>
    <w:p>
      <w:pPr>
        <w:pBdr>
          <w:top w:val="nil"/>
          <w:left w:val="nil"/>
          <w:bottom w:val="nil"/>
          <w:right w:val="nil"/>
          <w:between w:val="nil"/>
          <w:bar w:val="nil"/>
        </w:pBdr>
        <w:spacing w:before="0" w:after="240"/>
        <w:rPr>
          <w:rFonts w:eastAsia="Arial Unicode MS"/>
          <w:noProof/>
        </w:rPr>
      </w:pPr>
      <w:r>
        <w:rPr>
          <w:noProof/>
        </w:rPr>
        <w:t>Το άρθρο 4 προσδιορίζει ποιες από τις απαιτήσεις και τα συστήματα χορήγησης άδειας που εμπίπτουν στο πεδίο εφαρμογής της οδηγίας 2006/123/ΕΚ καλύπτονται από την υποχρέωση κοινοποίησης. Προβλέπει ότι τα κράτη μέλη πρέπει να κοινοποιούν τα συστήματα χορήγησης άδειας, ορισμένες απαιτήσεις σχετικά με την εγκατάσταση, ορισμένες απαιτήσεις που επηρεάζουν την ελεύθερη παροχή υπηρεσιών και απαιτήσεις που αφορούν την ασφάλιση επαγγελματικής ευθύνης και τις δραστηριότητες πολλαπλών ειδικοτήτων.</w:t>
      </w:r>
    </w:p>
    <w:p>
      <w:pPr>
        <w:pBdr>
          <w:top w:val="nil"/>
          <w:left w:val="nil"/>
          <w:bottom w:val="nil"/>
          <w:right w:val="nil"/>
          <w:between w:val="nil"/>
          <w:bar w:val="nil"/>
        </w:pBdr>
        <w:spacing w:before="0" w:after="240"/>
        <w:rPr>
          <w:rFonts w:eastAsia="Arial Unicode MS"/>
          <w:noProof/>
        </w:rPr>
      </w:pPr>
      <w:r>
        <w:rPr>
          <w:noProof/>
        </w:rPr>
        <w:lastRenderedPageBreak/>
        <w:t>Το άρθρο 5 ορίζει μια περίοδο διαβούλευσης διάρκειας τριών μηνών μετά την κοινοποίηση ενός σχεδίου μέτρου. Η Επιτροπή και τα κράτη μέλη έχουν στη διάθεσή τους μέγιστο χρονικό διάστημα δύο μηνών για να υποβάλουν σχόλια για ένα κοινοποιηθέν μέτρο ενώ, στη συνέχεια, το κράτος μέλος που πραγματοποιεί την κοινοποίηση έχει στη διάθεσή του μέγιστο χρονικό διάστημα ενός μήνα για να απαντήσει σε αυτά τα σχόλια. Η ανάγκη για ταχύτητα και αποτελεσματικότητα πρέπει να συμβαδίζει με την ανάγκη τα εμπλεκόμενα μέρη να είναι σε θέση να κάνουν αναλυτικά και εποικοδομητικά σχόλια και το κράτος μέλος που πραγματοποιεί την κοινοποίηση να αντιμετωπίζει τους προβληματισμούς που εγείρονται. Όλα τα μέρη πρέπει να εφαρμόζουν τη διαδικασία σε πνεύμα ειλικρινούς συνεργασίας και σεβασμού για τις εύλογες ανάγκες των άλλων μερών, προς όφελος της ομαλής και αποτελεσματικής εφαρμογής της διαδικασίας κοινοποίησης.</w:t>
      </w:r>
    </w:p>
    <w:p>
      <w:pPr>
        <w:pBdr>
          <w:top w:val="nil"/>
          <w:left w:val="nil"/>
          <w:bottom w:val="nil"/>
          <w:right w:val="nil"/>
          <w:between w:val="nil"/>
          <w:bar w:val="nil"/>
        </w:pBdr>
        <w:spacing w:before="0" w:after="240"/>
        <w:rPr>
          <w:rFonts w:eastAsia="Arial Unicode MS"/>
          <w:noProof/>
        </w:rPr>
      </w:pPr>
      <w:r>
        <w:rPr>
          <w:noProof/>
        </w:rPr>
        <w:t>Σύμφωνα με το άρθρο 6, η Επιτροπή μπορεί να εκδώσει προειδοποίηση προς το κράτος μέλος που πραγματοποιεί την κοινοποίηση σε περίπτωση που, μετά την αξιολόγηση του κοινοποιηθέντος μέτρου, έχει προβληματισμούς σχετικά με τη συμμόρφωση με την οδηγία για τις υπηρεσίες. Η έκδοση προειδοποίησης συνεπάγεται ότι το οικείο κράτος μέλος δεν θα προβεί στη θέσπιση του επίμαχου κοινοποιηθέντος μέτρου για τρεις μήνες.</w:t>
      </w:r>
    </w:p>
    <w:p>
      <w:pPr>
        <w:pBdr>
          <w:top w:val="nil"/>
          <w:left w:val="nil"/>
          <w:bottom w:val="nil"/>
          <w:right w:val="nil"/>
          <w:between w:val="nil"/>
          <w:bar w:val="nil"/>
        </w:pBdr>
        <w:spacing w:before="0" w:after="240"/>
        <w:rPr>
          <w:rFonts w:eastAsia="Arial Unicode MS"/>
          <w:noProof/>
        </w:rPr>
      </w:pPr>
      <w:r>
        <w:rPr>
          <w:noProof/>
        </w:rPr>
        <w:t>Μετά την έκδοση προειδοποίησης, η Επιτροπή μπορεί, σύμφωνα με το άρθρο 7 βάσει της υπάρχουσας διάταξης της οδηγίας για τις υπηρεσίες, να εκδώσει νομικά δεσμευτική απόφαση με την οποία το κοινοποιηθέν μέτρο θα χαρακτηρίζεται μη συμβατό με την οδηγία για τις υπηρεσίες και θα ζητείται από το κράτος μέλος που πραγματοποιεί την κοινοποίηση να μην προβεί στη θέσπισή του.</w:t>
      </w:r>
    </w:p>
    <w:p>
      <w:pPr>
        <w:pBdr>
          <w:top w:val="nil"/>
          <w:left w:val="nil"/>
          <w:bottom w:val="nil"/>
          <w:right w:val="nil"/>
          <w:between w:val="nil"/>
          <w:bar w:val="nil"/>
        </w:pBdr>
        <w:spacing w:before="0" w:after="240"/>
        <w:rPr>
          <w:rFonts w:eastAsia="Arial Unicode MS"/>
          <w:noProof/>
        </w:rPr>
      </w:pPr>
      <w:r>
        <w:rPr>
          <w:noProof/>
        </w:rPr>
        <w:t>Το άρθρο 8 προβλέπει ότι πρέπει να εξασφαλίζεται η διαφάνεια των κοινοποιηθέντων σχεδίων μέτρων, των συνοδευτικών πληροφοριών και των τελικών μέτρων που θεσπίζονται για τα τρίτα μέρη. Δεδομένης της γνώσης που έχουν για τις σχετικές αγορές και τον αντίκτυπο των νομοθετικών, κανονιστικών και διοικητικών διατάξεων σε αυτά, είναι σημαντικό τα τρίτα μέρη να μπορούν να ενημερώνονται για τα κοινοποιηθέντα σχέδια μέτρων.</w:t>
      </w:r>
    </w:p>
    <w:p>
      <w:pPr>
        <w:pBdr>
          <w:top w:val="nil"/>
          <w:left w:val="nil"/>
          <w:bottom w:val="nil"/>
          <w:right w:val="nil"/>
          <w:between w:val="nil"/>
          <w:bar w:val="nil"/>
        </w:pBdr>
        <w:spacing w:before="0" w:after="240"/>
        <w:rPr>
          <w:rFonts w:eastAsia="Arial Unicode MS"/>
          <w:noProof/>
        </w:rPr>
      </w:pPr>
      <w:r>
        <w:rPr>
          <w:noProof/>
        </w:rPr>
        <w:t>Το άρθρο 9 προβλέπει τον διορισμό αρχής σε κάθε κράτος μέλος που θα είναι αρμόδια σε εθνικό επίπεδο για τη λειτουργία της διαδικασίας κοινοποίησης που ορίζεται στην παρούσα οδηγία.</w:t>
      </w:r>
    </w:p>
    <w:p>
      <w:pPr>
        <w:pBdr>
          <w:top w:val="nil"/>
          <w:left w:val="nil"/>
          <w:bottom w:val="nil"/>
          <w:right w:val="nil"/>
          <w:between w:val="nil"/>
          <w:bar w:val="nil"/>
        </w:pBdr>
        <w:spacing w:before="0" w:after="240"/>
        <w:rPr>
          <w:rFonts w:eastAsia="Arial Unicode MS"/>
          <w:noProof/>
        </w:rPr>
      </w:pPr>
      <w:r>
        <w:rPr>
          <w:noProof/>
        </w:rPr>
        <w:t>Το άρθρο 10 αποσαφηνίζει τη σχέση μεταξύ της παρούσας οδηγίας και της οδηγίας (ΕΕ) 2015/1535, καθώς και της οδηγίας 2005/36/ΕΚ.</w:t>
      </w:r>
    </w:p>
    <w:p>
      <w:pPr>
        <w:pBdr>
          <w:top w:val="nil"/>
          <w:left w:val="nil"/>
          <w:bottom w:val="nil"/>
          <w:right w:val="nil"/>
          <w:between w:val="nil"/>
          <w:bar w:val="nil"/>
        </w:pBdr>
        <w:spacing w:before="0" w:after="240"/>
        <w:rPr>
          <w:rFonts w:eastAsia="Arial Unicode MS"/>
          <w:noProof/>
        </w:rPr>
      </w:pPr>
      <w:r>
        <w:rPr>
          <w:noProof/>
        </w:rPr>
        <w:t xml:space="preserve">Το άρθρο 11 προβλέπει περιοδική εξέταση της εφαρμογής της οδηγίας. </w:t>
      </w:r>
    </w:p>
    <w:p>
      <w:pPr>
        <w:pBdr>
          <w:top w:val="nil"/>
          <w:left w:val="nil"/>
          <w:bottom w:val="nil"/>
          <w:right w:val="nil"/>
          <w:between w:val="nil"/>
          <w:bar w:val="nil"/>
        </w:pBdr>
        <w:spacing w:before="0" w:after="240"/>
        <w:rPr>
          <w:rFonts w:eastAsia="Arial Unicode MS"/>
          <w:noProof/>
        </w:rPr>
      </w:pPr>
      <w:r>
        <w:rPr>
          <w:noProof/>
        </w:rPr>
        <w:t>Το άρθρο 12 προβλέπει τροποποιήσεις της οδηγίας 2006/123/ΕΚ.</w:t>
      </w:r>
    </w:p>
    <w:p>
      <w:pPr>
        <w:pBdr>
          <w:top w:val="nil"/>
          <w:left w:val="nil"/>
          <w:bottom w:val="nil"/>
          <w:right w:val="nil"/>
          <w:between w:val="nil"/>
          <w:bar w:val="nil"/>
        </w:pBdr>
        <w:spacing w:before="0" w:after="240"/>
        <w:rPr>
          <w:rFonts w:eastAsia="Arial Unicode MS"/>
          <w:noProof/>
        </w:rPr>
      </w:pPr>
      <w:r>
        <w:rPr>
          <w:noProof/>
        </w:rPr>
        <w:t>Το άρθρο 13 προβλέπει τροποποίηση του παραρτήματος του κανονισμού (ΕΕ) αριθ. 1024/2012.</w:t>
      </w:r>
    </w:p>
    <w:p>
      <w:pPr>
        <w:pBdr>
          <w:top w:val="nil"/>
          <w:left w:val="nil"/>
          <w:bottom w:val="nil"/>
          <w:right w:val="nil"/>
          <w:between w:val="nil"/>
          <w:bar w:val="nil"/>
        </w:pBdr>
        <w:spacing w:before="0" w:after="240"/>
        <w:rPr>
          <w:rFonts w:eastAsia="Arial Unicode MS"/>
          <w:noProof/>
        </w:rPr>
      </w:pPr>
      <w:r>
        <w:rPr>
          <w:noProof/>
        </w:rPr>
        <w:t>Το άρθρο 14 προσδιορίζει την περίοδο για τη μεταφορά της οδηγίας από τα κράτη μέλη.</w:t>
      </w:r>
    </w:p>
    <w:p>
      <w:pPr>
        <w:pBdr>
          <w:top w:val="nil"/>
          <w:left w:val="nil"/>
          <w:bottom w:val="nil"/>
          <w:right w:val="nil"/>
          <w:between w:val="nil"/>
          <w:bar w:val="nil"/>
        </w:pBdr>
        <w:spacing w:before="0" w:after="240"/>
        <w:rPr>
          <w:rFonts w:eastAsia="Arial Unicode MS"/>
          <w:noProof/>
        </w:rPr>
      </w:pPr>
      <w:r>
        <w:rPr>
          <w:noProof/>
        </w:rPr>
        <w:t>Το άρθρο 15 αφορά την έναρξη ισχύος και την εφαρμογή.</w:t>
      </w:r>
    </w:p>
    <w:p>
      <w:pPr>
        <w:pBdr>
          <w:top w:val="nil"/>
          <w:left w:val="nil"/>
          <w:bottom w:val="nil"/>
          <w:right w:val="nil"/>
          <w:between w:val="nil"/>
          <w:bar w:val="nil"/>
        </w:pBdr>
        <w:spacing w:before="0" w:after="240"/>
        <w:rPr>
          <w:rFonts w:eastAsia="Arial Unicode MS"/>
          <w:noProof/>
        </w:rPr>
      </w:pPr>
      <w:r>
        <w:rPr>
          <w:noProof/>
        </w:rPr>
        <w:t>Το άρθρο 16 προσδιορίζει τους αποδέκτες της οδηγίας.</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2016/0398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για την επιβολή της οδηγίας 2006/123/ΕΚ σχετικά με τις υπηρεσίες στην εσωτερική αγορά, για τη θέσπιση διαδικασίας κοινοποίησης για τα συστήματα χορήγησης άδειας και τις απαιτήσεις που σχετίζονται με υπηρεσίες και για την τροποποίηση της οδηγίας 2006/123/ΕΚ και του κανονισμού (ΕΕ) αριθ. 1024/2012 σχετικά με τη διοικητική συνεργασία μέσω του Συστήματος Πληροφόρησης για την Εσωτερική Αγορά</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53 παράγραφος 1 και τα άρθρα 62 και 114,</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4"/>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Η Συνθήκη για τη λειτουργία της Ευρωπαϊκής Ένωσης (ΣΛΕΕ) διασφαλίζει για τους παρόχους υπηρεσιών την ελευθερία εγκατάστασης σε άλλα κράτη μέλη και την ελεύθερη παροχή υπηρεσιών μεταξύ των κρατών μελών.</w:t>
      </w:r>
    </w:p>
    <w:p>
      <w:pPr>
        <w:pStyle w:val="ManualConsidrant"/>
        <w:rPr>
          <w:noProof/>
        </w:rPr>
      </w:pPr>
      <w:r>
        <w:t>(2)</w:t>
      </w:r>
      <w:r>
        <w:tab/>
      </w:r>
      <w:r>
        <w:rPr>
          <w:noProof/>
        </w:rPr>
        <w:t>Η οδηγία 2006/123/ΕΚ του Ευρωπαϊκού Κοινοβουλίου και του Συμβουλίου</w:t>
      </w:r>
      <w:r>
        <w:rPr>
          <w:rStyle w:val="FootnoteReference"/>
          <w:noProof/>
        </w:rPr>
        <w:footnoteReference w:id="15"/>
      </w:r>
      <w:r>
        <w:rPr>
          <w:noProof/>
        </w:rPr>
        <w:t xml:space="preserve"> προσδιορίζει το περιεχόμενο της ελευθερίας εγκατάστασης και της ελεύθερης παροχής υπηρεσιών όσον αφορά ορισμένες υπηρεσίες. Προβλέπει, μεταξύ άλλων, ότι τα συστήματα χορήγησης άδειας και ορισμένα είδη απαιτήσεων που σχετίζονται με υπηρεσίες δεν πρέπει να εισάγουν διακρίσεις όσον αφορά την ιθαγένεια ή τον τόπο κατοικίας και πρέπει να δικαιολογούνται από επιτακτικό λόγο δημοσίου συμφέροντος και να είναι αναλογικά.</w:t>
      </w:r>
    </w:p>
    <w:p>
      <w:pPr>
        <w:pStyle w:val="ManualConsidrant"/>
        <w:rPr>
          <w:noProof/>
        </w:rPr>
      </w:pPr>
      <w:r>
        <w:t>(3)</w:t>
      </w:r>
      <w:r>
        <w:tab/>
      </w:r>
      <w:r>
        <w:rPr>
          <w:noProof/>
        </w:rPr>
        <w:t xml:space="preserve">Η οδηγία 2006/123/ΕΚ προβλέπει για τα κράτη μέλη την υποχρέωση να αξιολογούν και να προσαρμόζουν τη νομοθεσία τους σχετικά με τα συστήματα χορήγησης άδειας και ορισμένες απαιτήσεις που σχετίζονται με υπηρεσίες, με στόχο την εναρμόνισή της με τους κανόνες που ορίζονται στην εν λόγω οδηγία. Επιπλέον, προκειμένου να διευκολυνθεί ο έλεγχος της συμμόρφωσης των κρατών μελών στο μέλλον, η οδηγία </w:t>
      </w:r>
      <w:r>
        <w:rPr>
          <w:noProof/>
        </w:rPr>
        <w:lastRenderedPageBreak/>
        <w:t xml:space="preserve">2006/123/ΕΚ προβλέπει για τα κράτη μέλη την υποχρέωση να κοινοποιούν νέες νομοθετικές, κανονιστικές και διοικητικές διατάξεις που ορίζουν ορισμένες νέες απαιτήσεις οι οποίες εμπίπτουν στο πεδίο εφαρμογής της εν λόγω οδηγίας ή τυχόν ουσιώδεις αλλαγές σε αυτές τις απαιτήσεις. </w:t>
      </w:r>
    </w:p>
    <w:p>
      <w:pPr>
        <w:pStyle w:val="ManualConsidrant"/>
        <w:rPr>
          <w:noProof/>
        </w:rPr>
      </w:pPr>
      <w:r>
        <w:t>(4)</w:t>
      </w:r>
      <w:r>
        <w:tab/>
      </w:r>
      <w:r>
        <w:rPr>
          <w:noProof/>
        </w:rPr>
        <w:t>Η Επιτροπή λαμβάνει όλο και μεγαλύτερο αριθμό κοινοποιήσεων από κράτη μέλη σχετικά με απαιτήσεις που θεσπίστηκαν προσφάτως σύμφωνα με την οδηγία 2006/123/ΕΚ. Ωστόσο, ορισμένες από αυτές τις εθνικές απαιτήσεις εισάγουν διακρίσεις όσον αφορά την ιθαγένεια ή τον τόπο κατοικίας και δεν είναι δικαιολογημένες και αναλογικές, με αποτέλεσμα η Επιτροπή να έχει ξεκινήσει μεγάλο αριθμό διαρθρωμένων διαλόγων με κράτη μέλη. Αυτό το γεγονός καταδεικνύει ότι η υφιστάμενη διαδικασία κοινοποίησης δεν επαρκεί για την αποτροπή της θέσπισης απαιτήσεων που εισάγουν διακρίσεις για λόγους ιθαγένειας ή τόπου κατοικίας και είναι αδικαιολόγητες ή δυσανάλογες. Αυτό λειτουργεί εις βάρος των πολιτών και των επιχειρήσεων στην εσωτερική αγορά υπηρεσιών. Επιπλέον, προκύπτει ότι ορισμένες νέες ή τροποποιημένες απαιτήσεις που σχετίζονται με υπηρεσίες και εμπίπτουν στο πεδίο εφαρμογής της οδηγίας 2006/123/ΕΚ δεν έχουν κοινοποιηθεί καθόλου.</w:t>
      </w:r>
    </w:p>
    <w:p>
      <w:pPr>
        <w:pStyle w:val="ManualConsidrant"/>
        <w:rPr>
          <w:noProof/>
        </w:rPr>
      </w:pPr>
      <w:r>
        <w:t>(5)</w:t>
      </w:r>
      <w:r>
        <w:tab/>
      </w:r>
      <w:r>
        <w:rPr>
          <w:noProof/>
        </w:rPr>
        <w:t>Για αυτούς τους λόγους, η Επιτροπή, στο πλαίσιο της στρατηγικής της για την ενιαία αγορά</w:t>
      </w:r>
      <w:r>
        <w:rPr>
          <w:rStyle w:val="FootnoteReference"/>
          <w:noProof/>
        </w:rPr>
        <w:footnoteReference w:id="16"/>
      </w:r>
      <w:r>
        <w:rPr>
          <w:noProof/>
        </w:rPr>
        <w:t>, ανακοίνωσε πρωτοβουλία για τη βελτίωση της συμμόρφωσης με την οδηγία 2006/123/ΕΚ, προβαίνοντας σε μεταρρύθμιση της διαδικασίας κοινοποίησης που προβλέπεται σε αυτήν.</w:t>
      </w:r>
    </w:p>
    <w:p>
      <w:pPr>
        <w:pStyle w:val="ManualConsidrant"/>
        <w:rPr>
          <w:noProof/>
        </w:rPr>
      </w:pPr>
      <w:r>
        <w:t>(6)</w:t>
      </w:r>
      <w:r>
        <w:tab/>
      </w:r>
      <w:r>
        <w:rPr>
          <w:noProof/>
        </w:rPr>
        <w:t xml:space="preserve">Η αποτελεσματική επιβολή των κανόνων που διέπουν την εσωτερική αγορά υπηρεσιών και οι οποίοι ορίζονται στην οδηγία 2006/123/ΕΚ θα πρέπει να ενισχυθεί με τη βελτίωση της υφιστάμενης διαδικασίας κοινοποίησης που έχει θεσπιστεί από την εν λόγω οδηγία όσον αφορά τα εθνικά συστήματα χορήγησης άδειας και ορισμένες απαιτήσεις που αφορούν τόσο την πρόσβαση σε μη μισθωτές δραστηριότητες όσο και την άσκησή τους. Η αποτροπή της θέσπισης εθνικών διατάξεων που καθορίζουν απαιτήσεις και συστήματα χορήγησης άδειας τα οποία αντιβαίνουν στην οδηγία 2006/123/ΕΚ θα πρέπει να διευκολυνθεί. Η εν λόγω οδηγία δεν θίγει τις αρμοδιότητες της Επιτροπής βάσει των Συνθηκών ούτε την υποχρέωση των κρατών μελών να συμμορφώνονται με τις διατάξεις του δικαίου της Ένωσης. </w:t>
      </w:r>
    </w:p>
    <w:p>
      <w:pPr>
        <w:pStyle w:val="ManualConsidrant"/>
        <w:rPr>
          <w:noProof/>
        </w:rPr>
      </w:pPr>
      <w:r>
        <w:t>(7)</w:t>
      </w:r>
      <w:r>
        <w:tab/>
      </w:r>
      <w:r>
        <w:rPr>
          <w:noProof/>
        </w:rPr>
        <w:t xml:space="preserve">Η υποχρέωση κοινοποίησης που έχει θεσπίσει η εν λόγω οδηγία θα πρέπει να ισχύει για τα κανονιστικά μέτρα των κρατών μελών, όπως νομοθετικές, κανονιστικές και διοικητικές διατάξεις γενικής φύσεως ή οποιονδήποτε άλλον δεσμευτικό κανόνα γενικής φύσεως, συμπεριλαμβανομένων των κανόνων που θεσπίζονται από επαγγελματικές οργανώσεις για τη συλλογική ρύθμιση της πρόσβασης σε δραστηριότητες στον τομέα των υπηρεσιών ή την άσκησή τους. Ωστόσο, η υποχρέωση κοινοποίησης δεν θα πρέπει να ισχύει για τις μεμονωμένες αποφάσεις που εκδίδουν οι εθνικές αρχές. </w:t>
      </w:r>
    </w:p>
    <w:p>
      <w:pPr>
        <w:pStyle w:val="ManualConsidrant"/>
        <w:rPr>
          <w:noProof/>
        </w:rPr>
      </w:pPr>
      <w:r>
        <w:t>(8)</w:t>
      </w:r>
      <w:r>
        <w:tab/>
      </w:r>
      <w:r>
        <w:rPr>
          <w:noProof/>
        </w:rPr>
        <w:t xml:space="preserve">Η υποχρέωση των κρατών μελών να κοινοποιούν τα σχέδια μέτρων που προβλέπουν απαιτήσεις και συστήματα χορήγησης άδειας, όπως αναφέρονται στο άρθρο 4 της παρούσας οδηγίας, τουλάχιστον τρεις μήνες πριν από τη θέσπισή τους αποσκοπεί στο να διασφαλίζεται ότι τα μέτρα προς έγκριση συμμορφώνονται με την οδηγία 2006/123/ΕΚ. Για να είναι αποτελεσματική η διαδικασία κοινοποίησης, θα πρέπει να </w:t>
      </w:r>
      <w:r>
        <w:rPr>
          <w:noProof/>
        </w:rPr>
        <w:lastRenderedPageBreak/>
        <w:t>διεξάγεται διαβούλευση σχετικά με τα κοινοποιηθέντα μέτρα αρκετά νωρίτερα από τη θέσπισή τους. Αυτό ενδείκνυται προκειμένου να ενισχύονται η καλή συνεργασία και η διαφάνεια μεταξύ της Επιτροπής και των κρατών μελών, καθώς και να ενισχύονται περαιτέρω οι ανταλλαγές μεταξύ της Επιτροπής και των εθνικών αρχών σχετικά με νέα ή τροποποιημένα συστήματα χορήγησης άδειας και ορισμένες απαιτήσεις που καλύπτονται από την οδηγία 2006/123/ΕΚ, σύμφωνα με το άρθρο 4 παράγραφος 3 της Συνθήκης για την Ευρωπαϊκή Ένωση (ΣΕΕ). Προκειμένου να διασφαλιστεί η αποτελεσματικότητα της διαδικασίας, η παραβίαση της υποχρέωσης κοινοποίησης ή μη θέσπισης ενός κοινοποιηθέντος μέτρου, συμπεριλαμβανομένης της περιόδου μετά τη λήψη προειδοποίησης, θα πρέπει να θεωρείται ότι συνιστά ουσιώδη διαδικαστική πλημμέλεια, σοβαρή ως προς τις επιπτώσεις της στα άτομα.</w:t>
      </w:r>
    </w:p>
    <w:p>
      <w:pPr>
        <w:pStyle w:val="ManualConsidrant"/>
        <w:rPr>
          <w:noProof/>
        </w:rPr>
      </w:pPr>
      <w:r>
        <w:t>(9)</w:t>
      </w:r>
      <w:r>
        <w:tab/>
      </w:r>
      <w:r>
        <w:rPr>
          <w:noProof/>
        </w:rPr>
        <w:t>Σε πνεύμα διαφάνειας και συνεργασίας, στην περίπτωση που γίνονται ουσιώδεις τροποποιήσεις σε ένα σχέδιο μέτρου, το οποίο αποτελεί αντικείμενο διαδικασίας κοινοποίησης που βρίσκεται σε εξέλιξη βάσει της παρούσας οδηγίας, η Επιτροπή, τα υπόλοιπα κράτη μέλη και τα ενδιαφερόμενα μέρη θα πρέπει να ενημερώνονται εγκαίρως σχετικά με αυτές τις τροποποιήσεις από το κράτος μέλος που πραγματοποιεί την κοινοποίηση. Οι τροποποιήσεις για τη διόρθωση εκ παραδρομής λαθών δεν θα πρέπει να κοινοποιούνται.</w:t>
      </w:r>
    </w:p>
    <w:p>
      <w:pPr>
        <w:pStyle w:val="ManualConsidrant"/>
        <w:rPr>
          <w:noProof/>
        </w:rPr>
      </w:pPr>
      <w:r>
        <w:t>(10)</w:t>
      </w:r>
      <w:r>
        <w:tab/>
      </w:r>
      <w:r>
        <w:rPr>
          <w:noProof/>
        </w:rPr>
        <w:t>Οι πληροφορίες που πρέπει να υποβάλει το κράτος μέλος που πραγματοποιεί την κοινοποίηση θα πρέπει να είναι επαρκείς για την αξιολόγηση της συμμόρφωσης με την οδηγία 2006/123/ΕΚ και, ιδίως, της αναλογικότητας ενός κοινοποιηθέντος συστήματος χορήγησης άδειας ή μιας κοινοποιηθείσας απαίτησης. Συνεπώς, σύμφωνα με τη νομολογία του Δικαστηρίου της Ευρωπαϊκής Ένωσης, αυτές οι πληροφορίες θα πρέπει να αποσαφηνίζουν τον επιδιωκόμενο στόχο δημόσιου συμφέροντος, να προσδιορίζουν τον λόγο για τον οποίο το κοινοποιηθέν σύστημα χορήγησης άδειας ή η κοινοποιηθείσα απαίτηση είναι αναγκαία και δικαιολογούνται για την επίτευξη αυτού του στόχου και να επεξηγούν τον λόγο για τον οποίο είναι αναλογικά σε αυτό το πλαίσιο· συνεπώς, θα πρέπει να περιλαμβάνουν διευκρινίσεις σχετικά με τον λόγο για τον οποίο είναι κατάλληλα, τον λόγο για τον οποίο δεν υπερβαίνουν όσα είναι αναγκαία και τον λόγο για τον οποίο δεν υπάρχουν εναλλακτικά και λιγότερο περιοριστικά μέσα. Οι λόγοι που μπορούν να επικαλεστούν τα οικεία κράτη μέλη εν είδει αιτιολόγησης θα πρέπει να συνοδεύονται από κατάλληλα αποδεικτικά στοιχεία, ανάλυση της αναλογικότητας του κοινοποιηθέντος μέτρου.</w:t>
      </w:r>
    </w:p>
    <w:p>
      <w:pPr>
        <w:pStyle w:val="ManualConsidrant"/>
        <w:rPr>
          <w:noProof/>
        </w:rPr>
      </w:pPr>
      <w:r>
        <w:t>(11)</w:t>
      </w:r>
      <w:r>
        <w:tab/>
      </w:r>
      <w:r>
        <w:rPr>
          <w:noProof/>
        </w:rPr>
        <w:t>Προκειμένου να διασφαλιστεί η αποτελεσματική ανταλλαγή πληροφοριών μεταξύ των κρατών μελών και της Επιτροπής, το Σύστημα Πληροφόρησης για την Εσωτερική Αγορά που έχει θεσπιστεί από τον κανονισμό (ΕΕ) αριθ. 1024/2012 του Ευρωπαϊκού Κοινοβουλίου και του Συμβουλίου</w:t>
      </w:r>
      <w:r>
        <w:rPr>
          <w:rStyle w:val="FootnoteReference"/>
          <w:noProof/>
        </w:rPr>
        <w:footnoteReference w:id="17"/>
      </w:r>
      <w:r>
        <w:rPr>
          <w:noProof/>
        </w:rPr>
        <w:t xml:space="preserve"> θα πρέπει να συνεχίσει να χρησιμοποιείται βάσει της παρούσας οδηγίας.</w:t>
      </w:r>
    </w:p>
    <w:p>
      <w:pPr>
        <w:pStyle w:val="ManualConsidrant"/>
        <w:rPr>
          <w:noProof/>
        </w:rPr>
      </w:pPr>
      <w:r>
        <w:t>(12)</w:t>
      </w:r>
      <w:r>
        <w:tab/>
      </w:r>
      <w:r>
        <w:rPr>
          <w:noProof/>
        </w:rPr>
        <w:t xml:space="preserve">Η υποχρέωση κοινοποίησης που προβλέπεται στην οδηγία 2006/123/ΕΚ απαιτεί από τα κράτη μέλη να ενημερώνουν την Επιτροπή και τα υπόλοιπα κράτη μέλη σχετικά με τις απαιτήσεις που καλύπτονται από το άρθρο 15 παράγραφος 2, το άρθρο 16 παράγραφος 1 τρίτο εδάφιο και την πρώτη περίοδο του άρθρου 16 παράγραφος 3 της </w:t>
      </w:r>
      <w:r>
        <w:rPr>
          <w:noProof/>
        </w:rPr>
        <w:lastRenderedPageBreak/>
        <w:t>οδηγίας 2006/123/ΕΚ. Από την εφαρμογή αυτής της οδηγίας έχει καταδειχθεί ότι τα συστήματα χορήγησης άδειας ή οι απαιτήσεις που σχετίζονται με συστήματα χορήγησης άδειας, η ασφάλιση επαγγελματικής ευθύνης, οι εγγυήσεις ή ανάλογες διευθετήσεις και οι πολυτομεακοί περιορισμοί είναι κοινά και μπορούν να θέσουν σοβαρούς φραγμούς στην ενιαία αγορά υπηρεσιών. Συνεπώς, θα πρέπει να υπόκεινται σε υποχρέωση κοινοποίησης ώστε να διευκολύνεται η συμμόρφωση των σχετικών σχεδίων νομοθετικών, κανονιστικών και διοικητικών διατάξεων των κρατών μελών με την οδηγία 2006/123/ΕΚ. Οι απαιτήσεις που αναφέρονται στο άρθρο 16 παράγραφος 2 της οδηγίας 2006/123/ΕΚ καλύπτονται από την υποχρέωση κοινοποίησης στον βαθμό που εμπίπτουν στο άρθρο 16 παράγραφος 3.</w:t>
      </w:r>
    </w:p>
    <w:p>
      <w:pPr>
        <w:pStyle w:val="ManualConsidrant"/>
        <w:rPr>
          <w:noProof/>
        </w:rPr>
      </w:pPr>
      <w:r>
        <w:t>(13)</w:t>
      </w:r>
      <w:r>
        <w:tab/>
      </w:r>
      <w:r>
        <w:rPr>
          <w:noProof/>
        </w:rPr>
        <w:t>Η παρούσα οδηγία ορίζει μια περίοδο διαβούλευσης διάρκειας τριών μηνών ώστε να καθίσταται δυνατή η αξιολόγηση των κοινοποιηθέντων σχεδίων μέτρων, καθώς και η διεξαγωγή αποτελεσματικού διαλόγου με το κράτος μέλος που πραγματοποιεί την κοινοποίηση. Για τη διευκόλυνση των εργασιών διαβούλευσης και προκειμένου τα κράτη μέλη, η Επιτροπή και τα ενδιαφερόμενα μέρη να μπορούν να παρέχουν κατά τρόπο αποτελεσματικό τα σχόλιά τους, τα κράτη μέλη θα πρέπει να κοινοποιούν τα σχέδια μέτρων τουλάχιστον τρεις μήνες πριν από τη θέσπιση. Τα κράτη μέλη που πραγματοποιούν κοινοποίηση θα πρέπει να λαμβάνουν υπόψη τα σχόλια επί του κοινοποιηθέντος σχεδίου μέτρου, σύμφωνα με το δίκαιο της Ένωσης.</w:t>
      </w:r>
    </w:p>
    <w:p>
      <w:pPr>
        <w:pStyle w:val="ManualConsidrant"/>
        <w:rPr>
          <w:noProof/>
        </w:rPr>
      </w:pPr>
      <w:r>
        <w:t>(14)</w:t>
      </w:r>
      <w:r>
        <w:tab/>
      </w:r>
      <w:r>
        <w:rPr>
          <w:noProof/>
        </w:rPr>
        <w:t>Σε περίπτωση που, μετά τη διαβούλευση, η Επιτροπή εξακολουθεί να έχει προβληματισμούς σχετικά με τη συμμόρφωση του κοινοποιηθέντος σχεδίου μέτρου με την οδηγία 2006/123/ΕΚ, μπορεί να προειδοποιήσει το κράτος μέλος που πραγματοποιεί την κοινοποίηση, παρέχοντάς του την ευκαιρία να λάβει μέτρα για τη συμμόρφωση του σχεδίου μέτρου με το δίκαιο της ΕΕ. Στην προειδοποίηση αυτή θα πρέπει να περιλαμβάνεται εξήγηση των νομικών προβληματισμών που προσδιόρισε η Επιτροπή. Η λήψη τέτοιας προειδοποίησης συνεπάγεται ότι το κράτος μέλος που πραγματοποιεί την κοινοποίηση δεν θα προβεί σε θέσπιση του κοινοποιηθέντος μέτρου για τρεις μήνες.</w:t>
      </w:r>
    </w:p>
    <w:p>
      <w:pPr>
        <w:pStyle w:val="ManualConsidrant"/>
        <w:rPr>
          <w:noProof/>
        </w:rPr>
      </w:pPr>
      <w:r>
        <w:t>(15)</w:t>
      </w:r>
      <w:r>
        <w:tab/>
      </w:r>
      <w:r>
        <w:rPr>
          <w:noProof/>
        </w:rPr>
        <w:t>Η μη συμμόρφωση με την υποχρέωση κοινοποίησης σχεδίων μέτρων τουλάχιστον τρεις μήνες πριν από τη θέσπισή τους και/ή μη θέσπισης του κοινοποιηθέντος μέτρου κατά τη διάρκεια αυτής της περιόδου και, ανάλογα με την περίπτωση, κατά τη διάρκεια των 3 μηνών μετά τη λήψη προειδοποίησης, θα πρέπει να θεωρείται ότι συνιστά ουσιώδη διαδικαστική πλημμέλεια, σοβαρή ως προς τις επιπτώσεις της στα άτομα.</w:t>
      </w:r>
    </w:p>
    <w:p>
      <w:pPr>
        <w:pStyle w:val="ManualConsidrant"/>
        <w:rPr>
          <w:noProof/>
        </w:rPr>
      </w:pPr>
      <w:r>
        <w:t>(16)</w:t>
      </w:r>
      <w:r>
        <w:tab/>
      </w:r>
      <w:r>
        <w:rPr>
          <w:noProof/>
        </w:rPr>
        <w:t>Για τη διασφάλιση της αποτελεσματικότητας και της συνοχής της διαδικασίας κοινοποίησης, η Επιτροπή θα πρέπει να διατηρεί την εξουσία να εκδίδει αποφάσεις που απαιτούν από το οικείο κράτος μέλος να μην προβεί στη θέσπιση κοινοποιηθέντων μέτρων ή, εάν έχουν ήδη θεσπιστεί, να τα καταργήσει σε περίπτωση που παραβιάζουν την οδηγία 2006/123/ΕΚ.</w:t>
      </w:r>
    </w:p>
    <w:p>
      <w:pPr>
        <w:pStyle w:val="ManualConsidrant"/>
        <w:rPr>
          <w:noProof/>
        </w:rPr>
      </w:pPr>
      <w:r>
        <w:t>(17)</w:t>
      </w:r>
      <w:r>
        <w:tab/>
      </w:r>
      <w:r>
        <w:rPr>
          <w:noProof/>
        </w:rPr>
        <w:t>Στα ενδιαφερόμενα τρίτα μέρη θα πρέπει να παρέχεται πρόσβαση στις κοινοποιήσεις που αποστέλλουν τα κράτη μέλη ώστε να ενημερώνονται σχετικά με τα σχεδιαζόμενα συστήματα χορήγησης άδειας ή ορισμένες απαιτήσεις που σχετίζονται με υπηρεσίες σε αγορές στις οποίες δραστηριοποιούνται ή ενδέχεται να δραστηριοποιηθούν και να τους παρέχεται η δυνατότητα να υποβάλουν σχόλια επ’ αυτών.</w:t>
      </w:r>
    </w:p>
    <w:p>
      <w:pPr>
        <w:pStyle w:val="ManualConsidrant"/>
        <w:rPr>
          <w:noProof/>
        </w:rPr>
      </w:pPr>
      <w:r>
        <w:t>(18)</w:t>
      </w:r>
      <w:r>
        <w:tab/>
      </w:r>
      <w:r>
        <w:rPr>
          <w:noProof/>
        </w:rPr>
        <w:t xml:space="preserve">Η παρούσα οδηγία δεν επηρεάζει τις υποχρεώσεις των κρατών μελών να κοινοποιούν τις απαιτήσεις που σχετίζονται με τις υπηρεσίες της κοινωνίας των πληροφοριών </w:t>
      </w:r>
      <w:r>
        <w:rPr>
          <w:noProof/>
        </w:rPr>
        <w:lastRenderedPageBreak/>
        <w:t>βάσει της οδηγίας (ΕΕ) 2015/1535. Για την αποφυγή αλληλεπικαλύψεων όσον αφορά τις κοινοποιήσεις, μια κοινοποίηση που πραγματοποιείται σύμφωνα με την εν λόγω οδηγία και σε συμμόρφωση με τις σχετικές υποχρεώσεις που ορίζονται στην παρούσα οδηγία θα πρέπει να θεωρείται ότι εκπληρώνει εξίσου την υποχρέωση κοινοποίησης που θεσπίζεται από την παρούσα οδηγία</w:t>
      </w:r>
      <w:r>
        <w:rPr>
          <w:i/>
          <w:noProof/>
        </w:rPr>
        <w:t>.</w:t>
      </w:r>
    </w:p>
    <w:p>
      <w:pPr>
        <w:pStyle w:val="ManualConsidrant"/>
        <w:rPr>
          <w:noProof/>
        </w:rPr>
      </w:pPr>
      <w:r>
        <w:t>(19)</w:t>
      </w:r>
      <w:r>
        <w:tab/>
      </w:r>
      <w:r>
        <w:rPr>
          <w:noProof/>
        </w:rPr>
        <w:t>Για τον ίδιο λόγο, μια κοινοποίηση που πραγματοποιείται βάσει της παρούσας οδηγίας θα πρέπει να θεωρείται ότι εκπληρώνει τις υποχρεώσεις υποβολής πληροφοριών των κρατών μελών βάσει του άρθρου 59 παράγραφος 5 της οδηγίας 2005/36/ΕΚ του Ευρωπαϊκού Κοινοβουλίου και του Συμβουλίου</w:t>
      </w:r>
      <w:r>
        <w:rPr>
          <w:rStyle w:val="FootnoteReference"/>
          <w:noProof/>
        </w:rPr>
        <w:footnoteReference w:id="18"/>
      </w:r>
      <w:r>
        <w:rPr>
          <w:noProof/>
        </w:rPr>
        <w:t>.</w:t>
      </w:r>
    </w:p>
    <w:p>
      <w:pPr>
        <w:pStyle w:val="ManualConsidrant"/>
        <w:rPr>
          <w:noProof/>
        </w:rPr>
      </w:pPr>
      <w:r>
        <w:t>(20)</w:t>
      </w:r>
      <w:r>
        <w:tab/>
      </w:r>
      <w:r>
        <w:rPr>
          <w:noProof/>
        </w:rPr>
        <w:t>Ως αποτέλεσμα της θέσπισης της διαδικασίας κοινοποίησης που προβλέπεται στην παρούσα οδηγία, οι διατάξεις της οδηγίας 2006/123/ΕΚ σχετικά με τις διαδικασίες κοινοποίησης θα πρέπει να απαλειφθούν. Ο κανονισμός (ΕΕ) αριθ. 1024/2012 θα πρέπει να τροποποιηθεί αναλόγως,</w:t>
      </w:r>
    </w:p>
    <w:p>
      <w:pPr>
        <w:pStyle w:val="ManualConsidrant"/>
        <w:rPr>
          <w:noProof/>
        </w:rPr>
      </w:pPr>
      <w:r>
        <w:t>(21)</w:t>
      </w:r>
      <w:r>
        <w:tab/>
      </w:r>
      <w:r>
        <w:rPr>
          <w:noProof/>
        </w:rPr>
        <w:t>Δεδομένου ότι ο στόχος της παρούσας οδηγίας, δηλαδή η θέσπιση μιας διαδικασίας κοινοποίησης για τη βελτίωση της επιβολής της οδηγίας 2006/123/ΕΚ που θα προάγει την ελευθερία εγκατάστασης για τους παρόχους υπηρεσιών και την ελεύθερη παροχή υπηρεσιών στην ενιαία αγορά, δεν μπορεί να επιτευχθεί επαρκώς μόνο με δράσεις σε επίπεδο κρατών μελών και μπορεί λόγω της κλίμακάς του και του αντικτύπου του να επιτευχθεί καλύτερα σε επίπεδο Ένωσης, η Ένωση μπορεί να θεσπίζει μέτρα σύμφωνα με την αρχή της επικουρικότητας που προβλέπεται στο άρθρο 5 της ΣΕΕ. Σύμφωνα με την αρχή της αναλογικότητας του ίδιου άρθρου, η παρούσα οδηγία δεν υπερβαίνει τα αναγκαία όρια για την επίτευξη αυτού του στόχου.</w:t>
      </w:r>
    </w:p>
    <w:p>
      <w:pPr>
        <w:spacing w:before="0" w:after="200" w:line="276" w:lineRule="auto"/>
        <w:jc w:val="left"/>
        <w:rPr>
          <w:noProof/>
        </w:rPr>
      </w:pPr>
      <w:r>
        <w:rPr>
          <w:noProof/>
        </w:rPr>
        <w:br w:type="page"/>
      </w:r>
    </w:p>
    <w:p>
      <w:pPr>
        <w:pStyle w:val="Formuledadoption"/>
        <w:rPr>
          <w:noProof/>
        </w:rPr>
      </w:pPr>
      <w:r>
        <w:rPr>
          <w:noProof/>
        </w:rPr>
        <w:lastRenderedPageBreak/>
        <w:t>ΕΞΕΔΩΣΑΝ ΤΗΝ ΠΑΡΟΥΣΑ ΟΔΗΓΙΑ:</w:t>
      </w:r>
    </w:p>
    <w:p>
      <w:pPr>
        <w:pStyle w:val="Titrearticle"/>
        <w:rPr>
          <w:noProof/>
        </w:rPr>
      </w:pPr>
      <w:r>
        <w:rPr>
          <w:noProof/>
        </w:rPr>
        <w:t>Άρθρο 1</w:t>
      </w:r>
    </w:p>
    <w:p>
      <w:pPr>
        <w:pStyle w:val="NormalCentered"/>
        <w:rPr>
          <w:b/>
          <w:noProof/>
        </w:rPr>
      </w:pPr>
      <w:r>
        <w:rPr>
          <w:b/>
          <w:noProof/>
        </w:rPr>
        <w:t>Αντικείμενο και πεδίο εφαρμογής</w:t>
      </w:r>
    </w:p>
    <w:p>
      <w:pPr>
        <w:rPr>
          <w:noProof/>
        </w:rPr>
      </w:pPr>
      <w:r>
        <w:rPr>
          <w:noProof/>
        </w:rPr>
        <w:t>Η παρούσα οδηγία ορίζει κανόνες για την κοινοποίηση από τα κράτη μέλη σχεδίων νομοθετικών, κανονιστικών και διοικητικών διατάξεων που θεσπίζουν νέα ή τροποποιούν υφιστάμενα συστήματα χορήγησης άδειας και ορισμένες απαιτήσεις που εμπίπτουν στο πεδίο εφαρμογής της οδηγίας 2006/123/ΕΚ.</w:t>
      </w:r>
    </w:p>
    <w:p>
      <w:pPr>
        <w:pStyle w:val="Titrearticle"/>
        <w:rPr>
          <w:noProof/>
        </w:rPr>
      </w:pPr>
      <w:r>
        <w:rPr>
          <w:noProof/>
        </w:rPr>
        <w:t>Άρθρο 2</w:t>
      </w:r>
    </w:p>
    <w:p>
      <w:pPr>
        <w:pStyle w:val="NormalCentered"/>
        <w:rPr>
          <w:b/>
          <w:noProof/>
        </w:rPr>
      </w:pPr>
      <w:r>
        <w:rPr>
          <w:b/>
          <w:noProof/>
        </w:rPr>
        <w:t>Ορισμοί</w:t>
      </w:r>
    </w:p>
    <w:p>
      <w:pPr>
        <w:rPr>
          <w:noProof/>
        </w:rPr>
      </w:pPr>
      <w:r>
        <w:rPr>
          <w:noProof/>
        </w:rPr>
        <w:t>Για τους σκοπούς της παρούσας οδηγίας, ισχύουν οι ορισμοί που προβλέπονται στο άρθρο 4 παράγραφοι 1, 2, 3 και 5 έως 9 της οδηγίας 2006/123/ΕΚ, καθώς και στο άρθρο 5 δεύτερο εδάφιο του κανονισμού (ΕΕ) αριθ. 1024/2012.</w:t>
      </w:r>
    </w:p>
    <w:p>
      <w:pPr>
        <w:rPr>
          <w:noProof/>
        </w:rPr>
      </w:pPr>
      <w:r>
        <w:rPr>
          <w:noProof/>
        </w:rPr>
        <w:t>Επιπλέον, εφαρμόζονται οι ακόλουθοι ορισμοί:</w:t>
      </w:r>
    </w:p>
    <w:p>
      <w:pPr>
        <w:pStyle w:val="Point0"/>
        <w:rPr>
          <w:noProof/>
        </w:rPr>
      </w:pPr>
      <w:r>
        <w:rPr>
          <w:noProof/>
        </w:rPr>
        <w:t>α)</w:t>
      </w:r>
      <w:r>
        <w:rPr>
          <w:noProof/>
        </w:rPr>
        <w:tab/>
        <w:t>«σχέδιο μέτρου»: το κείμενο που θεσπίζει σύστημα χορήγησης άδειας ή μια απαίτηση κατά την έννοια του άρθρου 4 παράγραφοι 6 και 7 της οδηγίας 2006/123/ΕΚ αντίστοιχα και το οποίο εκπονείται προκειμένου να καθιερωθεί ως νομοθετική, κανονιστική ή διοικητική διάταξη γενικής φύσεως και βρίσκεται στο στάδιο της εκπόνησης κατά το οποίο το κράτος μέλος που πραγματοποιεί την κοινοποίηση μπορεί ακόμα να κάνει ουσιώδεις τροποποιήσεις·</w:t>
      </w:r>
    </w:p>
    <w:p>
      <w:pPr>
        <w:pStyle w:val="Point0"/>
        <w:rPr>
          <w:noProof/>
        </w:rPr>
      </w:pPr>
      <w:r>
        <w:rPr>
          <w:noProof/>
        </w:rPr>
        <w:t>β)</w:t>
      </w:r>
      <w:r>
        <w:rPr>
          <w:noProof/>
        </w:rPr>
        <w:tab/>
        <w:t>«θέσπιση»: η απόφαση κράτους μέλους να οριστικοποιήσει τη νομοθετική, κανονιστική ή διοικητική διάταξη γενικής φύσεως σύμφωνα με την εφαρμοστέα διαδικασία.</w:t>
      </w:r>
    </w:p>
    <w:p>
      <w:pPr>
        <w:pStyle w:val="Titrearticle"/>
        <w:rPr>
          <w:noProof/>
        </w:rPr>
      </w:pPr>
      <w:r>
        <w:rPr>
          <w:noProof/>
        </w:rPr>
        <w:t>Άρθρο 3</w:t>
      </w:r>
    </w:p>
    <w:p>
      <w:pPr>
        <w:pStyle w:val="NormalCentered"/>
        <w:rPr>
          <w:b/>
          <w:noProof/>
        </w:rPr>
      </w:pPr>
      <w:r>
        <w:rPr>
          <w:b/>
          <w:noProof/>
        </w:rPr>
        <w:t>Υποχρέωση κοινοποίησης</w:t>
      </w:r>
    </w:p>
    <w:p>
      <w:pPr>
        <w:pStyle w:val="ManualNumPar1"/>
        <w:rPr>
          <w:noProof/>
        </w:rPr>
      </w:pPr>
      <w:r>
        <w:t>1.</w:t>
      </w:r>
      <w:r>
        <w:tab/>
      </w:r>
      <w:r>
        <w:rPr>
          <w:noProof/>
        </w:rPr>
        <w:t>Τα κράτη μέλη κοινοποιούν στην Επιτροπή οποιοδήποτε σχέδιο μέτρου το οποίο θεσπίζει νέες απαιτήσεις ή συστήματα χορήγησης άδειας, όπως αναφέρονται στο άρθρο 4, ή τροποποιεί τέτοιες υπάρχουσες απαιτήσεις ή συστήματα χορήγησης άδειας.</w:t>
      </w:r>
    </w:p>
    <w:p>
      <w:pPr>
        <w:pStyle w:val="ManualNumPar1"/>
        <w:rPr>
          <w:noProof/>
        </w:rPr>
      </w:pPr>
      <w:r>
        <w:t>2.</w:t>
      </w:r>
      <w:r>
        <w:tab/>
      </w:r>
      <w:r>
        <w:rPr>
          <w:noProof/>
        </w:rPr>
        <w:t>Στην περίπτωση που ένα κράτος μέλος τροποποιήσει ένα κοινοποιηθέν σχέδιο μέτρου με αποτέλεσμα τη σημαντική επέκταση του πεδίου εφαρμογής ή του περιεχομένου του ή τη συντόμευση του χρονοδιαγράμματος που προβλεπόταν αρχικά για την εφαρμογή του ή την προσθήκη απαιτήσεων ή συστημάτων χορήγησης άδειας ή την ενίσχυση του περιοριστικού χαρακτήρα αυτών των απαιτήσεων ή συστημάτων χορήγησης άδειας όσον αφορά την εγκατάσταση ή τη διασυνοριακή παροχή υπηρεσιών, κοινοποιεί εκ νέου το τροποποιημένο σχέδιο μέτρου που έχει ήδη κοινοποιηθεί βάσει της παραγράφου 1, διευκρινίζοντας τον στόχο και το περιεχόμενο των τροποποιήσεων. Σε αυτήν την περίπτωση, η προηγούμενη κοινοποίηση θεωρείται ότι αποσύρεται.</w:t>
      </w:r>
    </w:p>
    <w:p>
      <w:pPr>
        <w:pStyle w:val="ManualNumPar1"/>
        <w:rPr>
          <w:noProof/>
        </w:rPr>
      </w:pPr>
      <w:r>
        <w:t>3.</w:t>
      </w:r>
      <w:r>
        <w:tab/>
      </w:r>
      <w:r>
        <w:rPr>
          <w:noProof/>
        </w:rPr>
        <w:t>Τα σχέδια μέτρων που αναφέρονται στις παραγράφους 1 και 2 κοινοποιούνται στην Επιτροπή τουλάχιστον τρεις μήνες πριν από τη θέσπισή τους.</w:t>
      </w:r>
    </w:p>
    <w:p>
      <w:pPr>
        <w:pStyle w:val="ManualNumPar1"/>
        <w:rPr>
          <w:noProof/>
        </w:rPr>
      </w:pPr>
      <w:r>
        <w:lastRenderedPageBreak/>
        <w:t>4.</w:t>
      </w:r>
      <w:r>
        <w:tab/>
      </w:r>
      <w:r>
        <w:rPr>
          <w:noProof/>
        </w:rPr>
        <w:t>Η παραβίαση μίας εκ των υποχρεώσεων που προβλέπονται στο άρθρο 3 παράγραφοι 1, 2 και 3 ή στο άρθρο 6 παράγραφος 2 συνιστά ουσιώδη διαδικαστική πλημμέλεια, σοβαρή ως προς τις επιπτώσεις της στα άτομα.</w:t>
      </w:r>
    </w:p>
    <w:p>
      <w:pPr>
        <w:pStyle w:val="ManualNumPar1"/>
        <w:rPr>
          <w:noProof/>
        </w:rPr>
      </w:pPr>
      <w:r>
        <w:t>5.</w:t>
      </w:r>
      <w:r>
        <w:tab/>
      </w:r>
      <w:r>
        <w:rPr>
          <w:noProof/>
        </w:rPr>
        <w:t>Στο πλαίσιο οποιασδήποτε κοινοποίησης, τα κράτη μέλη παρέχουν πληροφορίες που αποδεικνύουν τη συμμόρφωση του κοινοποιηθέντος συστήματος χορήγησης άδειας ή της κοινοποιηθείσας απαίτησης με την οδηγία 2006/123/ΕΚ.</w:t>
      </w:r>
    </w:p>
    <w:p>
      <w:pPr>
        <w:pStyle w:val="Text1"/>
        <w:rPr>
          <w:noProof/>
        </w:rPr>
      </w:pPr>
      <w:r>
        <w:rPr>
          <w:noProof/>
        </w:rPr>
        <w:t>Αυτές οι πληροφορίες προσδιορίζουν τον επιτακτικό λόγο δημόσιου συμφέροντος και αναφέρουν τους λόγους για τους οποίους το κοινοποιηθέν σύστημα χορήγησης άδειας ή η κοινοποιηθείσα απαίτηση δεν εισάγει διακρίσεις για λόγους ιθαγένειας ή τόπου κατοικίας και είναι αναλογικά.</w:t>
      </w:r>
    </w:p>
    <w:p>
      <w:pPr>
        <w:pStyle w:val="Text1"/>
        <w:rPr>
          <w:noProof/>
        </w:rPr>
      </w:pPr>
      <w:r>
        <w:rPr>
          <w:noProof/>
        </w:rPr>
        <w:t>Αυτές οι πληροφορίες περιλαμβάνουν αξιολόγηση η οποία αποδεικνύει ότι δεν υπάρχουν διαθέσιμα λιγότερο περιοριστικά μέσα, καθώς και ειδικά αποδεικτικά στοιχεία που τεκμηριώνουν τα επιχειρήματα που προβάλλει το κράτος μέλος που πραγματοποιεί την κοινοποίηση.</w:t>
      </w:r>
    </w:p>
    <w:p>
      <w:pPr>
        <w:pStyle w:val="ManualNumPar1"/>
        <w:rPr>
          <w:noProof/>
        </w:rPr>
      </w:pPr>
      <w:r>
        <w:t>6.</w:t>
      </w:r>
      <w:r>
        <w:tab/>
      </w:r>
      <w:r>
        <w:rPr>
          <w:noProof/>
        </w:rPr>
        <w:t>Επίσης, στην κοινοποίηση το οικείο κράτος μέλος περιλαμβάνει το κείμενο της νομοθετικής ή κανονιστικής διάταξης στην οποία βασίζεται το κοινοποιηθέν σχέδιο μέτρου.</w:t>
      </w:r>
    </w:p>
    <w:p>
      <w:pPr>
        <w:pStyle w:val="ManualNumPar1"/>
        <w:rPr>
          <w:noProof/>
        </w:rPr>
      </w:pPr>
      <w:r>
        <w:t>7.</w:t>
      </w:r>
      <w:r>
        <w:tab/>
      </w:r>
      <w:r>
        <w:rPr>
          <w:noProof/>
        </w:rPr>
        <w:t>Τα οικεία κράτη μέλη κοινοποιούν τον θεσπισθέν μέτρο εντός δύο εβδομάδων μετά από τη θέσπισή του.</w:t>
      </w:r>
    </w:p>
    <w:p>
      <w:pPr>
        <w:pStyle w:val="ManualNumPar1"/>
        <w:rPr>
          <w:noProof/>
        </w:rPr>
      </w:pPr>
      <w:r>
        <w:t>8.</w:t>
      </w:r>
      <w:r>
        <w:tab/>
      </w:r>
      <w:r>
        <w:rPr>
          <w:noProof/>
        </w:rPr>
        <w:t>Για τους σκοπούς της διαδικασίας κοινοποίησης που θεσπίζεται με την παρούσα οδηγία και προκειμένου να διασφαλίζεται η ανταλλαγή πληροφοριών μεταξύ του κράτους μέλους που πραγματοποιεί την κοινοποίηση, των υπόλοιπων κρατών μελών και της Επιτροπής, χρησιμοποιείται το Σύστημα Πληροφόρησης για την Εσωτερική Αγορά που προβλέπεται στον κανονισμό (ΕΕ) αριθ. 1024/2012.</w:t>
      </w:r>
    </w:p>
    <w:p>
      <w:pPr>
        <w:pStyle w:val="Titrearticle"/>
        <w:rPr>
          <w:noProof/>
        </w:rPr>
      </w:pPr>
      <w:r>
        <w:rPr>
          <w:noProof/>
        </w:rPr>
        <w:t>Άρθρο 4</w:t>
      </w:r>
    </w:p>
    <w:p>
      <w:pPr>
        <w:pStyle w:val="NormalCentered"/>
        <w:rPr>
          <w:b/>
          <w:noProof/>
        </w:rPr>
      </w:pPr>
      <w:r>
        <w:rPr>
          <w:b/>
          <w:noProof/>
        </w:rPr>
        <w:t>Συστήματα χορήγησης άδειας και απαιτήσεις που υπόκεινται στην υποχρέωση κοινοποίησης</w:t>
      </w:r>
    </w:p>
    <w:p>
      <w:pPr>
        <w:rPr>
          <w:noProof/>
        </w:rPr>
      </w:pPr>
      <w:r>
        <w:rPr>
          <w:noProof/>
        </w:rPr>
        <w:t>Τα κράτη μέλη κοινοποιούν τα ακόλουθα συστήματα χορήγησης άδειας και απαιτήσεις:</w:t>
      </w:r>
    </w:p>
    <w:p>
      <w:pPr>
        <w:pStyle w:val="Point1"/>
        <w:rPr>
          <w:noProof/>
        </w:rPr>
      </w:pPr>
      <w:r>
        <w:rPr>
          <w:noProof/>
        </w:rPr>
        <w:t>α)</w:t>
      </w:r>
      <w:r>
        <w:rPr>
          <w:noProof/>
        </w:rPr>
        <w:tab/>
        <w:t>συστήματα χορήγησης άδειας κατά την έννοια του άρθρου 9 παράγραφος 1 της οδηγίας 2006/123/ΕΚ·</w:t>
      </w:r>
    </w:p>
    <w:p>
      <w:pPr>
        <w:pStyle w:val="Point1"/>
        <w:rPr>
          <w:noProof/>
        </w:rPr>
      </w:pPr>
      <w:r>
        <w:rPr>
          <w:noProof/>
        </w:rPr>
        <w:t>β)</w:t>
      </w:r>
      <w:r>
        <w:rPr>
          <w:noProof/>
        </w:rPr>
        <w:tab/>
        <w:t>απαιτήσεις που αναφέρονται στο άρθρο 15 παράγραφος 2 της οδηγίας 2006/123/EΚ·</w:t>
      </w:r>
    </w:p>
    <w:p>
      <w:pPr>
        <w:pStyle w:val="Point1"/>
        <w:rPr>
          <w:noProof/>
        </w:rPr>
      </w:pPr>
      <w:r>
        <w:rPr>
          <w:noProof/>
        </w:rPr>
        <w:t>γ)</w:t>
      </w:r>
      <w:r>
        <w:rPr>
          <w:noProof/>
        </w:rPr>
        <w:tab/>
        <w:t>απαιτήσεις που επηρεάζουν την ελεύθερη παροχή υπηρεσιών, οι οποίες αναφέρονται στο άρθρο 16 παράγραφος 1 τρίτο εδάφιο και στην πρώτη περίοδο του άρθρου 16 παράγραφος 3 της οδηγίας 2006/123/ΕΚ·</w:t>
      </w:r>
    </w:p>
    <w:p>
      <w:pPr>
        <w:pStyle w:val="Point1"/>
        <w:rPr>
          <w:noProof/>
        </w:rPr>
      </w:pPr>
      <w:r>
        <w:rPr>
          <w:noProof/>
        </w:rPr>
        <w:t>δ)</w:t>
      </w:r>
      <w:r>
        <w:rPr>
          <w:noProof/>
        </w:rPr>
        <w:tab/>
        <w:t>απαίτηση για σύναψη ασφάλισης επαγγελματικής ευθύνης ή για εγγύηση ή ανάλογη διευθέτηση, όπως αναφέρεται στο άρθρο 23 της οδηγίας 2006/123/ΕΚ·</w:t>
      </w:r>
    </w:p>
    <w:p>
      <w:pPr>
        <w:pStyle w:val="Point1"/>
        <w:rPr>
          <w:noProof/>
        </w:rPr>
      </w:pPr>
      <w:r>
        <w:rPr>
          <w:noProof/>
        </w:rPr>
        <w:t>ε)</w:t>
      </w:r>
      <w:r>
        <w:rPr>
          <w:noProof/>
        </w:rPr>
        <w:tab/>
        <w:t>απαίτηση για αποκλειστική άσκηση συγκεκριμένης δραστηριότητας ή απαίτηση η οποία περιορίζει την άσκηση από κοινού ή σε εταιρική σχέση διαφορετικών δραστηριοτήτων, όπως αναφέρεται στο άρθρο 25 της οδηγίας 2006/123/ΕΚ.</w:t>
      </w:r>
    </w:p>
    <w:p>
      <w:pPr>
        <w:pStyle w:val="Titrearticle"/>
        <w:rPr>
          <w:noProof/>
        </w:rPr>
      </w:pPr>
      <w:r>
        <w:rPr>
          <w:noProof/>
        </w:rPr>
        <w:lastRenderedPageBreak/>
        <w:t>Άρθρο 5</w:t>
      </w:r>
    </w:p>
    <w:p>
      <w:pPr>
        <w:pStyle w:val="NormalCentered"/>
        <w:rPr>
          <w:b/>
          <w:noProof/>
        </w:rPr>
      </w:pPr>
      <w:r>
        <w:rPr>
          <w:b/>
          <w:noProof/>
        </w:rPr>
        <w:t>Διαβούλευση</w:t>
      </w:r>
    </w:p>
    <w:p>
      <w:pPr>
        <w:pStyle w:val="ManualNumPar1"/>
        <w:rPr>
          <w:noProof/>
        </w:rPr>
      </w:pPr>
      <w:r>
        <w:rPr>
          <w:noProof/>
        </w:rPr>
        <w:t>1.</w:t>
      </w:r>
      <w:r>
        <w:rPr>
          <w:noProof/>
        </w:rPr>
        <w:tab/>
        <w:t>Μόλις λάβει κοινοποίηση από κράτος μέλος, σύμφωνα με το άρθρο 3 παράγραφοι 1 και 2, η Επιτροπή ενημερώνει το κοινοποιούν κράτος μέλος σχετικά με την πληρότητα της κοινοποίησης που ελήφθη.</w:t>
      </w:r>
    </w:p>
    <w:p>
      <w:pPr>
        <w:pStyle w:val="ManualNumPar1"/>
        <w:rPr>
          <w:noProof/>
        </w:rPr>
      </w:pPr>
      <w:r>
        <w:rPr>
          <w:noProof/>
        </w:rPr>
        <w:t>2.</w:t>
      </w:r>
      <w:r>
        <w:rPr>
          <w:noProof/>
        </w:rPr>
        <w:tab/>
        <w:t>Από την ημερομηνία ενημέρωσης από την Επιτροπή του κράτους μέλους που πραγματοποιεί την κοινοποίηση σχετικά με την πληρότητα της κοινοποίησης που ελήφθη, διεξάγεται διαβούλευση διάρκειας τριών μηνών κατά το μέγιστο μεταξύ του κράτους μέλους που πραγματοποιεί την κοινοποίηση και της Επιτροπής.</w:t>
      </w:r>
    </w:p>
    <w:p>
      <w:pPr>
        <w:pStyle w:val="ManualNumPar1"/>
        <w:rPr>
          <w:noProof/>
        </w:rPr>
      </w:pPr>
      <w:r>
        <w:rPr>
          <w:noProof/>
        </w:rPr>
        <w:t>3.</w:t>
      </w:r>
      <w:r>
        <w:rPr>
          <w:noProof/>
        </w:rPr>
        <w:tab/>
        <w:t xml:space="preserve">Η Επιτροπή και τα κράτη μέλη μπορούν, εντός δύο μηνών από την έναρξη της περιόδου διαβούλευσης που αναφέρεται στην παράγραφο 2, να υποβάλουν σχόλια στο κοινοποιούν κράτος μέλος. </w:t>
      </w:r>
    </w:p>
    <w:p>
      <w:pPr>
        <w:pStyle w:val="ManualNumPar1"/>
        <w:rPr>
          <w:noProof/>
        </w:rPr>
      </w:pPr>
      <w:r>
        <w:rPr>
          <w:noProof/>
        </w:rPr>
        <w:t>4.</w:t>
      </w:r>
      <w:r>
        <w:rPr>
          <w:noProof/>
        </w:rPr>
        <w:tab/>
        <w:t>Το κράτος μέλος που πραγματοποιεί την κοινοποίηση απαντά στα σχόλια που έχει υποβάλει η Επιτροπή ή άλλα κράτη μέλη εντός ενός μήνα μετά τη λήψη τους και πριν από τη θέσπισή του κοινοποιηθέντος μέτρου, είτε διευκρινίζοντας πώς θα συνεκτιμήσει αυτά τα σχόλια στο κοινοποιηθέν μέτρο είτε υποδεικνύοντας τους λόγους για τους οποίους αυτά τα σχόλια δεν μπορούν να ληφθούν υπόψη.</w:t>
      </w:r>
    </w:p>
    <w:p>
      <w:pPr>
        <w:pStyle w:val="ManualNumPar1"/>
        <w:rPr>
          <w:noProof/>
        </w:rPr>
      </w:pPr>
      <w:r>
        <w:rPr>
          <w:noProof/>
        </w:rPr>
        <w:t>5.</w:t>
      </w:r>
      <w:r>
        <w:rPr>
          <w:noProof/>
        </w:rPr>
        <w:tab/>
        <w:t>Σε περίπτωση που ούτε η Επιτροπή ούτε τα υπόλοιπα κράτη μέλη έχουν υποβάλει σχόλια για κοινοποιηθέν σχέδιο μέτρου εντός δύο μηνών, όπως αναφέρεται στην παράγραφο 3, η περίοδος διαβούλευσης λήγει αμέσως.</w:t>
      </w:r>
    </w:p>
    <w:p>
      <w:pPr>
        <w:pStyle w:val="Titrearticle"/>
        <w:rPr>
          <w:noProof/>
        </w:rPr>
      </w:pPr>
      <w:r>
        <w:rPr>
          <w:noProof/>
        </w:rPr>
        <w:t>Άρθρο 6</w:t>
      </w:r>
    </w:p>
    <w:p>
      <w:pPr>
        <w:pStyle w:val="NormalCentered"/>
        <w:rPr>
          <w:b/>
          <w:noProof/>
        </w:rPr>
      </w:pPr>
      <w:r>
        <w:rPr>
          <w:b/>
          <w:noProof/>
        </w:rPr>
        <w:t>Προειδοποίηση</w:t>
      </w:r>
    </w:p>
    <w:p>
      <w:pPr>
        <w:pStyle w:val="ManualNumPar1"/>
        <w:rPr>
          <w:noProof/>
        </w:rPr>
      </w:pPr>
      <w:r>
        <w:t>1.</w:t>
      </w:r>
      <w:r>
        <w:tab/>
      </w:r>
      <w:r>
        <w:rPr>
          <w:noProof/>
        </w:rPr>
        <w:t xml:space="preserve">Πριν από τη λήξη της περιόδου διαβούλευσης που αναφέρεται στο άρθρο 5 παράγραφος 2, η Επιτροπή μπορεί να προειδοποιήσει το κράτος μέλος που πραγματοποιεί την κοινοποίηση σχετικά με τους προβληματισμούς της όσον αφορά τη συμβατότητα του κοινοποιηθέντος σχεδίου μέτρου με την οδηγία 2006/123/ΕΚ, καθώς και σχετικά με την πρόθεσή της να εκδώσει απόφαση σύμφωνα με το άρθρο 7. </w:t>
      </w:r>
    </w:p>
    <w:p>
      <w:pPr>
        <w:pStyle w:val="ManualNumPar1"/>
        <w:rPr>
          <w:noProof/>
        </w:rPr>
      </w:pPr>
      <w:r>
        <w:t>2.</w:t>
      </w:r>
      <w:r>
        <w:tab/>
      </w:r>
      <w:r>
        <w:rPr>
          <w:noProof/>
        </w:rPr>
        <w:t>Μόλις λάβει την προειδοποίηση, το κράτος μέλος που πραγματοποιεί την κοινοποίηση δεν προβαίνει σε θέσπιση του σχεδίου μέτρου για χρονικό διάστημα τριών μηνών μετά τη λήξη της περιόδου διαβούλευσης.</w:t>
      </w:r>
    </w:p>
    <w:p>
      <w:pPr>
        <w:pStyle w:val="Titrearticle"/>
        <w:rPr>
          <w:noProof/>
        </w:rPr>
      </w:pPr>
      <w:r>
        <w:rPr>
          <w:noProof/>
        </w:rPr>
        <w:t>Άρθρο 7</w:t>
      </w:r>
    </w:p>
    <w:p>
      <w:pPr>
        <w:pStyle w:val="NormalCentered"/>
        <w:rPr>
          <w:b/>
          <w:noProof/>
        </w:rPr>
      </w:pPr>
      <w:r>
        <w:rPr>
          <w:b/>
          <w:noProof/>
        </w:rPr>
        <w:t>Απόφαση</w:t>
      </w:r>
    </w:p>
    <w:p>
      <w:pPr>
        <w:rPr>
          <w:noProof/>
        </w:rPr>
      </w:pPr>
      <w:r>
        <w:rPr>
          <w:noProof/>
        </w:rPr>
        <w:t>Σε περίπτωση που η Επιτροπή εκδώσει προειδοποίηση σύμφωνα με το άρθρο 6 παράγραφος 1, μπορεί, εντός τριών μηνών μετά την ημερομηνία λήξης της περιόδου διαβούλευσης που αναφέρεται στο άρθρο 5 παράγραφος 2, να εκδώσει απόφαση με την οποία το σχέδιο μέτρου θα χαρακτηρίζεται ασύμβατο με την οδηγία 2006/123/ΕΚ και θα απαιτείται από το οικείο κράτος μέλος να μην προβεί στη θέσπιση του σχεδίου μέτρου ή, εάν αυτό το μέτρο έχει θεσπιστεί κατά παράβαση του άρθρου 3 παράγραφος 3 ή του άρθρου 6 παράγραφος 2, να το καταργήσει.</w:t>
      </w:r>
    </w:p>
    <w:p>
      <w:pPr>
        <w:pStyle w:val="Titrearticle"/>
        <w:rPr>
          <w:noProof/>
        </w:rPr>
      </w:pPr>
      <w:r>
        <w:rPr>
          <w:noProof/>
        </w:rPr>
        <w:lastRenderedPageBreak/>
        <w:t>Άρθρο 8</w:t>
      </w:r>
    </w:p>
    <w:p>
      <w:pPr>
        <w:pStyle w:val="NormalCentered"/>
        <w:rPr>
          <w:b/>
          <w:noProof/>
        </w:rPr>
      </w:pPr>
      <w:r>
        <w:rPr>
          <w:b/>
          <w:noProof/>
        </w:rPr>
        <w:t>Ενημέρωση του κοινού</w:t>
      </w:r>
    </w:p>
    <w:p>
      <w:pPr>
        <w:rPr>
          <w:noProof/>
        </w:rPr>
      </w:pPr>
      <w:r>
        <w:rPr>
          <w:noProof/>
        </w:rPr>
        <w:t>Η Επιτροπή δημοσιεύει σε ειδικό δικτυακό τόπο δημόσιας πρόσβασης τις κοινοποιήσεις που γίνονται από τα κράτη μέλη βάσει του άρθρου 3 παράγραφοι 1 και 2 και τα σχετικά θεσπισθέντα μέτρα.</w:t>
      </w:r>
    </w:p>
    <w:p>
      <w:pPr>
        <w:pStyle w:val="Titrearticle"/>
        <w:rPr>
          <w:noProof/>
        </w:rPr>
      </w:pPr>
      <w:r>
        <w:rPr>
          <w:noProof/>
        </w:rPr>
        <w:t>Άρθρο 9</w:t>
      </w:r>
    </w:p>
    <w:p>
      <w:pPr>
        <w:pStyle w:val="NormalCentered"/>
        <w:rPr>
          <w:b/>
          <w:noProof/>
        </w:rPr>
      </w:pPr>
      <w:r>
        <w:rPr>
          <w:b/>
          <w:noProof/>
        </w:rPr>
        <w:t>Ορισμός αρμόδιων αρχών</w:t>
      </w:r>
    </w:p>
    <w:p>
      <w:pPr>
        <w:rPr>
          <w:noProof/>
        </w:rPr>
      </w:pPr>
      <w:r>
        <w:rPr>
          <w:noProof/>
        </w:rPr>
        <w:t>Τα κράτη μέλη ορίζουν μια αρμόδια αρχή που είναι υπεύθυνη σε εθνικό επίπεδο για την εφαρμογή της διαδικασίας κοινοποίησης που θεσπίζεται από την παρούσα οδηγία.</w:t>
      </w:r>
    </w:p>
    <w:p>
      <w:pPr>
        <w:pStyle w:val="Titrearticle"/>
        <w:rPr>
          <w:noProof/>
        </w:rPr>
      </w:pPr>
      <w:r>
        <w:rPr>
          <w:noProof/>
        </w:rPr>
        <w:t>Άρθρο 10</w:t>
      </w:r>
    </w:p>
    <w:p>
      <w:pPr>
        <w:pStyle w:val="NormalCentered"/>
        <w:rPr>
          <w:b/>
          <w:noProof/>
        </w:rPr>
      </w:pPr>
      <w:r>
        <w:rPr>
          <w:b/>
          <w:noProof/>
        </w:rPr>
        <w:t>Σύνδεση με άλλους μηχανισμούς κοινοποίησης ή υποβολής εκθέσεων</w:t>
      </w:r>
    </w:p>
    <w:p>
      <w:pPr>
        <w:pStyle w:val="ManualNumPar1"/>
        <w:rPr>
          <w:noProof/>
        </w:rPr>
      </w:pPr>
      <w:r>
        <w:t>1.</w:t>
      </w:r>
      <w:r>
        <w:tab/>
      </w:r>
      <w:r>
        <w:rPr>
          <w:noProof/>
        </w:rPr>
        <w:t>Σε περίπτωση που ένα κράτος μέλος υποχρεούται να κοινοποιήσει ένα μέτρο βάσει του άρθρου 3 της παρούσας οδηγίας και βάσει του άρθρου 5 παράγραφος 1 της οδηγίας (ΕΕ) 2015/1535, μια κοινοποίηση που πραγματοποιείται βάσει αυτής της οδηγίας και η οποία συμμορφώνεται με τις υποχρεώσεις που προβλέπονται στο άρθρο 3 παράγραφοι 3, 5, 6 και 7 της παρούσας οδηγίας θεωρείται ότι έχει εκπληρώσει επίσης την υποχρέωση κοινοποίησης που θεσπίζεται βάσει του άρθρου 3 παράγραφοι 1 και 2 της παρούσας οδηγίας.</w:t>
      </w:r>
    </w:p>
    <w:p>
      <w:pPr>
        <w:pStyle w:val="ManualNumPar1"/>
        <w:rPr>
          <w:noProof/>
        </w:rPr>
      </w:pPr>
      <w:r>
        <w:t>2.</w:t>
      </w:r>
      <w:r>
        <w:tab/>
      </w:r>
      <w:r>
        <w:rPr>
          <w:noProof/>
        </w:rPr>
        <w:t>Σε περίπτωση που ένα κράτος μέλος υποχρεούται να κοινοποιήσει ένα μέτρο βάσει του άρθρου 3 της παρούσας οδηγίας και να ενημερώσει την Επιτροπή σύμφωνα με το άρθρο 59 παράγραφος 5 της οδηγίας 2005/36/ΕΚ, αυτή η κοινοποίηση θεωρείται ότι εκπληρώνει επίσης την υποχρέωση ενημέρωσης που ορίζεται στο άρθρο 59 παράγραφος 5 της οδηγίας 2005/36/ΕΚ.</w:t>
      </w:r>
    </w:p>
    <w:p>
      <w:pPr>
        <w:pStyle w:val="Titrearticle"/>
        <w:rPr>
          <w:noProof/>
        </w:rPr>
      </w:pPr>
      <w:r>
        <w:rPr>
          <w:noProof/>
        </w:rPr>
        <w:t>Άρθρο 11</w:t>
      </w:r>
    </w:p>
    <w:p>
      <w:pPr>
        <w:pStyle w:val="NormalCentered"/>
        <w:rPr>
          <w:b/>
          <w:noProof/>
        </w:rPr>
      </w:pPr>
      <w:r>
        <w:rPr>
          <w:b/>
          <w:noProof/>
        </w:rPr>
        <w:t>Έκθεση και αναθεώρηση</w:t>
      </w:r>
    </w:p>
    <w:p>
      <w:pPr>
        <w:pStyle w:val="ManualNumPar1"/>
        <w:rPr>
          <w:noProof/>
        </w:rPr>
      </w:pPr>
      <w:r>
        <w:t>1.</w:t>
      </w:r>
      <w:r>
        <w:tab/>
      </w:r>
      <w:r>
        <w:rPr>
          <w:noProof/>
        </w:rPr>
        <w:t>Σε  [36 μήνες μετά την ημερομηνία μεταφοράς της εν λόγω οδηγίας στο εθνικό δίκαιο] και στη συνέχεια τουλάχιστον κάθε πενταετία, η Επιτροπή υποβάλλει στο Ευρωπαϊκό Κοινοβούλιο, στο Συμβούλιο και στην Ευρωπαϊκή Οικονομική και Κοινωνική Επιτροπή έκθεση σχετικά με την εφαρμογή της παρούσας οδηγίας.</w:t>
      </w:r>
    </w:p>
    <w:p>
      <w:pPr>
        <w:pStyle w:val="ManualNumPar1"/>
        <w:rPr>
          <w:noProof/>
        </w:rPr>
      </w:pPr>
      <w:r>
        <w:t>2.</w:t>
      </w:r>
      <w:r>
        <w:tab/>
      </w:r>
      <w:r>
        <w:rPr>
          <w:noProof/>
        </w:rPr>
        <w:t>Μετά την έκθεση που αναφέρεται στην παράγραφο 1, η Επιτροπή αξιολογεί τακτικά την παρούσα οδηγία και υποβάλλει τα αποτελέσματα της αξιολόγησης στο Ευρωπαϊκό Κοινοβούλιο, στο Συμβούλιο και στην Ευρωπαϊκή Οικονομική και Κοινωνική Επιτροπή.</w:t>
      </w:r>
    </w:p>
    <w:p>
      <w:pPr>
        <w:pStyle w:val="ManualNumPar1"/>
        <w:rPr>
          <w:noProof/>
        </w:rPr>
      </w:pPr>
      <w:r>
        <w:t>3.</w:t>
      </w:r>
      <w:r>
        <w:tab/>
      </w:r>
      <w:r>
        <w:rPr>
          <w:noProof/>
        </w:rPr>
        <w:t>Ανάλογα με την περίπτωση, οι εκθέσεις που αναφέρονται στις παραγράφους 1 και 2 συνοδεύονται από σχετικές προτάσεις.</w:t>
      </w:r>
    </w:p>
    <w:p>
      <w:pPr>
        <w:pStyle w:val="Titrearticle"/>
        <w:rPr>
          <w:noProof/>
        </w:rPr>
      </w:pPr>
      <w:r>
        <w:rPr>
          <w:noProof/>
        </w:rPr>
        <w:t>Άρθρο 12</w:t>
      </w:r>
    </w:p>
    <w:p>
      <w:pPr>
        <w:pStyle w:val="NormalCentered"/>
        <w:rPr>
          <w:b/>
          <w:noProof/>
        </w:rPr>
      </w:pPr>
      <w:r>
        <w:rPr>
          <w:b/>
          <w:noProof/>
        </w:rPr>
        <w:t xml:space="preserve">Τροποποιήσεις στην οδηγία 2006/123/ΕΚ </w:t>
      </w:r>
    </w:p>
    <w:p>
      <w:pPr>
        <w:pStyle w:val="Text1"/>
        <w:ind w:left="0"/>
        <w:rPr>
          <w:noProof/>
        </w:rPr>
      </w:pPr>
      <w:r>
        <w:rPr>
          <w:noProof/>
        </w:rPr>
        <w:t>Η οδηγία 2006/123/ΕΚ τροποποιείται ως εξής:</w:t>
      </w:r>
    </w:p>
    <w:p>
      <w:pPr>
        <w:pStyle w:val="ManualNumPar1"/>
        <w:rPr>
          <w:noProof/>
        </w:rPr>
      </w:pPr>
      <w:r>
        <w:lastRenderedPageBreak/>
        <w:t>1.</w:t>
      </w:r>
      <w:r>
        <w:tab/>
      </w:r>
      <w:r>
        <w:rPr>
          <w:noProof/>
        </w:rPr>
        <w:t>Στο άρθρο 15 η παράγραφος 7 απαλείφεται από την [μία ημέρα μετά την προθεσμία για τη μεταφορά].</w:t>
      </w:r>
    </w:p>
    <w:p>
      <w:pPr>
        <w:pStyle w:val="ManualNumPar1"/>
        <w:rPr>
          <w:noProof/>
        </w:rPr>
      </w:pPr>
      <w:r>
        <w:t>2.</w:t>
      </w:r>
      <w:r>
        <w:tab/>
      </w:r>
      <w:r>
        <w:rPr>
          <w:noProof/>
        </w:rPr>
        <w:t>Στο άρθρο 39 παράγραφος 5, το δεύτερο και το τρίτο εδάφιο απαλείφονται από την [μία ημέρα μετά την προθεσμία για τη μεταφορά].</w:t>
      </w:r>
    </w:p>
    <w:p>
      <w:pPr>
        <w:pStyle w:val="Titrearticle"/>
        <w:rPr>
          <w:noProof/>
        </w:rPr>
      </w:pPr>
      <w:r>
        <w:rPr>
          <w:noProof/>
        </w:rPr>
        <w:t>Άρθρο 13</w:t>
      </w:r>
    </w:p>
    <w:p>
      <w:pPr>
        <w:pStyle w:val="NormalCentered"/>
        <w:rPr>
          <w:b/>
          <w:noProof/>
        </w:rPr>
      </w:pPr>
      <w:r>
        <w:rPr>
          <w:b/>
          <w:noProof/>
        </w:rPr>
        <w:t>Τροποποιήσεις στον κανονισμό (ΕΕ) αριθ. 1024/2012</w:t>
      </w:r>
    </w:p>
    <w:p>
      <w:pPr>
        <w:pStyle w:val="Text1"/>
        <w:ind w:left="0"/>
        <w:rPr>
          <w:noProof/>
        </w:rPr>
      </w:pPr>
      <w:r>
        <w:rPr>
          <w:noProof/>
        </w:rPr>
        <w:t>Το παράρτημα του κανονισμού (ΕΕ) αριθ. 1024/2012 τροποποιείται ως εξής:</w:t>
      </w:r>
    </w:p>
    <w:p>
      <w:pPr>
        <w:pStyle w:val="ManualNumPar1"/>
        <w:rPr>
          <w:noProof/>
        </w:rPr>
      </w:pPr>
      <w:r>
        <w:t>1.</w:t>
      </w:r>
      <w:r>
        <w:tab/>
      </w:r>
      <w:r>
        <w:rPr>
          <w:noProof/>
        </w:rPr>
        <w:t>Το σημείο 1 αντικαθίσταται από το ακόλουθο κείμενο:</w:t>
      </w:r>
    </w:p>
    <w:p>
      <w:pPr>
        <w:rPr>
          <w:i/>
          <w:noProof/>
        </w:rPr>
      </w:pPr>
      <w:r>
        <w:rPr>
          <w:i/>
          <w:noProof/>
        </w:rPr>
        <w:t>«1. Οδηγία 2006/123/ΕΚ του Ευρωπαϊκού Κοινοβουλίου και του Συμβουλίου, της 12ης Δεκεμβρίου 2006, σχετικά με τις υπηρεσίες στην εσωτερική αγορά: Κεφάλαιο VI»·</w:t>
      </w:r>
    </w:p>
    <w:p>
      <w:pPr>
        <w:pStyle w:val="ManualNumPar1"/>
        <w:rPr>
          <w:noProof/>
        </w:rPr>
      </w:pPr>
      <w:r>
        <w:t>2.</w:t>
      </w:r>
      <w:r>
        <w:tab/>
      </w:r>
      <w:r>
        <w:rPr>
          <w:noProof/>
        </w:rPr>
        <w:t>προστίθεται το ακόλουθο σημείο 11:</w:t>
      </w:r>
    </w:p>
    <w:p>
      <w:pPr>
        <w:rPr>
          <w:i/>
          <w:noProof/>
        </w:rPr>
      </w:pPr>
      <w:r>
        <w:rPr>
          <w:i/>
          <w:noProof/>
        </w:rPr>
        <w:t>«11. Οδηγία (EΕ) XXXX/XXXX του Ευρωπαϊκού Κοινοβουλίου και του Συμβουλίου, της XX, για την επιβολή της οδηγίας 2006/123/ΕΚ σχετικά με τις υπηρεσίες στην εσωτερική αγορά, για τη θέσπιση διαδικασίας κοινοποίησης για τα συστήματα χορήγησης άδειας και τις απαιτήσεις που σχετίζονται με υπηρεσίες και για την τροποποίηση της οδηγίας 2006/123/ΕΚ και του κανονισμού (ΕΕ) αριθ. 1024/2012 σχετικά με τη διοικητική συνεργασία μέσω του Συστήματος Πληροφόρησης για την Εσωτερική Αγορά</w:t>
      </w:r>
    </w:p>
    <w:p>
      <w:pPr>
        <w:pStyle w:val="Titrearticle"/>
        <w:rPr>
          <w:noProof/>
        </w:rPr>
      </w:pPr>
      <w:r>
        <w:rPr>
          <w:noProof/>
        </w:rPr>
        <w:t>Άρθρο 14</w:t>
      </w:r>
    </w:p>
    <w:p>
      <w:pPr>
        <w:pStyle w:val="NormalCentered"/>
        <w:rPr>
          <w:b/>
          <w:noProof/>
        </w:rPr>
      </w:pPr>
      <w:r>
        <w:rPr>
          <w:b/>
          <w:noProof/>
        </w:rPr>
        <w:t>Μεταφορά στο εθνικό δίκαιο</w:t>
      </w:r>
    </w:p>
    <w:p>
      <w:pPr>
        <w:pStyle w:val="ManualNumPar1"/>
        <w:rPr>
          <w:noProof/>
        </w:rPr>
      </w:pPr>
      <w:r>
        <w:t>1.</w:t>
      </w:r>
      <w:r>
        <w:tab/>
      </w:r>
      <w:r>
        <w:rPr>
          <w:noProof/>
        </w:rPr>
        <w:t xml:space="preserve">Τα κράτη μέλη θεσπίζουν και δημοσιεύουν, το αργότερο την ... [ημερολογιακή ημερομηνία ένα έτος μετά από την ημερομηνία έναρξης ισχύος της παρούσας οδηγίας], τις αναγκαίες νομοθετικές, κανονιστικές και διοικητικές διατάξεις για να συμμορφωθούν προς την παρούσα οδηγία. </w:t>
      </w:r>
    </w:p>
    <w:p>
      <w:pPr>
        <w:pStyle w:val="Text1"/>
        <w:rPr>
          <w:noProof/>
        </w:rPr>
      </w:pPr>
      <w:r>
        <w:rPr>
          <w:noProof/>
        </w:rPr>
        <w:t>Οι διατάξεις που θεσπίζονται για τη μεταφορά της παρούσας οδηγίας περιέχουν αναφορά στην παρούσα οδηγία ή συνοδεύονται από την αναφορά αυτή κατά την επίσημη δημοσίευσή τους. Ο τρόπος της αναφοράς αποφασίζεται από τα κράτη μέλη.</w:t>
      </w:r>
    </w:p>
    <w:p>
      <w:pPr>
        <w:pStyle w:val="ManualNumPar1"/>
        <w:rPr>
          <w:noProof/>
        </w:rPr>
      </w:pPr>
      <w:r>
        <w:t>2.</w:t>
      </w:r>
      <w:r>
        <w:tab/>
      </w:r>
      <w:r>
        <w:rPr>
          <w:noProof/>
        </w:rPr>
        <w:t>Ανακοινώνουν αμέσως στην Επιτροπή το κείμενο των εν λόγω διατάξεων.</w:t>
      </w:r>
    </w:p>
    <w:p>
      <w:pPr>
        <w:pStyle w:val="ManualNumPar1"/>
        <w:rPr>
          <w:noProof/>
        </w:rPr>
      </w:pPr>
      <w:r>
        <w:t>3.</w:t>
      </w:r>
      <w:r>
        <w:tab/>
      </w:r>
      <w:r>
        <w:rPr>
          <w:noProof/>
        </w:rPr>
        <w:t>Τα κράτη μέλη εφαρμόζουν τις διατάξεις αυτές από [ημερολογιακή ημερομηνία ένα έτος μετά από την ημερομηνία έναρξης ισχύος της παρούσας οδηγίας και μία ημέρα].</w:t>
      </w:r>
    </w:p>
    <w:p>
      <w:pPr>
        <w:rPr>
          <w:noProof/>
        </w:rPr>
      </w:pPr>
    </w:p>
    <w:p>
      <w:pPr>
        <w:pStyle w:val="Titrearticle"/>
        <w:rPr>
          <w:noProof/>
        </w:rPr>
      </w:pPr>
      <w:r>
        <w:rPr>
          <w:noProof/>
        </w:rPr>
        <w:t>Άρθρο 15</w:t>
      </w:r>
    </w:p>
    <w:p>
      <w:pPr>
        <w:pStyle w:val="NormalCentered"/>
        <w:rPr>
          <w:b/>
          <w:noProof/>
        </w:rPr>
      </w:pPr>
      <w:r>
        <w:rPr>
          <w:b/>
          <w:noProof/>
        </w:rPr>
        <w:t>Έναρξη ισχύος</w:t>
      </w:r>
    </w:p>
    <w:p>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pPr>
        <w:pStyle w:val="Titrearticle"/>
        <w:rPr>
          <w:noProof/>
        </w:rPr>
      </w:pPr>
      <w:r>
        <w:rPr>
          <w:noProof/>
        </w:rPr>
        <w:t>Άρθρο 16</w:t>
      </w:r>
    </w:p>
    <w:p>
      <w:pPr>
        <w:pStyle w:val="NormalCentered"/>
        <w:rPr>
          <w:b/>
          <w:noProof/>
        </w:rPr>
      </w:pPr>
      <w:r>
        <w:rPr>
          <w:b/>
          <w:noProof/>
        </w:rPr>
        <w:t>Αποδέκτες</w:t>
      </w:r>
    </w:p>
    <w:p>
      <w:pPr>
        <w:keepNext/>
        <w:keepLines/>
        <w:rPr>
          <w:noProof/>
        </w:rPr>
      </w:pPr>
      <w:r>
        <w:rPr>
          <w:noProof/>
        </w:rPr>
        <w:t>Η παρούσα οδηγία απευθύνεται στα κράτη μέλη.</w:t>
      </w:r>
    </w:p>
    <w:p>
      <w:pPr>
        <w:keepNext/>
        <w:keepLines/>
        <w:rPr>
          <w:noProof/>
        </w:rPr>
      </w:pP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Ο/Η Πρόεδρος</w:t>
      </w:r>
      <w:r>
        <w:rPr>
          <w:noProof/>
        </w:rPr>
        <w:tab/>
        <w:t>Ο/Η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COM(2015) 550 final</w:t>
      </w:r>
    </w:p>
  </w:footnote>
  <w:footnote w:id="2">
    <w:p>
      <w:pPr>
        <w:pStyle w:val="FootnoteText"/>
      </w:pPr>
      <w:r>
        <w:rPr>
          <w:rStyle w:val="FootnoteReference"/>
        </w:rPr>
        <w:footnoteRef/>
      </w:r>
      <w:r>
        <w:tab/>
        <w:t>Συμπεράσματα του Ευρωπαϊκού Συμβουλίου, της 18ης Δεκεμβρίου 2015 (EUCO 28/15).</w:t>
      </w:r>
    </w:p>
  </w:footnote>
  <w:footnote w:id="3">
    <w:p>
      <w:pPr>
        <w:pStyle w:val="FootnoteText"/>
      </w:pPr>
      <w:r>
        <w:rPr>
          <w:rStyle w:val="FootnoteReference"/>
        </w:rPr>
        <w:footnoteRef/>
      </w:r>
      <w:r>
        <w:tab/>
        <w:t>Συμπεράσματα του Ευρωπαϊκού Συμβουλίου, της 28ης Ιουνίου 2016 (EUCO 26/16).</w:t>
      </w:r>
    </w:p>
  </w:footnote>
  <w:footnote w:id="4">
    <w:p>
      <w:pPr>
        <w:pStyle w:val="FootnoteText"/>
      </w:pPr>
      <w:r>
        <w:rPr>
          <w:rStyle w:val="FootnoteReference"/>
        </w:rPr>
        <w:footnoteRef/>
      </w:r>
      <w:r>
        <w:tab/>
        <w:t xml:space="preserve">Οδηγία 2006/123/ΕΚ του Ευρωπαϊκού Κοινοβουλίου και του Συμβουλίου, της 12ης Δεκεμβρίου 2006, σχετικά με τις υπηρεσίες στην εσωτερική αγορά </w:t>
      </w:r>
      <w:r>
        <w:rPr>
          <w:i/>
        </w:rPr>
        <w:t>ΕΕ L 376 της 27.12.2006, σ. 36</w:t>
      </w:r>
    </w:p>
  </w:footnote>
  <w:footnote w:id="5">
    <w:p>
      <w:pPr>
        <w:pStyle w:val="FootnoteText"/>
      </w:pPr>
      <w:r>
        <w:rPr>
          <w:rStyle w:val="FootnoteReference"/>
        </w:rPr>
        <w:footnoteRef/>
      </w:r>
      <w:r>
        <w:tab/>
        <w:t>Το πλήρες οικονομικό δυναμικό της οδηγίας για τις υπηρεσίες που είναι 2,6% ανάπτυξη του ΑΕΠ στην ΕΕ δεν έχει επιτευχθεί. Οι μεταρρυθμίσεις που έχουν εφαρμόσει τα κράτη μέλη από το 2006 έως το 2014 εκτιμάται ότι αξιοποιούν περίπου μόνο το ένα τρίτο αυτού του δυναμικού (ανάπτυξη του ΑΕΠ στην ΕΕ κατά 0,9%).</w:t>
      </w:r>
    </w:p>
  </w:footnote>
  <w:footnote w:id="6">
    <w:p>
      <w:pPr>
        <w:pStyle w:val="FootnoteText"/>
        <w:ind w:left="0" w:firstLine="0"/>
      </w:pPr>
      <w:r>
        <w:rPr>
          <w:rStyle w:val="FootnoteReference"/>
        </w:rPr>
        <w:footnoteRef/>
      </w:r>
      <w:r>
        <w:tab/>
        <w:t>Οδηγία (ΕΕ) 2015/1535 του Ευρωπαϊκού Κοινοβουλίου και του Συμβουλίου, της 9ης Σεπτεμβρίου 2015, για την καθιέρωση μιας διαδικασίας πληροφόρησης στον τομέα των τεχνικών προδιαγραφών και των κανόνων σχετικά με τις υπηρεσίες της κοινωνίας των πληροφοριών.</w:t>
      </w:r>
    </w:p>
  </w:footnote>
  <w:footnote w:id="7">
    <w:p>
      <w:pPr>
        <w:pStyle w:val="FootnoteText"/>
        <w:ind w:left="0" w:firstLine="0"/>
      </w:pPr>
      <w:r>
        <w:rPr>
          <w:rStyle w:val="FootnoteReference"/>
        </w:rPr>
        <w:footnoteRef/>
      </w:r>
      <w:r>
        <w:tab/>
        <w:t xml:space="preserve">Οδηγία 2005/36/ΕΚ του Ευρωπαϊκού Κοινοβουλίου και του Συμβουλίου, της 7ης Σεπτεμβρίου 2005, σχετικά με την αναγνώριση των επαγγελματικών προσόντων. </w:t>
      </w:r>
    </w:p>
  </w:footnote>
  <w:footnote w:id="8">
    <w:p>
      <w:pPr>
        <w:pStyle w:val="FootnoteText"/>
      </w:pPr>
      <w:r>
        <w:rPr>
          <w:rStyle w:val="FootnoteReference"/>
        </w:rPr>
        <w:footnoteRef/>
      </w:r>
      <w:r>
        <w:tab/>
        <w:t>Κανονισμός (EE) αριθ. 1024/2012 του Ευρωπαϊκού Κοινοβουλίου και του Συμβουλίου, της 25ης Οκτωβρίου 2012, σχετικά με τη διοικητική συνεργασία μέσω του Συστήματος Πληροφόρησης για την Εσωτερική Αγορά και την κατάργηση της απόφασης 2008/49/ΕΚ της Επιτροπής («κανονισμός ΙΜΙ») (ΕΕ L 316 της 14.11.2012, σ. 1).</w:t>
      </w:r>
    </w:p>
  </w:footnote>
  <w:footnote w:id="9">
    <w:p>
      <w:pPr>
        <w:pStyle w:val="FootnoteText"/>
        <w:ind w:left="0" w:firstLine="0"/>
        <w:rPr>
          <w:lang w:val="pt-PT"/>
        </w:rPr>
      </w:pPr>
      <w:r>
        <w:rPr>
          <w:rStyle w:val="FootnoteReference"/>
        </w:rPr>
        <w:footnoteRef/>
      </w:r>
      <w:r>
        <w:rPr>
          <w:lang w:val="pt-PT"/>
        </w:rPr>
        <w:tab/>
        <w:t>COM(2011) 20 final</w:t>
      </w:r>
    </w:p>
  </w:footnote>
  <w:footnote w:id="10">
    <w:p>
      <w:pPr>
        <w:pStyle w:val="FootnoteText"/>
        <w:ind w:left="0" w:firstLine="0"/>
        <w:rPr>
          <w:lang w:val="pt-PT"/>
        </w:rPr>
      </w:pPr>
      <w:r>
        <w:rPr>
          <w:rStyle w:val="FootnoteReference"/>
        </w:rPr>
        <w:footnoteRef/>
      </w:r>
      <w:r>
        <w:rPr>
          <w:lang w:val="pt-PT"/>
        </w:rPr>
        <w:tab/>
        <w:t>SWD(2012) 147 final</w:t>
      </w:r>
    </w:p>
  </w:footnote>
  <w:footnote w:id="11">
    <w:p>
      <w:pPr>
        <w:pStyle w:val="FootnoteText"/>
        <w:ind w:left="0" w:firstLine="0"/>
        <w:rPr>
          <w:lang w:val="pt-PT"/>
        </w:rPr>
      </w:pPr>
      <w:r>
        <w:rPr>
          <w:rStyle w:val="FootnoteReference"/>
        </w:rPr>
        <w:footnoteRef/>
      </w:r>
      <w:r>
        <w:rPr>
          <w:lang w:val="pt-PT"/>
        </w:rPr>
        <w:tab/>
        <w:t>SWD(2013) 402 final</w:t>
      </w:r>
    </w:p>
  </w:footnote>
  <w:footnote w:id="12">
    <w:p>
      <w:pPr>
        <w:spacing w:before="0" w:after="0"/>
      </w:pPr>
      <w:r>
        <w:rPr>
          <w:rStyle w:val="FootnoteReference"/>
        </w:rPr>
        <w:footnoteRef/>
      </w:r>
      <w:r>
        <w:tab/>
      </w:r>
      <w:r>
        <w:rPr>
          <w:sz w:val="20"/>
        </w:rPr>
        <w:t xml:space="preserve">Ειδική έκθεση αριθ. 5/2016: «Διασφάλισε η Επιτροπή την αποτελεσματική εφαρμογή της οδηγίας για τις υπηρεσίες;» </w:t>
      </w:r>
      <w:hyperlink r:id="rId1">
        <w:r>
          <w:rPr>
            <w:rStyle w:val="Hyperlink"/>
            <w:sz w:val="20"/>
          </w:rPr>
          <w:t>http://www.eca.europa.eu/el/Pages/DocItem.aspx?did=35556</w:t>
        </w:r>
      </w:hyperlink>
    </w:p>
  </w:footnote>
  <w:footnote w:id="13">
    <w:p>
      <w:pPr>
        <w:pStyle w:val="FootnoteText"/>
        <w:jc w:val="left"/>
      </w:pPr>
      <w:r>
        <w:rPr>
          <w:rStyle w:val="FootnoteReference"/>
        </w:rPr>
        <w:footnoteRef/>
      </w:r>
      <w:r>
        <w:tab/>
        <w:t>Τα αποτελέσματα της δημόσιας διαβούλευσης, η έκθεση αξιολόγησης, η εκτίμηση επιπτώσεων και η γνώμη της επιτροπής ρυθμιστικού ελέγχου δημοσιεύονται στην ιστοσελίδα</w:t>
      </w:r>
      <w:r>
        <w:br/>
      </w:r>
      <w:hyperlink r:id="rId2" w:anchor="grow">
        <w:r>
          <w:rPr>
            <w:rStyle w:val="Hyperlink"/>
          </w:rPr>
          <w:t>http://ec.europa.eu/smart-regulation/impact/ia_carried_out/cia_2016_en.htm#grow</w:t>
        </w:r>
      </w:hyperlink>
      <w:r>
        <w:t xml:space="preserve"> </w:t>
      </w:r>
    </w:p>
  </w:footnote>
  <w:footnote w:id="14">
    <w:p>
      <w:pPr>
        <w:pStyle w:val="FootnoteText"/>
      </w:pPr>
      <w:r>
        <w:rPr>
          <w:rStyle w:val="FootnoteReference"/>
        </w:rPr>
        <w:footnoteRef/>
      </w:r>
      <w:r>
        <w:tab/>
        <w:t>ΕΕ C της , σ. .</w:t>
      </w:r>
    </w:p>
  </w:footnote>
  <w:footnote w:id="15">
    <w:p>
      <w:pPr>
        <w:pStyle w:val="FootnoteText"/>
      </w:pPr>
      <w:r>
        <w:rPr>
          <w:rStyle w:val="FootnoteReference"/>
        </w:rPr>
        <w:footnoteRef/>
      </w:r>
      <w:r>
        <w:tab/>
        <w:t>Οδηγία 2006/123/ΕΚ του Ευρωπαϊκού Κοινοβουλίου και του Συμβουλίου, της 12ης Δεκεμβρίου 2006, σχετικά με τις υπηρεσίες στην εσωτερική αγορά (ΕΕ L 376 της 27.12.2006, σ. 36).</w:t>
      </w:r>
    </w:p>
    <w:p>
      <w:pPr>
        <w:pStyle w:val="FootnoteText"/>
      </w:pPr>
    </w:p>
  </w:footnote>
  <w:footnote w:id="16">
    <w:p>
      <w:pPr>
        <w:pStyle w:val="FootnoteText"/>
      </w:pPr>
      <w:r>
        <w:rPr>
          <w:rStyle w:val="FootnoteReference"/>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 Αναβάθμιση της ενιαίας αγοράς: περισσότερες ευκαιρίες για τους πολίτες και τις επιχειρήσεις [COM(2015)550 final].</w:t>
      </w:r>
    </w:p>
  </w:footnote>
  <w:footnote w:id="17">
    <w:p>
      <w:pPr>
        <w:pStyle w:val="FootnoteText"/>
      </w:pPr>
      <w:r>
        <w:rPr>
          <w:rStyle w:val="FootnoteReference"/>
        </w:rPr>
        <w:footnoteRef/>
      </w:r>
      <w:r>
        <w:tab/>
        <w:t>Κανονισμός (EE) αριθ. 1024/2012 του Ευρωπαϊκού Κοινοβουλίου και του Συμβουλίου, της 25ης Οκτωβρίου 2012, σχετικά με τη διοικητική συνεργασία μέσω του Συστήματος Πληροφόρησης για την Εσωτερική Αγορά και την κατάργηση της απόφασης 2008/49/ΕΚ («κανονισμός ΙΜΙ») (ΕΕ L 316 της 14.11.2012, σ. 1).</w:t>
      </w:r>
    </w:p>
  </w:footnote>
  <w:footnote w:id="18">
    <w:p>
      <w:pPr>
        <w:pStyle w:val="FootnoteText"/>
      </w:pPr>
      <w:r>
        <w:rPr>
          <w:rStyle w:val="FootnoteReference"/>
        </w:rPr>
        <w:footnoteRef/>
      </w:r>
      <w:r>
        <w:tab/>
        <w:t>Οδηγία 2005/36/ΕΚ του Ευρωπαϊκού Κοινοβουλίου και του Συμβουλίου, της 7ης Σεπτεμβρίου 2005, σχετικά με την αναγνώριση των επαγγελματικών προσόντων (ΕΕ L 255 της 30.9.2005, σ.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50F3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C4E1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C84B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8CFE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E809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848695E"/>
    <w:lvl w:ilvl="0">
      <w:start w:val="1"/>
      <w:numFmt w:val="decimal"/>
      <w:pStyle w:val="ListNumber"/>
      <w:lvlText w:val="%1."/>
      <w:lvlJc w:val="left"/>
      <w:pPr>
        <w:tabs>
          <w:tab w:val="num" w:pos="360"/>
        </w:tabs>
        <w:ind w:left="360" w:hanging="360"/>
      </w:pPr>
    </w:lvl>
  </w:abstractNum>
  <w:abstractNum w:abstractNumId="7">
    <w:nsid w:val="FFFFFF89"/>
    <w:multiLevelType w:val="singleLevel"/>
    <w:tmpl w:val="74F078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3 13:37: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628F79A1AED548958E31317BFBE38B3A"/>
    <w:docVar w:name="LW_CROSSREFERENCE" w:val="{SWD(2016) 434 final}_x000b_{SWD(2016) 435 final}"/>
    <w:docVar w:name="LW_DocType" w:val="COM"/>
    <w:docVar w:name="LW_EMISSION" w:val="10.1.2017"/>
    <w:docVar w:name="LW_EMISSION_ISODATE" w:val="2017-01-10"/>
    <w:docVar w:name="LW_EMISSION_LOCATION" w:val="BRX"/>
    <w:docVar w:name="LW_EMISSION_PREFIX" w:val="Βρυξέλλες, "/>
    <w:docVar w:name="LW_EMISSION_SUFFIX" w:val=" "/>
    <w:docVar w:name="LW_ID_DOCMODEL" w:val="SJ-024"/>
    <w:docVar w:name="LW_ID_DOCSIGNATURE" w:val="SJ-024"/>
    <w:docVar w:name="LW_ID_DOCSTRUCTURE" w:val="COM/PL/ORG"/>
    <w:docVar w:name="LW_ID_DOCTYPE" w:val="SJ-024"/>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398"/>
    <w:docVar w:name="LW_REF.II.NEW.CP_YEAR" w:val="2016"/>
    <w:docVar w:name="LW_REF.INST.NEW" w:val="COM"/>
    <w:docVar w:name="LW_REF.INST.NEW_ADOPTED" w:val="final"/>
    <w:docVar w:name="LW_REF.INST.NEW_TEXT" w:val="(2016) 821"/>
    <w:docVar w:name="LW_REF.INTERNE" w:val="&lt;UNUSED&gt;"/>
    <w:docVar w:name="LW_SOUS.TITRE.OBJ.CP" w:val="&lt;UNUSED&gt;"/>
    <w:docVar w:name="LW_STATUT.CP" w:val="\u928?\u961?\u972?\u964?\u945?\u963?\u951?"/>
    <w:docVar w:name="LW_SUPERTITRE" w:val="&lt;UNUSED&gt;"/>
    <w:docVar w:name="LW_TITRE.OBJ.CP" w:val="\u947?\u953?\u945? \u964?\u951?\u957? \u949?\u960?\u953?\u946?\u959?\u955?\u942? \u964?\u951?\u962? \u959?\u948?\u951?\u947?\u943?\u945?\u962? 2006/123/\u917?\u922? \u963?\u967?\u949?\u964?\u953?\u954?\u940? \u956?\u949? \u964?\u953?\u962? \u965?\u960?\u951?\u961?\u949?\u963?\u943?\u949?\u962? \u963?\u964?\u951?\u957? \u949?\u963?\u969?\u964?\u949?\u961?\u953?\u954?\u942? \u945?\u947?\u959?\u961?\u940?, \u947?\u953?\u945? \u964?\u951? \u952?\u941?\u963?\u960?\u953?\u963?\u951? \u948?\u953?\u945?\u948?\u953?\u954?\u945?\u963?\u943?\u945?\u962? \u954?\u959?\u953?\u957?\u959?\u960?\u959?\u943?\u951?\u963?\u951?\u962? \u947?\u953?\u945? \u964?\u945? \u963?\u965?\u963?\u964?\u942?\u956?\u945?\u964?\u945? \u967?\u959?\u961?\u942?\u947?\u951?\u963?\u951?\u962? \u940?\u948?\u949?\u953?\u945?\u962? \u954?\u945?\u953? \u964?\u953?\u962? \u945?\u960?\u945?\u953?\u964?\u942?\u963?\u949?\u953?\u962? \u960?\u959?\u965? \u963?\u967?\u949?\u964?\u943?\u950?\u959?\u957?\u964?\u945?\u953? \u956?\u949? \u965?\u960?\u951?\u961?\u949?\u963?\u943?\u949?\u962? \u954?\u945?\u953? \u947?\u953?\u945? \u964?\u951?\u957? \u964?\u961?\u959?\u960?\u959?\u960?\u959?\u943?\u951?\u963?\u951? \u964?\u951?\u962? \u959?\u948?\u951?\u947?\u943?\u945?\u962? 2006/123/\u917?\u922? \u954?\u945?\u953? \u964?\u959?\u965? \u954?\u945?\u957?\u959?\u957?\u953?\u963?\u956?\u959?\u973? (\u917?\u917?) \u945?\u961?\u953?\u952?. 1024/2012 \u963?\u967?\u949?\u964?\u953?\u954?\u940? \u956?\u949? \u964?\u951? \u948?\u953?\u959?\u953?\u954?\u951?\u964?\u953?\u954?\u942? \u963?\u965?\u957?\u949?\u961?\u947?\u945?\u963?\u943?\u945? \u956?\u941?\u963?\u969? \u964?\u959?\u965? \u931?\u965?\u963?\u964?\u942?\u956?\u945?\u964?\u959?\u962? \u928?\u955?\u951?\u961?\u959?\u966?\u972?\u961?\u951?\u963?\u951?\u962? \u947?\u953?\u945? \u964?\u951?\u957? \u917?\u963?\u969?\u964?\u949?\u961?\u953?\u954?\u942? \u913?\u947?\u959?\u961?\u940?"/>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325996">
      <w:bodyDiv w:val="1"/>
      <w:marLeft w:val="0"/>
      <w:marRight w:val="0"/>
      <w:marTop w:val="0"/>
      <w:marBottom w:val="0"/>
      <w:divBdr>
        <w:top w:val="none" w:sz="0" w:space="0" w:color="auto"/>
        <w:left w:val="none" w:sz="0" w:space="0" w:color="auto"/>
        <w:bottom w:val="none" w:sz="0" w:space="0" w:color="auto"/>
        <w:right w:val="none" w:sz="0" w:space="0" w:color="auto"/>
      </w:divBdr>
    </w:div>
    <w:div w:id="2070030969">
      <w:bodyDiv w:val="1"/>
      <w:marLeft w:val="0"/>
      <w:marRight w:val="0"/>
      <w:marTop w:val="0"/>
      <w:marBottom w:val="0"/>
      <w:divBdr>
        <w:top w:val="none" w:sz="0" w:space="0" w:color="auto"/>
        <w:left w:val="none" w:sz="0" w:space="0" w:color="auto"/>
        <w:bottom w:val="none" w:sz="0" w:space="0" w:color="auto"/>
        <w:right w:val="none" w:sz="0" w:space="0" w:color="auto"/>
      </w:divBdr>
      <w:divsChild>
        <w:div w:id="321936220">
          <w:marLeft w:val="0"/>
          <w:marRight w:val="0"/>
          <w:marTop w:val="0"/>
          <w:marBottom w:val="0"/>
          <w:divBdr>
            <w:top w:val="none" w:sz="0" w:space="0" w:color="auto"/>
            <w:left w:val="none" w:sz="0" w:space="0" w:color="auto"/>
            <w:bottom w:val="none" w:sz="0" w:space="0" w:color="auto"/>
            <w:right w:val="none" w:sz="0" w:space="0" w:color="auto"/>
          </w:divBdr>
          <w:divsChild>
            <w:div w:id="1324090899">
              <w:marLeft w:val="0"/>
              <w:marRight w:val="0"/>
              <w:marTop w:val="0"/>
              <w:marBottom w:val="0"/>
              <w:divBdr>
                <w:top w:val="none" w:sz="0" w:space="0" w:color="auto"/>
                <w:left w:val="none" w:sz="0" w:space="0" w:color="auto"/>
                <w:bottom w:val="none" w:sz="0" w:space="0" w:color="auto"/>
                <w:right w:val="none" w:sz="0" w:space="0" w:color="auto"/>
              </w:divBdr>
              <w:divsChild>
                <w:div w:id="676034637">
                  <w:marLeft w:val="0"/>
                  <w:marRight w:val="0"/>
                  <w:marTop w:val="0"/>
                  <w:marBottom w:val="0"/>
                  <w:divBdr>
                    <w:top w:val="none" w:sz="0" w:space="0" w:color="auto"/>
                    <w:left w:val="none" w:sz="0" w:space="0" w:color="auto"/>
                    <w:bottom w:val="none" w:sz="0" w:space="0" w:color="auto"/>
                    <w:right w:val="none" w:sz="0" w:space="0" w:color="auto"/>
                  </w:divBdr>
                  <w:divsChild>
                    <w:div w:id="1791899649">
                      <w:marLeft w:val="1"/>
                      <w:marRight w:val="1"/>
                      <w:marTop w:val="0"/>
                      <w:marBottom w:val="0"/>
                      <w:divBdr>
                        <w:top w:val="none" w:sz="0" w:space="0" w:color="auto"/>
                        <w:left w:val="none" w:sz="0" w:space="0" w:color="auto"/>
                        <w:bottom w:val="none" w:sz="0" w:space="0" w:color="auto"/>
                        <w:right w:val="none" w:sz="0" w:space="0" w:color="auto"/>
                      </w:divBdr>
                      <w:divsChild>
                        <w:div w:id="772285165">
                          <w:marLeft w:val="0"/>
                          <w:marRight w:val="0"/>
                          <w:marTop w:val="0"/>
                          <w:marBottom w:val="0"/>
                          <w:divBdr>
                            <w:top w:val="none" w:sz="0" w:space="0" w:color="auto"/>
                            <w:left w:val="none" w:sz="0" w:space="0" w:color="auto"/>
                            <w:bottom w:val="none" w:sz="0" w:space="0" w:color="auto"/>
                            <w:right w:val="none" w:sz="0" w:space="0" w:color="auto"/>
                          </w:divBdr>
                          <w:divsChild>
                            <w:div w:id="1303845030">
                              <w:marLeft w:val="0"/>
                              <w:marRight w:val="0"/>
                              <w:marTop w:val="0"/>
                              <w:marBottom w:val="360"/>
                              <w:divBdr>
                                <w:top w:val="none" w:sz="0" w:space="0" w:color="auto"/>
                                <w:left w:val="none" w:sz="0" w:space="0" w:color="auto"/>
                                <w:bottom w:val="none" w:sz="0" w:space="0" w:color="auto"/>
                                <w:right w:val="none" w:sz="0" w:space="0" w:color="auto"/>
                              </w:divBdr>
                              <w:divsChild>
                                <w:div w:id="606886210">
                                  <w:marLeft w:val="0"/>
                                  <w:marRight w:val="0"/>
                                  <w:marTop w:val="0"/>
                                  <w:marBottom w:val="0"/>
                                  <w:divBdr>
                                    <w:top w:val="none" w:sz="0" w:space="0" w:color="auto"/>
                                    <w:left w:val="none" w:sz="0" w:space="0" w:color="auto"/>
                                    <w:bottom w:val="none" w:sz="0" w:space="0" w:color="auto"/>
                                    <w:right w:val="none" w:sz="0" w:space="0" w:color="auto"/>
                                  </w:divBdr>
                                  <w:divsChild>
                                    <w:div w:id="4037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mart-regulation/impact/ia_carried_out/cia_2016_en.htm" TargetMode="External"/><Relationship Id="rId1" Type="http://schemas.openxmlformats.org/officeDocument/2006/relationships/hyperlink" Target="http://www.eca.europa.eu/el/Pages/DocItem.aspx?did=35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6E97-E41B-4D92-9A98-EC788F84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7385</Words>
  <Characters>43209</Characters>
  <Application>Microsoft Office Word</Application>
  <DocSecurity>0</DocSecurity>
  <Lines>744</Lines>
  <Paragraphs>225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2016-12-12T13:27:00Z</cp:lastPrinted>
  <dcterms:created xsi:type="dcterms:W3CDTF">2016-12-23T11:32:00Z</dcterms:created>
  <dcterms:modified xsi:type="dcterms:W3CDTF">2017-01-13T12:37:00Z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