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52" w:rsidRDefault="002815F0" w:rsidP="002815F0">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0F528A33698843B2BDC42A6999AB8CD9" style="width:450.75pt;height:408.75pt">
            <v:imagedata r:id="rId12" o:title=""/>
          </v:shape>
        </w:pict>
      </w:r>
    </w:p>
    <w:p w:rsidR="001B4D52" w:rsidRDefault="001B4D52">
      <w:pPr>
        <w:rPr>
          <w:noProof/>
        </w:rPr>
        <w:sectPr w:rsidR="001B4D52" w:rsidSect="002815F0">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1B4D52" w:rsidRDefault="002815F0">
      <w:pPr>
        <w:pStyle w:val="Exposdesmotifstitre"/>
        <w:rPr>
          <w:noProof/>
        </w:rPr>
      </w:pPr>
      <w:bookmarkStart w:id="0" w:name="_GoBack"/>
      <w:bookmarkEnd w:id="0"/>
      <w:r>
        <w:rPr>
          <w:noProof/>
        </w:rPr>
        <w:lastRenderedPageBreak/>
        <w:t>DÔVODOVÁ SPRÁVA</w:t>
      </w:r>
    </w:p>
    <w:p w:rsidR="001B4D52" w:rsidRDefault="002815F0">
      <w:pPr>
        <w:pStyle w:val="ManualHeading1"/>
        <w:rPr>
          <w:noProof/>
        </w:rPr>
      </w:pPr>
      <w:r>
        <w:rPr>
          <w:noProof/>
        </w:rPr>
        <w:t>1.</w:t>
      </w:r>
      <w:r>
        <w:rPr>
          <w:noProof/>
        </w:rPr>
        <w:tab/>
        <w:t>KONTEXT NÁVRHU</w:t>
      </w:r>
    </w:p>
    <w:p w:rsidR="001B4D52" w:rsidRDefault="002815F0">
      <w:pPr>
        <w:pStyle w:val="ManualHeading2"/>
        <w:rPr>
          <w:rFonts w:eastAsia="Arial Unicode MS"/>
          <w:noProof/>
        </w:rPr>
      </w:pPr>
      <w:r>
        <w:rPr>
          <w:noProof/>
          <w:color w:val="000000"/>
          <w:u w:color="000000"/>
          <w:bdr w:val="nil"/>
        </w:rPr>
        <w:t>•</w:t>
      </w:r>
      <w:r>
        <w:rPr>
          <w:noProof/>
        </w:rPr>
        <w:tab/>
        <w:t>Dôvody a ciele návrhu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1B4D52">
        <w:tc>
          <w:tcPr>
            <w:tcW w:w="9289" w:type="dxa"/>
            <w:shd w:val="clear" w:color="auto" w:fill="auto"/>
          </w:tcPr>
          <w:p w:rsidR="001B4D52" w:rsidRDefault="002815F0">
            <w:pPr>
              <w:rPr>
                <w:noProof/>
              </w:rPr>
            </w:pPr>
            <w:r>
              <w:rPr>
                <w:noProof/>
              </w:rPr>
              <w:t>Navrhovaná zmena smernice 2013/36/EÚ (smernica</w:t>
            </w:r>
            <w:r>
              <w:rPr>
                <w:noProof/>
              </w:rPr>
              <w:t xml:space="preserve"> o kapitálových požiadavkách) je súčasťou balíka právnych predpisov, ktorý zahŕňa tiež zmenu nariadenia (EÚ) č. 575/2013 (nariadenie o kapitálových požiadavkách), smernice 2014/59/EÚ (smernica o ozdravení a riešení krízových situácií bánk) a nariadenia (EÚ</w:t>
            </w:r>
            <w:r>
              <w:rPr>
                <w:noProof/>
              </w:rPr>
              <w:t>) č. 806/2014 (nariadenie o jednotnom mechanizme riešenia krízových situácií).</w:t>
            </w:r>
          </w:p>
        </w:tc>
      </w:tr>
    </w:tbl>
    <w:p w:rsidR="001B4D52" w:rsidRDefault="002815F0">
      <w:pPr>
        <w:rPr>
          <w:noProof/>
        </w:rPr>
      </w:pPr>
      <w:r>
        <w:rPr>
          <w:noProof/>
        </w:rPr>
        <w:t>Počas posledných rokov EÚ realizovala zásadnú reformu regulačného rámca pre finančné služby s cieľom posilniť odolnosť inštitúcií (t. j. úverových inštitúcií a investičných fir</w:t>
      </w:r>
      <w:r>
        <w:rPr>
          <w:noProof/>
        </w:rPr>
        <w:t>iem) pôsobiacich vo finančnom sektore EÚ, vychádzajúc pritom do veľkej miery z globálnych noriem dohodnutých s medzinárodnými partnermi EÚ. Konkrétne, reformný balík zahŕňal nariadenie (EÚ) č. 575/2013 (nariadenie o kapitálových požiadavkách) a smernicu 20</w:t>
      </w:r>
      <w:r>
        <w:rPr>
          <w:noProof/>
        </w:rPr>
        <w:t>13/36/EÚ (smernica o kapitálových požiadavkách), pokiaľ ide o prudenciálne požiadavky na inštitúcie a dohľad nad nimi, smernicu 2014/59/EÚ (smernica o ozdravení a riešení krízových situácií bánk), pokiaľ ide o ozdravenie a riešenie krízových situácií inšti</w:t>
      </w:r>
      <w:r>
        <w:rPr>
          <w:noProof/>
        </w:rPr>
        <w:t>túcií, a nariadenie (EÚ) č. 806/2014 o jednotnom mechanizme riešenia krízových situácií (SRM).</w:t>
      </w:r>
    </w:p>
    <w:p w:rsidR="001B4D52" w:rsidRDefault="002815F0">
      <w:pPr>
        <w:pBdr>
          <w:top w:val="nil"/>
          <w:left w:val="nil"/>
          <w:bottom w:val="nil"/>
          <w:right w:val="nil"/>
          <w:between w:val="nil"/>
          <w:bar w:val="nil"/>
        </w:pBdr>
        <w:spacing w:after="240"/>
        <w:rPr>
          <w:noProof/>
        </w:rPr>
      </w:pPr>
      <w:r>
        <w:rPr>
          <w:noProof/>
        </w:rPr>
        <w:t xml:space="preserve">Tieto opatrenia sa prijali v reakcii na finančnú krízu, ktorá nastala v rokoch 2007 – 2008, pričom sa v nich zohľadňujú medzinárodne dohodnuté normy. Hoci </w:t>
      </w:r>
      <w:r>
        <w:rPr>
          <w:noProof/>
        </w:rPr>
        <w:t>reformy viedli k stabilnejšiemu finančnému systému, ktorý je odolnejší proti mnohým druhom možných budúcich šokov a kríz, neriešia sa nimi komplexne všetky identifikované problémy. Tieto návrhy majú preto za cieľ skompletizovať reformný program zameraním s</w:t>
      </w:r>
      <w:r>
        <w:rPr>
          <w:noProof/>
        </w:rPr>
        <w:t>a na zostávajúce slabé miesta a realizovaním niektorých doteraz zostávajúcich prvkov reformy, ktoré sú nevyhnutné na zabezpečenie odolnosti inštitúcií, pričom však ich prípravu len nedávno dokončili inštitúcie stanovujúce normy na globálnej úrovni [t. j. B</w:t>
      </w:r>
      <w:r>
        <w:rPr>
          <w:noProof/>
        </w:rPr>
        <w:t>azilejský výbor pre bankový dohľad (BCBS) a Rada pre finančný dohľad (FSB)]:</w:t>
      </w:r>
    </w:p>
    <w:p w:rsidR="001B4D52" w:rsidRDefault="002815F0">
      <w:pPr>
        <w:pStyle w:val="Bullet0"/>
        <w:numPr>
          <w:ilvl w:val="0"/>
          <w:numId w:val="17"/>
        </w:numPr>
        <w:rPr>
          <w:noProof/>
        </w:rPr>
      </w:pPr>
      <w:r>
        <w:rPr>
          <w:noProof/>
        </w:rPr>
        <w:t>záväzný ukazovateľ finančnej páky, ktorý zabráni inštitúciám nadmerne zvyšovať finančnú páku, napr. na účely kompenzácie za nízku ziskovosť,</w:t>
      </w:r>
    </w:p>
    <w:p w:rsidR="001B4D52" w:rsidRDefault="002815F0">
      <w:pPr>
        <w:pStyle w:val="Bullet0"/>
        <w:rPr>
          <w:noProof/>
        </w:rPr>
      </w:pPr>
      <w:r>
        <w:rPr>
          <w:noProof/>
        </w:rPr>
        <w:t>záväzný pomer čistého stabilného finan</w:t>
      </w:r>
      <w:r>
        <w:rPr>
          <w:noProof/>
        </w:rPr>
        <w:t>covania (NSFR), ktorý bude vychádzať zo zlepšených profilov inštitúcií týkajúcich sa financovania a ktorým sa zavedie harmonizovaná norma pre rozsah, v akom inštitúcia potrebuje stabilné a dlhodobé zdroje financovania na prekonanie období stresu na trhu a </w:t>
      </w:r>
      <w:r>
        <w:rPr>
          <w:noProof/>
        </w:rPr>
        <w:t>stresu spojeného s financovaním,</w:t>
      </w:r>
    </w:p>
    <w:p w:rsidR="001B4D52" w:rsidRDefault="002815F0">
      <w:pPr>
        <w:pStyle w:val="Bullet0"/>
        <w:rPr>
          <w:noProof/>
        </w:rPr>
      </w:pPr>
      <w:r>
        <w:rPr>
          <w:noProof/>
        </w:rPr>
        <w:t>požiadavky na vlastné zdroje (t. j. kapitál) citlivejšie na riziko vzťahujúce sa na inštitúcie, ktoré vo významnom rozsahu obchodujú s cennými papiermi a derivátmi, čím sa zabráni príliš veľkému rozdielu medzi týmito požiad</w:t>
      </w:r>
      <w:r>
        <w:rPr>
          <w:noProof/>
        </w:rPr>
        <w:t>avkami, ktorý by nevychádzal z rizikových profilov daných inštitúcií,</w:t>
      </w:r>
    </w:p>
    <w:p w:rsidR="001B4D52" w:rsidRDefault="002815F0">
      <w:pPr>
        <w:pStyle w:val="Bullet0"/>
        <w:rPr>
          <w:noProof/>
        </w:rPr>
      </w:pPr>
      <w:r>
        <w:rPr>
          <w:noProof/>
        </w:rPr>
        <w:t>v neposlednom rade nové normy týkajúce sa celkovej kapacity na absorpciu strát (TLAC) globálnych systémovo dôležitých inštitúcií (G–II), na základe ktorých sa od týchto inštitúcií bude p</w:t>
      </w:r>
      <w:r>
        <w:rPr>
          <w:noProof/>
        </w:rPr>
        <w:t>ožadovať, aby mali väčšiu kapacitu na absorpciu strát a rekapitalizáciu, v ktorých sa budú upravovať vzájomné prepojenia v rámci globálnych finančných trhov a ktorými sa ešte viac posilní schopnosť EÚ riešiť zlyhávajúce globálne systémovo dôležité inštitúc</w:t>
      </w:r>
      <w:r>
        <w:rPr>
          <w:noProof/>
        </w:rPr>
        <w:t>ie, a to pri minimalizácii rizík pre daňovníkov.</w:t>
      </w:r>
    </w:p>
    <w:p w:rsidR="001B4D52" w:rsidRDefault="002815F0">
      <w:pPr>
        <w:rPr>
          <w:noProof/>
        </w:rPr>
      </w:pPr>
      <w:r>
        <w:rPr>
          <w:noProof/>
        </w:rPr>
        <w:lastRenderedPageBreak/>
        <w:t>Komisia uznala potrebu ďalšieho znižovania rizika vo svojom oznámení z 24. novembra 2015 a zaviazala sa predložiť legislatívny návrh, ktorý bude vychádzať z medzinárodných dohôd uvedených vyššie. Takéto opat</w:t>
      </w:r>
      <w:r>
        <w:rPr>
          <w:noProof/>
        </w:rPr>
        <w:t>renia na znižovanie rizika nielen ďalej posilnia odolnosť európskeho bankového systému a dôveru trhov v tento systém, ale budú tiež základom pre ďalší pokrok smerom k dokončeniu bankovej únie. Potreba ďalších konkrétnych legislatívnych krokov, ktoré sa maj</w:t>
      </w:r>
      <w:r>
        <w:rPr>
          <w:noProof/>
        </w:rPr>
        <w:t>ú uskutočniť v rámci znižovania rizík vo finančnom sektore, sa uznala takisto v záveroch Rady ECOFIN zo 17. júna 2016. V uznesení Európskeho parlamentu z 10. marca 2016 o bankovej únii – výročnej správe za rok 2015 sú tiež uvedené niektoré oblasti v súčasn</w:t>
      </w:r>
      <w:r>
        <w:rPr>
          <w:noProof/>
        </w:rPr>
        <w:t>om regulačnom rámci, ktoré by sa mohli ďalej riešiť.</w:t>
      </w:r>
    </w:p>
    <w:p w:rsidR="001B4D52" w:rsidRDefault="002815F0">
      <w:pPr>
        <w:rPr>
          <w:noProof/>
        </w:rPr>
      </w:pPr>
      <w:r>
        <w:rPr>
          <w:noProof/>
        </w:rPr>
        <w:t>Súčasne Komisia musela zohľadniť existujúci regulačný rámec a nový vývoj v oblasti regulácie na medzinárodnej úrovni a reagovať na výzvy ovplyvňujúce hospodárstvo EÚ, najmä na potrebu podporiť rast a zam</w:t>
      </w:r>
      <w:r>
        <w:rPr>
          <w:noProof/>
        </w:rPr>
        <w:t>estnanosť v časoch neistého hospodárskeho výhľadu. S cieľom posilniť hospodárstvo Únie boli spustené viaceré dôležité politické iniciatívy, ako je napríklad Investičný plán pre Európu (EFSI) a únia kapitálových trhov. Schopnosť inštitúcií prispieť k financ</w:t>
      </w:r>
      <w:r>
        <w:rPr>
          <w:noProof/>
        </w:rPr>
        <w:t>ovaniu hospodárstva je potrebné posilniť bez toho, aby sa narušila stabilita regulačného rámca. V snahe zabezpečiť hladké vzájomné pôsobenie nedávnych reforiem vo finančnom sektore a medzi týmito reformami a novými politickými iniciatívami, ale aj nedávnym</w:t>
      </w:r>
      <w:r>
        <w:rPr>
          <w:noProof/>
        </w:rPr>
        <w:t>i rozsiahlejšími reformami vo finančnom sektore, Komisia na základe výzvy na predloženie dôkazov vykonala komplexné holistické posúdenie existujúceho rámca pre finančné služby (vrátane nariadenia o kapitálových požiadavkách, smernice o kapitálových požiada</w:t>
      </w:r>
      <w:r>
        <w:rPr>
          <w:noProof/>
        </w:rPr>
        <w:t>vkách, smernice o ozdravení a riešení krízových situácií bánk a nariadenia o jednotnom mechanizme riešenia krízových situácií). Pripravované preskúmanie globálnych noriem sa tiež posúdilo z hľadiska širšieho hospodárskeho vplyvu.</w:t>
      </w:r>
    </w:p>
    <w:p w:rsidR="001B4D52" w:rsidRDefault="002815F0">
      <w:pPr>
        <w:pBdr>
          <w:top w:val="nil"/>
          <w:left w:val="nil"/>
          <w:bottom w:val="nil"/>
          <w:right w:val="nil"/>
          <w:between w:val="nil"/>
          <w:bar w:val="nil"/>
        </w:pBdr>
        <w:spacing w:after="240"/>
        <w:rPr>
          <w:noProof/>
        </w:rPr>
      </w:pPr>
      <w:r>
        <w:rPr>
          <w:noProof/>
        </w:rPr>
        <w:t>Zmeny vychádzajúce z medzi</w:t>
      </w:r>
      <w:r>
        <w:rPr>
          <w:noProof/>
        </w:rPr>
        <w:t xml:space="preserve">národného vývoja predstavujú dôveryhodnú implementáciu medzinárodných noriem do práva Únie, a to za predpokladu vykonania cielených úprav, ktorými sa zohľadnia špecifiká EÚ a širšie politické úvahy. Napríklad prevládajúce spoliehanie sa malých a stredných </w:t>
      </w:r>
      <w:r>
        <w:rPr>
          <w:noProof/>
        </w:rPr>
        <w:t>podnikov (MSP) v EÚ na financovanie bankami alebo spoliehanie sa na to, že sa takto budú financovať infraštruktúrne projekty, vyvoláva potrebu osobitných regulačných úprav, ktorými sa zabezpečí, že inštitúcie budú naďalej schopné ich financovať, keďže pred</w:t>
      </w:r>
      <w:r>
        <w:rPr>
          <w:noProof/>
        </w:rPr>
        <w:t>stavujú chrbtovú kosť jednotného trhu. Potrebné je hladké vzájomné pôsobenie s existujúcimi požiadavkami, ako je napríklad požiadavka na centrálne zúčtovanie a kolateralizáciu derivátových expozícií, alebo postupný prechod k niektorým novým požiadavkám. Ta</w:t>
      </w:r>
      <w:r>
        <w:rPr>
          <w:noProof/>
        </w:rPr>
        <w:t>kéto úpravy, ktoré sú obmedzené z hľadiska rozsahu alebo času, preto nenarúšajú celkovú kompaktnosť návrhov, ktoré sú zosúladené so základnou úrovňou ambícií spojených s medzinárodnými normami.</w:t>
      </w:r>
    </w:p>
    <w:p w:rsidR="001B4D52" w:rsidRDefault="002815F0">
      <w:pPr>
        <w:rPr>
          <w:noProof/>
        </w:rPr>
      </w:pPr>
      <w:r>
        <w:rPr>
          <w:noProof/>
        </w:rPr>
        <w:t>Okrem toho sa v zmysle výzvy na predloženie dôkazov návrhy zam</w:t>
      </w:r>
      <w:r>
        <w:rPr>
          <w:noProof/>
        </w:rPr>
        <w:t>eriavajú na zlepšenie existujúcich pravidiel. Z analýzy Komisie vyplynulo, že súčasný rámec možno uplatňovať primeranejším spôsobom, a to najmä vzhľadom na situáciu malých a menej zložitých inštitúcií, v prípade ktorých sa niektoré súčasné požiadavky týkaj</w:t>
      </w:r>
      <w:r>
        <w:rPr>
          <w:noProof/>
        </w:rPr>
        <w:t>úce sa zverejňovania informácií a predkladania správ a zložité požiadavky týkajúce sa obchodnej knihy nezdajú z hľadiska prudenciálnych úvah odôvodnené. Okrem toho Komisia zvážila riziko spojené s úvermi pre MSP a na financovanie infraštruktúrnych projekto</w:t>
      </w:r>
      <w:r>
        <w:rPr>
          <w:noProof/>
        </w:rPr>
        <w:t>v a dospela k záveru, že na niektoré z týchto úverov bude opodstatnené uplatniť menej prísne požiadavky na vlastné zdroje, ako sa uplatňujú v súčasnosti. V súlade s tým sa na základe týchto návrhov upravia uvedené požiadavky a zvýši sa úroveň proporcionali</w:t>
      </w:r>
      <w:r>
        <w:rPr>
          <w:noProof/>
        </w:rPr>
        <w:t>ty prudenciálneho rámca pre inštitúcie. Tým sa schopnosť inštitúcií financovať hospodárstvo posilní bez toho, aby sa narušila stabilita regulačného rámca.</w:t>
      </w:r>
    </w:p>
    <w:p w:rsidR="001B4D52" w:rsidRDefault="002815F0">
      <w:pPr>
        <w:pBdr>
          <w:top w:val="nil"/>
          <w:left w:val="nil"/>
          <w:bottom w:val="nil"/>
          <w:right w:val="nil"/>
          <w:between w:val="nil"/>
          <w:bar w:val="nil"/>
        </w:pBdr>
        <w:spacing w:after="240"/>
        <w:rPr>
          <w:rFonts w:eastAsia="Arial Unicode MS"/>
          <w:noProof/>
        </w:rPr>
      </w:pPr>
      <w:r>
        <w:rPr>
          <w:noProof/>
        </w:rPr>
        <w:t>Napokon, Komisia v úzkej spolupráci s expertnou skupinou pre bankovníctvo, platby a poisťovníctvo pos</w:t>
      </w:r>
      <w:r>
        <w:rPr>
          <w:noProof/>
        </w:rPr>
        <w:t>údila uplatnenie možností a právomocí stanovených v smernici o kapitálových požiadavkách a v nariadení o kapitálových požiadavkách. Vychádzajúc z analýzy je cieľom tohto návrhu obmedziť niektoré možnosti a právomoci, pokiaľ ide o ustanovenia týkajúce sa uk</w:t>
      </w:r>
      <w:r>
        <w:rPr>
          <w:noProof/>
        </w:rPr>
        <w:t>azovateľa finančnej páky, veľkej majetkovej angažovanosti a vlastných zdrojov. Navrhuje sa zrušiť možnosť vytvárať nové odložené daňové pohľadávky, za ktoré ručí štát, nezávislé od budúcej ziskovosti, ktoré by sa vyňali z odpočítania od regulatórneho kapit</w:t>
      </w:r>
      <w:r>
        <w:rPr>
          <w:noProof/>
        </w:rPr>
        <w:t>álu.</w:t>
      </w:r>
    </w:p>
    <w:p w:rsidR="001B4D52" w:rsidRDefault="002815F0">
      <w:pPr>
        <w:pStyle w:val="ManualHeading2"/>
        <w:rPr>
          <w:rFonts w:eastAsia="Arial Unicode MS"/>
          <w:noProof/>
          <w:u w:color="000000"/>
          <w:bdr w:val="nil"/>
        </w:rPr>
      </w:pPr>
      <w:r>
        <w:rPr>
          <w:noProof/>
        </w:rPr>
        <w:t>•</w:t>
      </w:r>
      <w:r>
        <w:rPr>
          <w:noProof/>
        </w:rPr>
        <w:tab/>
        <w:t>Súlad s existujúcimi ustanoveniami v tejto oblasti politiky</w:t>
      </w:r>
    </w:p>
    <w:p w:rsidR="001B4D52" w:rsidRDefault="002815F0">
      <w:pPr>
        <w:pBdr>
          <w:top w:val="nil"/>
          <w:left w:val="nil"/>
          <w:bottom w:val="nil"/>
          <w:right w:val="nil"/>
          <w:between w:val="nil"/>
          <w:bar w:val="nil"/>
        </w:pBdr>
        <w:spacing w:after="240"/>
        <w:rPr>
          <w:noProof/>
        </w:rPr>
      </w:pPr>
      <w:r>
        <w:rPr>
          <w:noProof/>
        </w:rPr>
        <w:t>Niekoľko prvkov návrhov týkajúcich sa smernice o kapitálových požiadavkách a nariadenia o kapitálových požiadavkách vychádza zo základných preskúmaní, zatiaľ čo potreba iných úprav finančné</w:t>
      </w:r>
      <w:r>
        <w:rPr>
          <w:noProof/>
        </w:rPr>
        <w:t>ho regulačného rámca vyplýva z následného vývoja, ako je napríklad prijatie smernice o ozdravení a riešení krízových situácií bánk, zriadenie jednotného mechanizmu dohľadu a práca vykonaná Európskym orgánom pre bankovníctvo (EBA) a na medzinárodnej úrovni.</w:t>
      </w:r>
    </w:p>
    <w:p w:rsidR="001B4D52" w:rsidRDefault="002815F0">
      <w:pPr>
        <w:pBdr>
          <w:top w:val="nil"/>
          <w:left w:val="nil"/>
          <w:bottom w:val="nil"/>
          <w:right w:val="nil"/>
          <w:between w:val="nil"/>
          <w:bar w:val="nil"/>
        </w:pBdr>
        <w:spacing w:after="240"/>
        <w:rPr>
          <w:rFonts w:eastAsia="Arial Unicode MS"/>
          <w:noProof/>
        </w:rPr>
      </w:pPr>
      <w:r>
        <w:rPr>
          <w:noProof/>
        </w:rPr>
        <w:t xml:space="preserve">Návrhom sa zavádzajú zmeny existujúcich právnych predpisov, ktoré sa tak plne zosúlaďujú s existujúcimi ustanoveniami týkajúcimi sa politiky v oblasti prudenciálnych požiadaviek pre inštitúcie, dohľadu nad nimi a rámca pre ozdravenie a riešenie krízových </w:t>
      </w:r>
      <w:r>
        <w:rPr>
          <w:noProof/>
        </w:rPr>
        <w:t>situácií.</w:t>
      </w:r>
    </w:p>
    <w:p w:rsidR="001B4D52" w:rsidRDefault="002815F0">
      <w:pPr>
        <w:pStyle w:val="ManualHeading2"/>
        <w:rPr>
          <w:rFonts w:eastAsia="Arial Unicode MS"/>
          <w:noProof/>
        </w:rPr>
      </w:pPr>
      <w:r>
        <w:rPr>
          <w:noProof/>
        </w:rPr>
        <w:t>•</w:t>
      </w:r>
      <w:r>
        <w:rPr>
          <w:noProof/>
        </w:rPr>
        <w:tab/>
        <w:t>Súlad s ostatnými politikami Únie</w:t>
      </w:r>
    </w:p>
    <w:p w:rsidR="001B4D52" w:rsidRDefault="002815F0">
      <w:pPr>
        <w:rPr>
          <w:noProof/>
        </w:rPr>
      </w:pPr>
      <w:r>
        <w:rPr>
          <w:noProof/>
        </w:rPr>
        <w:t>Štyri roky po tom, čo sa európske hlavy štátov a predsedovia vlád dohodli na vytvorení bankovej únie, existujú dva jej piliere, a to jednotný dohľad a riešenie krízových situácií, ktoré spočívajú na pevnom zákl</w:t>
      </w:r>
      <w:r>
        <w:rPr>
          <w:noProof/>
        </w:rPr>
        <w:t>ade tvorenom jednotným súborom pravidiel pre všetky inštitúcie v EÚ. Hoci sa dosiahol výrazný pokrok, na dokončenie bankovej únie je potrebné uskutočniť ďalšie kroky vrátane vytvorenia jednotného systému ochrany vkladov.</w:t>
      </w:r>
    </w:p>
    <w:p w:rsidR="001B4D52" w:rsidRDefault="002815F0">
      <w:pPr>
        <w:rPr>
          <w:noProof/>
          <w:szCs w:val="24"/>
        </w:rPr>
      </w:pPr>
      <w:r>
        <w:rPr>
          <w:noProof/>
        </w:rPr>
        <w:t xml:space="preserve">Preskúmanie nariadenia </w:t>
      </w:r>
      <w:r>
        <w:rPr>
          <w:noProof/>
        </w:rPr>
        <w:t xml:space="preserve">o kapitálových požiadavkách a smernice o kapitálových požiadavkách je súčasťou opatrení na znižovanie rizika, ktoré sú potrebné na ďalšie posilnenie odolnosti bankového sektora a ktorých vykonávanie má prebiehať paralelne s postupným zavádzaním európskeho </w:t>
      </w:r>
      <w:r>
        <w:rPr>
          <w:noProof/>
        </w:rPr>
        <w:t>systému ochrany vkladov (EDIS). Cieľom preskúmania je súčasne zabezpečiť, aby sa jednotný súbor pravidiel uplatňoval na všetky inštitúcie v EÚ v rámci bankovej únie i mimo nej. Celkové ciele tejto iniciatívy uvedené vyššie sú plne zosúladené a koherentné s</w:t>
      </w:r>
      <w:r>
        <w:rPr>
          <w:noProof/>
        </w:rPr>
        <w:t xml:space="preserve">o základnými cieľmi EÚ, ktoré spočívajú v podpore finančnej stability, znižovaní pravdepodobnosti a rozsahu podpory daňovníkov v prípade vyriešenia krízy inštitúcie, ako aj v prispievaní k harmonickému a udržateľnému financovaniu hospodárskej činnosti, čo </w:t>
      </w:r>
      <w:r>
        <w:rPr>
          <w:noProof/>
        </w:rPr>
        <w:t>pomáha dosiahnutiu vysokej úrovne konkurencieschopnosti a ochrany spotrebiteľa.</w:t>
      </w:r>
    </w:p>
    <w:p w:rsidR="001B4D52" w:rsidRDefault="002815F0">
      <w:pPr>
        <w:rPr>
          <w:rFonts w:eastAsia="Arial Unicode MS"/>
          <w:noProof/>
        </w:rPr>
      </w:pPr>
      <w:r>
        <w:rPr>
          <w:noProof/>
        </w:rPr>
        <w:t>Tieto celkové ciele sú tiež v súlade s cieľmi, ktoré sa stanovili v rámci ďalších dôležitých iniciatív EÚ uvedených vyššie.</w:t>
      </w:r>
    </w:p>
    <w:p w:rsidR="001B4D52" w:rsidRDefault="002815F0">
      <w:pPr>
        <w:pStyle w:val="ManualHeading1"/>
        <w:rPr>
          <w:noProof/>
        </w:rPr>
      </w:pPr>
      <w:r>
        <w:rPr>
          <w:noProof/>
        </w:rPr>
        <w:t>2.</w:t>
      </w:r>
      <w:r>
        <w:rPr>
          <w:noProof/>
        </w:rPr>
        <w:tab/>
        <w:t>PRÁVNY ZÁKLAD, SUBSIDIARITA A PROPORCIONALITA</w:t>
      </w:r>
    </w:p>
    <w:p w:rsidR="001B4D52" w:rsidRDefault="002815F0">
      <w:pPr>
        <w:pStyle w:val="ManualHeading2"/>
        <w:rPr>
          <w:rFonts w:eastAsia="Arial Unicode MS"/>
          <w:noProof/>
          <w:u w:color="000000"/>
          <w:bdr w:val="nil"/>
        </w:rPr>
      </w:pPr>
      <w:r>
        <w:rPr>
          <w:noProof/>
        </w:rPr>
        <w:t>•</w:t>
      </w:r>
      <w:r>
        <w:rPr>
          <w:noProof/>
        </w:rPr>
        <w:tab/>
        <w:t>P</w:t>
      </w:r>
      <w:r>
        <w:rPr>
          <w:noProof/>
        </w:rPr>
        <w:t>rávny základ</w:t>
      </w:r>
    </w:p>
    <w:p w:rsidR="001B4D52" w:rsidRDefault="002815F0">
      <w:pPr>
        <w:rPr>
          <w:noProof/>
        </w:rPr>
      </w:pPr>
      <w:r>
        <w:rPr>
          <w:noProof/>
        </w:rPr>
        <w:t>Navrhované zmeny vychádzajú z rovnakého právneho základu, ako právne predpisy, ktoré sa menia, t. j. z článku 114 ZFEÚ v prípade návrhu nariadenia, ktorým sa mení nariadenie o kapitálových požiadavkách, a z článku 53 ods. 1 ZFEÚ v prípade návr</w:t>
      </w:r>
      <w:r>
        <w:rPr>
          <w:noProof/>
        </w:rPr>
        <w:t>hu smernice, ktorou sa mení smernica o kapitálových požiadavkách IV.</w:t>
      </w:r>
    </w:p>
    <w:p w:rsidR="001B4D52" w:rsidRDefault="002815F0">
      <w:pPr>
        <w:pStyle w:val="ManualHeading2"/>
        <w:rPr>
          <w:noProof/>
        </w:rPr>
      </w:pPr>
      <w:r>
        <w:rPr>
          <w:noProof/>
        </w:rPr>
        <w:t>•</w:t>
      </w:r>
      <w:r>
        <w:rPr>
          <w:noProof/>
        </w:rPr>
        <w:tab/>
        <w:t>Subsidiarita (v prípade inej ako výlučnej právomoci)</w:t>
      </w:r>
    </w:p>
    <w:p w:rsidR="001B4D52" w:rsidRDefault="002815F0">
      <w:pPr>
        <w:rPr>
          <w:noProof/>
        </w:rPr>
      </w:pPr>
      <w:r>
        <w:rPr>
          <w:noProof/>
        </w:rPr>
        <w:t xml:space="preserve">Ciele sledované navrhnutými opatreniami sa zameriavajú na doplnenie už existujúcich právnych predpisov EÚ, a preto ich možno </w:t>
      </w:r>
      <w:r>
        <w:rPr>
          <w:noProof/>
        </w:rPr>
        <w:t>najlepšie dosiahnuť skôr na úrovni EÚ ako rôznymi vnútroštátnymi iniciatívami. Vnútroštátne opatrenia, ktoré sú zamerané napríklad na obmedzenie využívania finančnej páky inštitúciami a na posilnenie ich stabilného financovania a kapitálových požiadaviek t</w:t>
      </w:r>
      <w:r>
        <w:rPr>
          <w:noProof/>
        </w:rPr>
        <w:t>ýkajúcich sa obchodnej knihy, nebudú pri zabezpečovaní finančnej stability tak účinné, ako sú pravidlá EÚ, a to vzhľadom na slobodu inštitúcií usadiť sa a poskytovať služby v iných členských štátoch a následnú úroveň poskytovania cezhraničných služieb, kap</w:t>
      </w:r>
      <w:r>
        <w:rPr>
          <w:noProof/>
        </w:rPr>
        <w:t>itálových tokov a integrácie trhu. Naopak, vnútroštátnymi opatreniami by sa mohla narušiť hospodárska súťaž a ovplyvniť kapitálové toky. Navyše, prijatie vnútroštátnych opatrení by z právneho hľadiska predstavovalo výzvu vzhľadom na to, že v nariadení o ka</w:t>
      </w:r>
      <w:r>
        <w:rPr>
          <w:noProof/>
        </w:rPr>
        <w:t>pitálových požiadavkách sa už teraz upravujú bankové záležitosti vrátane požiadaviek na využívanie finančnej páky (predkladanie správ), likvidity [osobitne ukazovateľa krytia likvidity (LCR)] a požiadaviek týkajúcich sa obchodnej knihy.</w:t>
      </w:r>
    </w:p>
    <w:p w:rsidR="001B4D52" w:rsidRDefault="002815F0">
      <w:pPr>
        <w:pBdr>
          <w:top w:val="nil"/>
          <w:left w:val="nil"/>
          <w:bottom w:val="nil"/>
          <w:right w:val="nil"/>
          <w:between w:val="nil"/>
          <w:bar w:val="nil"/>
        </w:pBdr>
        <w:spacing w:after="240"/>
        <w:rPr>
          <w:rFonts w:eastAsia="Arial Unicode MS"/>
          <w:noProof/>
        </w:rPr>
      </w:pPr>
      <w:r>
        <w:rPr>
          <w:noProof/>
        </w:rPr>
        <w:t>Zmena nariadenia o </w:t>
      </w:r>
      <w:r>
        <w:rPr>
          <w:noProof/>
        </w:rPr>
        <w:t>kapitálových požiadavkách a smernice o kapitálových požiadavkách sa tak považuje za najlepšiu možnosť. Prináša náležitú rovnováhu medzi harmonizovaním pravidiel a zachovaním vnútroštátnej flexibility v nevyhnutných prípadoch bez toho, aby sa tým narúšal je</w:t>
      </w:r>
      <w:r>
        <w:rPr>
          <w:noProof/>
        </w:rPr>
        <w:t>dnotný súbor pravidiel. Zmenami by sa tak podporilo jednotné uplatňovanie prudenciálnych požiadaviek, zbližovanie postupov v oblasti dohľadu a zabezpečili rovnaké podmienky v rámci jednotného trhu s bankovými službami. Tieto ciele nedokážu uspokojivo dosia</w:t>
      </w:r>
      <w:r>
        <w:rPr>
          <w:noProof/>
        </w:rPr>
        <w:t>hnuť samotné členské štáty. Osobitne dôležité je to pre bankový sektor, v rámci ktorého mnohé úverové inštitúcie pôsobia naprieč jednotným trhom EÚ. Plná spolupráca a dôvera v rámci jednotného mechanizmu dohľadu (SSM) a v rámci kolégií orgánov dohľadu a pr</w:t>
      </w:r>
      <w:r>
        <w:rPr>
          <w:noProof/>
        </w:rPr>
        <w:t>íslušných orgánov mimo jednotného mechanizmu dohľadu sú nevyhnutné na to, aby sa nad úverovými inštitúciami mohol vykonávať účinný dohľad na konsolidovanom základe. Tieto ciele by sa vnútroštátnymi pravidlami nedosiahli.</w:t>
      </w:r>
    </w:p>
    <w:p w:rsidR="001B4D52" w:rsidRDefault="002815F0">
      <w:pPr>
        <w:pStyle w:val="ManualHeading2"/>
        <w:rPr>
          <w:rFonts w:eastAsia="Arial Unicode MS"/>
          <w:noProof/>
          <w:u w:color="000000"/>
          <w:bdr w:val="nil"/>
        </w:rPr>
      </w:pPr>
      <w:r>
        <w:rPr>
          <w:noProof/>
        </w:rPr>
        <w:t>•</w:t>
      </w:r>
      <w:r>
        <w:rPr>
          <w:noProof/>
        </w:rPr>
        <w:tab/>
        <w:t>Proporcionalita</w:t>
      </w:r>
    </w:p>
    <w:p w:rsidR="001B4D52" w:rsidRDefault="002815F0">
      <w:pPr>
        <w:rPr>
          <w:noProof/>
        </w:rPr>
      </w:pPr>
      <w:r>
        <w:rPr>
          <w:noProof/>
        </w:rPr>
        <w:t>Neoddeliteľnou sú</w:t>
      </w:r>
      <w:r>
        <w:rPr>
          <w:noProof/>
        </w:rPr>
        <w:t>časťou posúdenia vplyvu, ktorý je pripojený k tomuto návrhu, bola otázka proporcionality. Nielen že sa podľa cieľa proporcionality individuálne posúdili všetky navrhnuté možnosti v rôznych oblastiach regulácie, ale ako samostatný problém bol takisto prezen</w:t>
      </w:r>
      <w:r>
        <w:rPr>
          <w:noProof/>
        </w:rPr>
        <w:t>tovaný nedostatok proporcionality v rámci existujúcich pravidiel, pričom sa analyzovali osobitné možnosti zamerané na zníženie administratívnych nákladov a nákladov na dodržiavanie predpisov pre menšie inštitúcie (pozri časti 2.9 a 4.9 posúdenia vplyvu).</w:t>
      </w:r>
    </w:p>
    <w:p w:rsidR="001B4D52" w:rsidRDefault="002815F0">
      <w:pPr>
        <w:pStyle w:val="ManualHeading2"/>
        <w:rPr>
          <w:noProof/>
          <w:u w:color="000000"/>
          <w:bdr w:val="nil"/>
        </w:rPr>
      </w:pPr>
      <w:r>
        <w:rPr>
          <w:noProof/>
        </w:rPr>
        <w:t>•</w:t>
      </w:r>
      <w:r>
        <w:rPr>
          <w:noProof/>
        </w:rPr>
        <w:tab/>
        <w:t>Výber nástroja</w:t>
      </w:r>
    </w:p>
    <w:p w:rsidR="001B4D52" w:rsidRDefault="002815F0">
      <w:pPr>
        <w:rPr>
          <w:noProof/>
        </w:rPr>
      </w:pPr>
      <w:r>
        <w:rPr>
          <w:noProof/>
        </w:rPr>
        <w:t>Navrhuje sa vykonanie opatrení zmenou nariadenia o kapitálových požiadavkách na základe nariadenia a zmenou smernice o kapitálových požiadavkách na základe smernice. V navrhnutých opatreniach sa skutočne odkazuje na už existujúce ustanoveni</w:t>
      </w:r>
      <w:r>
        <w:rPr>
          <w:noProof/>
        </w:rPr>
        <w:t>a, ktoré sú súčasťou uvedených právnych nástrojov (likvidita, finančná páka, odmeňovanie, proporcionalita), alebo sa navrhnutými opatreniami tieto ustanovenia ďalej rozvíjajú.</w:t>
      </w:r>
    </w:p>
    <w:p w:rsidR="001B4D52" w:rsidRDefault="002815F0">
      <w:pPr>
        <w:rPr>
          <w:noProof/>
        </w:rPr>
      </w:pPr>
      <w:r>
        <w:rPr>
          <w:noProof/>
        </w:rPr>
        <w:t>Pokiaľ ide o novú normu týkajúcu sa celkovej schopnosti absorbovať straty dohodn</w:t>
      </w:r>
      <w:r>
        <w:rPr>
          <w:noProof/>
        </w:rPr>
        <w:t>utý v rámci Rady pre finančnú stabilitu, navrhuje sa začleniť podstatnú časť tejto normy do nariadenia o kapitálových požiadavkách, keďže iba nariadením sa môže dosiahnuť potrebné jednotné uplatňovanie, a to v zásade rovnakým spôsobom, ako v prípade existu</w:t>
      </w:r>
      <w:r>
        <w:rPr>
          <w:noProof/>
        </w:rPr>
        <w:t>júcich požiadaviek na vlastné zdroje založených na riziku. Úpravou prudenciálnych požiadaviek vo forme zmeny nariadenia o kapitálových požiadavkách sa zabezpečí, že tieto požiadavky budú v skutočnosti priamo uplatniteľné na globálne systémovo dôležité inšt</w:t>
      </w:r>
      <w:r>
        <w:rPr>
          <w:noProof/>
        </w:rPr>
        <w:t>itúcie. To členským štátom zabráni zavádzať odlišné vnútroštátne požiadavky v oblasti, v ktorej je úplná harmonizácia želateľná, aby sa predišlo nerovnakým podmienkam. Nevyhnutné však bude doladenie súčasných ustanovení smernice o ozdravení a riešení krízo</w:t>
      </w:r>
      <w:r>
        <w:rPr>
          <w:noProof/>
        </w:rPr>
        <w:t>vých situácií bánk s cieľom zabezpečiť, aby požiadavka týkajúca sa celkovej schopnosti absorbovať straty a minimálna požiadavka na vlastné zdroje a oprávnené záväzky (MPVZOZ) boli plne koherentné a navzájom zosúladené.</w:t>
      </w:r>
    </w:p>
    <w:p w:rsidR="001B4D52" w:rsidRDefault="002815F0">
      <w:pPr>
        <w:rPr>
          <w:rFonts w:eastAsia="Arial Unicode MS"/>
          <w:noProof/>
        </w:rPr>
      </w:pPr>
      <w:r>
        <w:rPr>
          <w:noProof/>
        </w:rPr>
        <w:t>Niektorými z navrhovaných zmien smern</w:t>
      </w:r>
      <w:r>
        <w:rPr>
          <w:noProof/>
        </w:rPr>
        <w:t>ice o kapitálových požiadavkách s vplyvom na proporcionalitu by sa vo fáze ich transpozície do vnútroštátneho práva ponechala členským štátom určitá miera flexibility na stanovenie odlišných pravidiel. Tým by sa dala členským štátom možnosť, aby pre určité</w:t>
      </w:r>
      <w:r>
        <w:rPr>
          <w:noProof/>
        </w:rPr>
        <w:t xml:space="preserve"> záležitosti, ako napríklad odmeňovanie a predkladanie správ, prijali prísnejšie pravidlá.</w:t>
      </w:r>
    </w:p>
    <w:p w:rsidR="001B4D52" w:rsidRDefault="002815F0">
      <w:pPr>
        <w:pStyle w:val="ManualHeading1"/>
        <w:rPr>
          <w:noProof/>
        </w:rPr>
      </w:pPr>
      <w:r>
        <w:rPr>
          <w:noProof/>
        </w:rPr>
        <w:t>3.</w:t>
      </w:r>
      <w:r>
        <w:rPr>
          <w:noProof/>
        </w:rPr>
        <w:tab/>
        <w:t>VÝSLEDKY HODNOTENÍ EX POST, KONZULTÁCIÍ SO ZAINTERESOVANÝMI STRANAMI A POSÚDENÍ VPLYVU</w:t>
      </w:r>
    </w:p>
    <w:p w:rsidR="001B4D52" w:rsidRDefault="002815F0">
      <w:pPr>
        <w:pStyle w:val="ManualHeading2"/>
        <w:rPr>
          <w:noProof/>
          <w:u w:color="000000"/>
          <w:bdr w:val="nil"/>
        </w:rPr>
      </w:pPr>
      <w:r>
        <w:rPr>
          <w:noProof/>
        </w:rPr>
        <w:t>•</w:t>
      </w:r>
      <w:r>
        <w:rPr>
          <w:noProof/>
        </w:rPr>
        <w:tab/>
        <w:t>Konzultácie so zainteresovanými stranami</w:t>
      </w:r>
    </w:p>
    <w:p w:rsidR="001B4D52" w:rsidRDefault="002815F0">
      <w:pPr>
        <w:rPr>
          <w:noProof/>
        </w:rPr>
      </w:pPr>
      <w:r>
        <w:rPr>
          <w:noProof/>
        </w:rPr>
        <w:t>Komisia uskutočnila rôzne inicia</w:t>
      </w:r>
      <w:r>
        <w:rPr>
          <w:noProof/>
        </w:rPr>
        <w:t>tívy s cieľom posúdiť, či existujúci prudenciálny rámec a pripravované preskúmania globálnych noriem boli pre inštitúcie v EÚ najvhodnejšími nástrojmi na zabezpečenie dosiahnutia prudenciálnych cieľov, ako aj to, či budú tieto inštitúcie naďalej poskytovať</w:t>
      </w:r>
      <w:r>
        <w:rPr>
          <w:noProof/>
        </w:rPr>
        <w:t xml:space="preserve"> potrebné financovanie pre hospodárstvo EÚ.</w:t>
      </w:r>
    </w:p>
    <w:p w:rsidR="001B4D52" w:rsidRDefault="002815F0">
      <w:pPr>
        <w:rPr>
          <w:noProof/>
        </w:rPr>
      </w:pPr>
      <w:r>
        <w:rPr>
          <w:noProof/>
        </w:rPr>
        <w:t>Komisia začala v júli 2015 verejnú konzultáciu o možných účinkoch nariadenia o kapitálových požiadavkách a smernice o kapitálových požiadavkách na financovanie hospodárstva EÚ bankami s osobitným zameraním na fin</w:t>
      </w:r>
      <w:r>
        <w:rPr>
          <w:noProof/>
        </w:rPr>
        <w:t>ancovanie MSP a infraštruktúry a v septembri 2015 zverejnila výzvu na predloženie dôkazov</w:t>
      </w:r>
      <w:r>
        <w:rPr>
          <w:rStyle w:val="FootnoteReference"/>
          <w:noProof/>
        </w:rPr>
        <w:footnoteReference w:id="2"/>
      </w:r>
      <w:r>
        <w:rPr>
          <w:noProof/>
        </w:rPr>
        <w:t>, ktorá sa vzťahuje na finančné právne predpisy EÚ ako celok. Účelom týchto dvoch iniciatív bolo získať empirické dôkazy a konkrétnu spätnú väzbu vo vzťahu k i) pravi</w:t>
      </w:r>
      <w:r>
        <w:rPr>
          <w:noProof/>
        </w:rPr>
        <w:t>dlám ovplyvňujúcim schopnosť hospodárstva financovať samo seba a rast, ii) nadbytočnej regulačnej záťaži, iii) vzájomnému pôsobeniu a rozporom medzi pravidlami, ako aj medzerám v príslušnej úprave, a vo vzťahu k iv) pravidlám vedúcim k nezamýšľaným dôsledk</w:t>
      </w:r>
      <w:r>
        <w:rPr>
          <w:noProof/>
        </w:rPr>
        <w:t>om. Komisia okrem toho zhromaždila názory zainteresovaných strán v rámci osobitných analýz vykonaných v súvislosti s ustanoveniami upravujúcimi odmeňovanie</w:t>
      </w:r>
      <w:r>
        <w:rPr>
          <w:rStyle w:val="FootnoteReference"/>
          <w:noProof/>
        </w:rPr>
        <w:footnoteReference w:id="3"/>
      </w:r>
      <w:r>
        <w:rPr>
          <w:noProof/>
        </w:rPr>
        <w:t xml:space="preserve"> a v súvislosti s proporcionalitou pravidiel obsiahnutých v nariadení o kapitálových požiadavkách a </w:t>
      </w:r>
      <w:r>
        <w:rPr>
          <w:noProof/>
        </w:rPr>
        <w:t>v smernici o kapitálových požiadavkách. Napokon sa začala verejná konzultácia v kontexte štúdie, ktorej vykonanie zadala Komisia na účely posúdenia vplyvu nariadenia o kapitálových požiadavkách na financovanie hospodárstva bankami</w:t>
      </w:r>
      <w:r>
        <w:rPr>
          <w:rStyle w:val="FootnoteReference"/>
          <w:noProof/>
        </w:rPr>
        <w:footnoteReference w:id="4"/>
      </w:r>
      <w:r>
        <w:rPr>
          <w:noProof/>
        </w:rPr>
        <w:t>.</w:t>
      </w:r>
    </w:p>
    <w:p w:rsidR="001B4D52" w:rsidRDefault="002815F0">
      <w:pPr>
        <w:rPr>
          <w:noProof/>
        </w:rPr>
      </w:pPr>
      <w:r>
        <w:rPr>
          <w:noProof/>
        </w:rPr>
        <w:t>Všetky iniciatívy uvede</w:t>
      </w:r>
      <w:r>
        <w:rPr>
          <w:noProof/>
        </w:rPr>
        <w:t>né vyššie poskytli jasný dôkaz o potrebe aktualizovať a skompletizovať súčasné pravidlá s cieľom i) ďalej obmedziť riziká v bankovom sektore, a tým obmedziť mieru spoliehania sa na štátnu pomoc a peniaze daňovníkov v prípade krízy, a ii) posilniť schopnosť</w:t>
      </w:r>
      <w:r>
        <w:rPr>
          <w:noProof/>
        </w:rPr>
        <w:t xml:space="preserve"> inštitúcií zabezpečiť prísun primeraného financovania pre hospodárstvo.</w:t>
      </w:r>
    </w:p>
    <w:p w:rsidR="001B4D52" w:rsidRDefault="002815F0">
      <w:pPr>
        <w:rPr>
          <w:rFonts w:eastAsia="Arial Unicode MS"/>
          <w:noProof/>
        </w:rPr>
      </w:pPr>
      <w:r>
        <w:rPr>
          <w:noProof/>
        </w:rPr>
        <w:t>Prílohy 1 a 2 k posúdeniu vplyvu obsahujú súhrn konzultácií, preskúmaní a správ.</w:t>
      </w:r>
    </w:p>
    <w:p w:rsidR="001B4D52" w:rsidRDefault="002815F0">
      <w:pPr>
        <w:pStyle w:val="ManualHeading2"/>
        <w:rPr>
          <w:noProof/>
          <w:u w:color="000000"/>
          <w:bdr w:val="nil"/>
        </w:rPr>
      </w:pPr>
      <w:r>
        <w:rPr>
          <w:noProof/>
        </w:rPr>
        <w:t>•</w:t>
      </w:r>
      <w:r>
        <w:rPr>
          <w:noProof/>
        </w:rPr>
        <w:tab/>
        <w:t>Posúdenie vplyvu</w:t>
      </w:r>
    </w:p>
    <w:p w:rsidR="001B4D52" w:rsidRDefault="002815F0">
      <w:pPr>
        <w:rPr>
          <w:noProof/>
        </w:rPr>
      </w:pPr>
      <w:r>
        <w:rPr>
          <w:noProof/>
        </w:rPr>
        <w:t>O posúdení vplyvu</w:t>
      </w:r>
      <w:r>
        <w:rPr>
          <w:rStyle w:val="FootnoteReference"/>
          <w:noProof/>
        </w:rPr>
        <w:footnoteReference w:id="5"/>
      </w:r>
      <w:r>
        <w:rPr>
          <w:noProof/>
        </w:rPr>
        <w:t xml:space="preserve"> sa rokovalo s výborom pre kontrolu regulácie, pričom sa zamietlo</w:t>
      </w:r>
      <w:r>
        <w:rPr>
          <w:noProof/>
        </w:rPr>
        <w:t xml:space="preserve"> 7. septembra 2016. Po zamietnutí sa posúdenie vplyvu vylepšilo pridaním i) lepšieho vysvetlenia politického kontextu návrhu (t. j. v súvislosti s vývojom politík na medzinárodnej úrovni i na úrovni EÚ), ii) viac podrobností o stanoviskách zainteresovaných</w:t>
      </w:r>
      <w:r>
        <w:rPr>
          <w:noProof/>
        </w:rPr>
        <w:t xml:space="preserve"> strán a iii) ďalších dôkazov o účinkoch (z hľadiska prínosov i nákladov) rôznych politických možností, ktoré sa v rámci posúdenia vplyvu preskúmavajú. K opätovne predloženému posúdeniu vplyvu vydal výbor pre kontrolu regulácie 27. septembra 2016 pozitívne</w:t>
      </w:r>
      <w:r>
        <w:rPr>
          <w:noProof/>
        </w:rPr>
        <w:t xml:space="preserve"> stanovisko</w:t>
      </w:r>
      <w:r>
        <w:rPr>
          <w:rStyle w:val="FootnoteReference"/>
          <w:noProof/>
        </w:rPr>
        <w:footnoteReference w:id="6"/>
      </w:r>
      <w:r>
        <w:rPr>
          <w:noProof/>
        </w:rPr>
        <w:t>. Posúdenie vplyvu je pripojené k tomuto návrhu. Návrh je naďalej v súlade s posúdením vplyvu.</w:t>
      </w:r>
    </w:p>
    <w:p w:rsidR="001B4D52" w:rsidRDefault="002815F0">
      <w:pPr>
        <w:rPr>
          <w:noProof/>
        </w:rPr>
      </w:pPr>
      <w:r>
        <w:rPr>
          <w:noProof/>
        </w:rPr>
        <w:t>Ako vyplýva zo simulačnej analýzy a makroekonomického modelovania vyvinutého v rámci posúdenia vplyvu, v dôsledku zavedenia nových požiadaviek, najmä</w:t>
      </w:r>
      <w:r>
        <w:rPr>
          <w:noProof/>
        </w:rPr>
        <w:t xml:space="preserve"> nových bazilejských noriem, ako sú napríklad ukazovateľ finančnej páky a obchodná kniha, možno očakávať obmedzenie nákladov. Odhadovaný dlhodobý vplyv na hrubý domáci produkt (HDP) sa pohybuje na úrovni medzi – 0,03 % a – 0,06 %, zatiaľ čo zvýšenie náklad</w:t>
      </w:r>
      <w:r>
        <w:rPr>
          <w:noProof/>
        </w:rPr>
        <w:t>ov bankového sektora na financovanie sa v krajnom scenári odhaduje na úrovni pod 3 bázickými bodmi. Na strane prínosov zo simulácie vyplynulo, že verejné zdroje potrebné na podporu bankového systému v prípade finančnej krízy podobnej veľkosti, aká bola v r</w:t>
      </w:r>
      <w:r>
        <w:rPr>
          <w:noProof/>
        </w:rPr>
        <w:t>okoch 2007 a 2008, by sa znížili o 32 %, čo predstavuje zníženie z 51 miliárd EUR na 34 miliárd EUR.</w:t>
      </w:r>
    </w:p>
    <w:p w:rsidR="001B4D52" w:rsidRDefault="002815F0">
      <w:pPr>
        <w:pStyle w:val="ManualHeading2"/>
        <w:rPr>
          <w:noProof/>
          <w:u w:color="000000"/>
          <w:bdr w:val="nil"/>
        </w:rPr>
      </w:pPr>
      <w:r>
        <w:rPr>
          <w:noProof/>
        </w:rPr>
        <w:t>•</w:t>
      </w:r>
      <w:r>
        <w:rPr>
          <w:noProof/>
        </w:rPr>
        <w:tab/>
        <w:t>Regulačná vhodnosť a zjednodušenie</w:t>
      </w:r>
    </w:p>
    <w:p w:rsidR="001B4D52" w:rsidRDefault="002815F0">
      <w:pPr>
        <w:rPr>
          <w:noProof/>
        </w:rPr>
      </w:pPr>
      <w:r>
        <w:rPr>
          <w:noProof/>
        </w:rPr>
        <w:t>Očakáva sa, že ponechaním zjednodušených postupov na stanovovanie požiadaviek na vlastné zdroje sa zachová proporciona</w:t>
      </w:r>
      <w:r>
        <w:rPr>
          <w:noProof/>
        </w:rPr>
        <w:t>lita pravidiel vo vzťahu k menším inštitúciám. Okrem toho by sa v dôsledku navrhovaných opatrení na zvýšenie proporcionality niektorých požiadaviek (týkajúcich sa predkladania správ, zverejnenia informácií a odmeňovania) mala pre tieto inštitúcie znížiť ad</w:t>
      </w:r>
      <w:r>
        <w:rPr>
          <w:noProof/>
        </w:rPr>
        <w:t>ministratívna záťaž a záťaž spojená s dodržiavaním predpisov.</w:t>
      </w:r>
    </w:p>
    <w:p w:rsidR="001B4D52" w:rsidRDefault="002815F0">
      <w:pPr>
        <w:rPr>
          <w:noProof/>
        </w:rPr>
      </w:pPr>
      <w:r>
        <w:rPr>
          <w:noProof/>
        </w:rPr>
        <w:t>Pokiaľ ide o MSP, očakáva sa, že navrhovaná úprava požiadaviek na vlastné zdroje pre expozície inštitúcii vo vzťahu k MSP bude mať na financovanie MSP pozitívny účinok. To by malo vplyv hlavne n</w:t>
      </w:r>
      <w:r>
        <w:rPr>
          <w:noProof/>
        </w:rPr>
        <w:t>a MSP, ktorých expozície v súčasnosti presahujú 1,5 milióna EUR, keďže tieto expozície nemajú podľa existujúcich pravidiel prospech z koeficientu na podporu MSP.</w:t>
      </w:r>
    </w:p>
    <w:p w:rsidR="001B4D52" w:rsidRDefault="002815F0">
      <w:pPr>
        <w:rPr>
          <w:noProof/>
        </w:rPr>
      </w:pPr>
      <w:r>
        <w:rPr>
          <w:noProof/>
        </w:rPr>
        <w:t>Od iných prvkov návrhu, najmä tých, ktoré sú zamerané na zvýšenie odolnosti inštitúcií voči bu</w:t>
      </w:r>
      <w:r>
        <w:rPr>
          <w:noProof/>
        </w:rPr>
        <w:t>dúcim krízam, sa očakáva, že sa nimi posilní udržateľnosť poskytovania úverov a pôžičiek v prospech MSP.</w:t>
      </w:r>
    </w:p>
    <w:p w:rsidR="001B4D52" w:rsidRDefault="002815F0">
      <w:pPr>
        <w:rPr>
          <w:noProof/>
        </w:rPr>
      </w:pPr>
      <w:r>
        <w:rPr>
          <w:noProof/>
        </w:rPr>
        <w:t>Napokon sa očakáva, že opatreniami zameranými na zníženie nákladov inštitúcií, najmä menších a menej zložitých inštitúcií, na dodržiavanie predpisov sa</w:t>
      </w:r>
      <w:r>
        <w:rPr>
          <w:noProof/>
        </w:rPr>
        <w:t xml:space="preserve"> znížia náklady MSP na prijaté úvery a pôžičky.</w:t>
      </w:r>
    </w:p>
    <w:p w:rsidR="001B4D52" w:rsidRDefault="002815F0">
      <w:pPr>
        <w:rPr>
          <w:noProof/>
        </w:rPr>
      </w:pPr>
      <w:r>
        <w:rPr>
          <w:noProof/>
        </w:rPr>
        <w:t xml:space="preserve">Pokiaľ ide o rozmer týkajúci sa tretích krajín, návrhom sa posilní stabilita finančných trhov EÚ, a tým sa zníži pravdepodobnosť rozšírenia možných negatívnych účinkov na globálne finančné trhy a vzniku </w:t>
      </w:r>
      <w:r>
        <w:rPr>
          <w:noProof/>
        </w:rPr>
        <w:t>nákladov na ne. Navyše, navrhovanými zmenami sa ďalej harmonizuje regulačný rámec v celej Únii, čím sa podstatne znížia administratívne náklady inštitúcií z tretích krajín, ktoré pôsobia v EÚ.</w:t>
      </w:r>
    </w:p>
    <w:p w:rsidR="001B4D52" w:rsidRDefault="002815F0">
      <w:pPr>
        <w:rPr>
          <w:rFonts w:eastAsia="Arial Unicode MS"/>
          <w:noProof/>
        </w:rPr>
      </w:pPr>
      <w:r>
        <w:rPr>
          <w:noProof/>
        </w:rPr>
        <w:t xml:space="preserve">Návrh je v súlade s prioritou Komisie pre jednotný digitálny </w:t>
      </w:r>
      <w:r>
        <w:rPr>
          <w:noProof/>
        </w:rPr>
        <w:t>trh.</w:t>
      </w:r>
    </w:p>
    <w:p w:rsidR="001B4D52" w:rsidRDefault="002815F0">
      <w:pPr>
        <w:pStyle w:val="ManualHeading2"/>
        <w:rPr>
          <w:noProof/>
          <w:u w:color="000000"/>
          <w:bdr w:val="nil"/>
        </w:rPr>
      </w:pPr>
      <w:r>
        <w:rPr>
          <w:noProof/>
        </w:rPr>
        <w:t>•</w:t>
      </w:r>
      <w:r>
        <w:rPr>
          <w:noProof/>
        </w:rPr>
        <w:tab/>
        <w:t>Základné práva</w:t>
      </w:r>
    </w:p>
    <w:p w:rsidR="001B4D52" w:rsidRDefault="002815F0">
      <w:pPr>
        <w:rPr>
          <w:rFonts w:eastAsia="Arial Unicode MS"/>
          <w:noProof/>
        </w:rPr>
      </w:pPr>
      <w:r>
        <w:rPr>
          <w:noProof/>
        </w:rPr>
        <w:t xml:space="preserve">EÚ je ako signatár širokej škály dohovorov o ľudských právach odhodlaná dodržiavať vysoké štandardy ochrany základných práv. V tomto kontexte je nepravdepodobné, že tieto práva, ktoré sú zakotvené v hlavných dohovoroch OSN o ľudských </w:t>
      </w:r>
      <w:r>
        <w:rPr>
          <w:noProof/>
        </w:rPr>
        <w:t>právach, v Charte základných práv Európskej únie, ktorá je neoddeliteľnou súčasťou zmlúv o EÚ, a v Európskom dohovore o ľudských právach (EDĽP), budú návrhom priamo dotknuté.</w:t>
      </w:r>
    </w:p>
    <w:p w:rsidR="001B4D52" w:rsidRDefault="002815F0">
      <w:pPr>
        <w:pStyle w:val="ManualHeading1"/>
        <w:rPr>
          <w:noProof/>
        </w:rPr>
      </w:pPr>
      <w:r>
        <w:rPr>
          <w:noProof/>
        </w:rPr>
        <w:t>4.</w:t>
      </w:r>
      <w:r>
        <w:rPr>
          <w:noProof/>
        </w:rPr>
        <w:tab/>
        <w:t>VPLYV NA ROZPOČET</w:t>
      </w:r>
    </w:p>
    <w:p w:rsidR="001B4D52" w:rsidRDefault="002815F0">
      <w:pPr>
        <w:spacing w:before="0" w:after="240"/>
        <w:rPr>
          <w:rFonts w:eastAsia="Arial Unicode MS"/>
          <w:noProof/>
        </w:rPr>
      </w:pPr>
      <w:r>
        <w:rPr>
          <w:noProof/>
        </w:rPr>
        <w:t>Tento návrh nemá vplyv na rozpočet EÚ.</w:t>
      </w:r>
    </w:p>
    <w:p w:rsidR="001B4D52" w:rsidRDefault="002815F0">
      <w:pPr>
        <w:pStyle w:val="ManualHeading1"/>
        <w:rPr>
          <w:noProof/>
        </w:rPr>
      </w:pPr>
      <w:r>
        <w:rPr>
          <w:noProof/>
        </w:rPr>
        <w:t>5.</w:t>
      </w:r>
      <w:r>
        <w:rPr>
          <w:noProof/>
        </w:rPr>
        <w:tab/>
        <w:t>ĎALŠIE PRVKY</w:t>
      </w:r>
    </w:p>
    <w:p w:rsidR="001B4D52" w:rsidRDefault="002815F0">
      <w:pPr>
        <w:pStyle w:val="ManualHeading2"/>
        <w:rPr>
          <w:noProof/>
          <w:u w:color="000000"/>
          <w:bdr w:val="nil"/>
        </w:rPr>
      </w:pPr>
      <w:r>
        <w:rPr>
          <w:noProof/>
        </w:rPr>
        <w:t>•</w:t>
      </w:r>
      <w:r>
        <w:rPr>
          <w:noProof/>
        </w:rPr>
        <w:tab/>
        <w:t>Plá</w:t>
      </w:r>
      <w:r>
        <w:rPr>
          <w:noProof/>
        </w:rPr>
        <w:t>ny vykonávania, spôsob monitorovania, hodnotenia a predkladania správ</w:t>
      </w:r>
    </w:p>
    <w:p w:rsidR="001B4D52" w:rsidRDefault="002815F0">
      <w:pPr>
        <w:rPr>
          <w:noProof/>
        </w:rPr>
      </w:pPr>
      <w:r>
        <w:rPr>
          <w:noProof/>
        </w:rPr>
        <w:t>Očakáva sa, že navrhované zmeny nadobudnú účinnosť najskôr v roku 2019. Zmeny sú úzko prepojené s ďalšími už účinnými ustanoveniami nariadenia o kapitálových požiadavkách a smernice o ka</w:t>
      </w:r>
      <w:r>
        <w:rPr>
          <w:noProof/>
        </w:rPr>
        <w:t>pitálových požiadavkách, ktoré sa monitorujú od roku 2014.</w:t>
      </w:r>
    </w:p>
    <w:p w:rsidR="001B4D52" w:rsidRDefault="002815F0">
      <w:pPr>
        <w:rPr>
          <w:noProof/>
        </w:rPr>
      </w:pPr>
      <w:r>
        <w:rPr>
          <w:noProof/>
        </w:rPr>
        <w:t>BCBS a EBA budú naďalej zhromažďovať potrebné údaje na účely monitorovania ukazovateľa finančnej páky a nových opatrení týkajúcich sa likvidity, a to s cieľom umožniť budúce hodnotenie vplyvu novýc</w:t>
      </w:r>
      <w:r>
        <w:rPr>
          <w:noProof/>
        </w:rPr>
        <w:t>h nástrojov politiky. Postup preskúmania a hodnotenia orgánmi dohľadu (REP) a stresové testovanie tiež pomôžu pri monitorovaní vplyvu nových navrhnutých opatrení na dotknuté inštitúcie a pri posudzovaní vhodnosti úrovne flexibility a proporcionality, ktorá</w:t>
      </w:r>
      <w:r>
        <w:rPr>
          <w:noProof/>
        </w:rPr>
        <w:t xml:space="preserve"> sa poskytla v snahe zohľadniť špecifiká menších inštitúcií. Okrem toho</w:t>
      </w:r>
      <w:bookmarkStart w:id="1" w:name="_Toc461812469"/>
      <w:r>
        <w:rPr>
          <w:noProof/>
        </w:rPr>
        <w:t xml:space="preserve"> sa budú útvary Komisie </w:t>
      </w:r>
      <w:bookmarkEnd w:id="1"/>
      <w:r>
        <w:rPr>
          <w:noProof/>
        </w:rPr>
        <w:t>na</w:t>
      </w:r>
      <w:bookmarkStart w:id="2" w:name="_Toc461812470"/>
      <w:r>
        <w:rPr>
          <w:noProof/>
        </w:rPr>
        <w:t>ďalej zapájať</w:t>
      </w:r>
      <w:bookmarkEnd w:id="2"/>
      <w:r>
        <w:rPr>
          <w:noProof/>
        </w:rPr>
        <w:t xml:space="preserve"> do pracovných skupín BCBS a spoločnej pracovnej skupiny zriadenej Európskou centrálnou bankou (ECB) a EBA, ktoré monitorujú dynamiku pozícií vlas</w:t>
      </w:r>
      <w:r>
        <w:rPr>
          <w:noProof/>
        </w:rPr>
        <w:t>tných zdrojov a likvidity pozícií inštitúcií na globálnej úrovni, resp. v EÚ.</w:t>
      </w:r>
    </w:p>
    <w:p w:rsidR="001B4D52" w:rsidRDefault="002815F0">
      <w:pPr>
        <w:rPr>
          <w:noProof/>
        </w:rPr>
      </w:pPr>
      <w:r>
        <w:rPr>
          <w:noProof/>
        </w:rPr>
        <w:t>Súbor ukazovateľov na monitorovanie pokroku vo vzťahu k výsledkom, ktoré vyplývajú z realizácie uprednostňovaných možností, zahŕňa tieto prvky:</w:t>
      </w:r>
    </w:p>
    <w:p w:rsidR="001B4D52" w:rsidRDefault="002815F0">
      <w:pPr>
        <w:rPr>
          <w:noProof/>
        </w:rPr>
      </w:pPr>
      <w:r>
        <w:rPr>
          <w:noProof/>
        </w:rPr>
        <w:t>V súvislosti s pomerom čistého sta</w:t>
      </w:r>
      <w:r>
        <w:rPr>
          <w:noProof/>
        </w:rPr>
        <w:t>bilného financovania (NSFR):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520"/>
      </w:tblGrid>
      <w:tr w:rsidR="001B4D52">
        <w:tc>
          <w:tcPr>
            <w:tcW w:w="2127" w:type="dxa"/>
            <w:shd w:val="clear" w:color="auto" w:fill="auto"/>
          </w:tcPr>
          <w:p w:rsidR="001B4D52" w:rsidRDefault="002815F0">
            <w:pPr>
              <w:rPr>
                <w:b/>
                <w:noProof/>
              </w:rPr>
            </w:pPr>
            <w:r>
              <w:rPr>
                <w:b/>
                <w:noProof/>
              </w:rPr>
              <w:t>Ukazovateľ</w:t>
            </w:r>
          </w:p>
        </w:tc>
        <w:tc>
          <w:tcPr>
            <w:tcW w:w="6520" w:type="dxa"/>
            <w:shd w:val="clear" w:color="auto" w:fill="auto"/>
          </w:tcPr>
          <w:p w:rsidR="001B4D52" w:rsidRDefault="002815F0">
            <w:pPr>
              <w:rPr>
                <w:b/>
                <w:bCs/>
                <w:noProof/>
              </w:rPr>
            </w:pPr>
            <w:r>
              <w:rPr>
                <w:noProof/>
              </w:rPr>
              <w:t>NSFR pre inštitúcie v EÚ</w:t>
            </w:r>
          </w:p>
        </w:tc>
      </w:tr>
      <w:tr w:rsidR="001B4D52">
        <w:tc>
          <w:tcPr>
            <w:tcW w:w="2127" w:type="dxa"/>
            <w:shd w:val="clear" w:color="auto" w:fill="auto"/>
          </w:tcPr>
          <w:p w:rsidR="001B4D52" w:rsidRDefault="002815F0">
            <w:pPr>
              <w:rPr>
                <w:b/>
                <w:noProof/>
              </w:rPr>
            </w:pPr>
            <w:r>
              <w:rPr>
                <w:b/>
                <w:noProof/>
              </w:rPr>
              <w:t>Cieľ</w:t>
            </w:r>
          </w:p>
        </w:tc>
        <w:tc>
          <w:tcPr>
            <w:tcW w:w="6520" w:type="dxa"/>
            <w:shd w:val="clear" w:color="auto" w:fill="auto"/>
          </w:tcPr>
          <w:p w:rsidR="001B4D52" w:rsidRDefault="002815F0">
            <w:pPr>
              <w:rPr>
                <w:bCs/>
                <w:noProof/>
              </w:rPr>
            </w:pPr>
            <w:r>
              <w:rPr>
                <w:noProof/>
              </w:rPr>
              <w:t>k dátumu začatia uplatňovania 99 % inštitúcií monitorovaných EBA na základe nariadenia Bazilej III spĺňa NSFR na úrovni 100 % (ku koncu decembra 2015 spĺňalo NSFR 65 % úverových inštitú</w:t>
            </w:r>
            <w:r>
              <w:rPr>
                <w:noProof/>
              </w:rPr>
              <w:t>cií skupiny 1 a 89 % skupiny 2)</w:t>
            </w:r>
          </w:p>
        </w:tc>
      </w:tr>
      <w:tr w:rsidR="001B4D52">
        <w:tc>
          <w:tcPr>
            <w:tcW w:w="2127" w:type="dxa"/>
            <w:shd w:val="clear" w:color="auto" w:fill="auto"/>
          </w:tcPr>
          <w:p w:rsidR="001B4D52" w:rsidRDefault="002815F0">
            <w:pPr>
              <w:rPr>
                <w:b/>
                <w:noProof/>
              </w:rPr>
            </w:pPr>
            <w:r>
              <w:rPr>
                <w:b/>
                <w:noProof/>
              </w:rPr>
              <w:t>Zdroj údajov</w:t>
            </w:r>
          </w:p>
        </w:tc>
        <w:tc>
          <w:tcPr>
            <w:tcW w:w="6520" w:type="dxa"/>
            <w:shd w:val="clear" w:color="auto" w:fill="auto"/>
          </w:tcPr>
          <w:p w:rsidR="001B4D52" w:rsidRDefault="002815F0">
            <w:pPr>
              <w:rPr>
                <w:b/>
                <w:bCs/>
                <w:noProof/>
              </w:rPr>
            </w:pPr>
            <w:r>
              <w:rPr>
                <w:noProof/>
              </w:rPr>
              <w:t>polročné monitorovacie správy EBA na základe nariadenia Bazilej III</w:t>
            </w:r>
          </w:p>
        </w:tc>
      </w:tr>
    </w:tbl>
    <w:p w:rsidR="001B4D52" w:rsidRDefault="002815F0">
      <w:pPr>
        <w:rPr>
          <w:noProof/>
        </w:rPr>
      </w:pPr>
      <w:r>
        <w:rPr>
          <w:noProof/>
        </w:rPr>
        <w:t>V súvislosti s ukazovateľom finančnej páky: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1B4D52">
        <w:tc>
          <w:tcPr>
            <w:tcW w:w="2127" w:type="dxa"/>
            <w:shd w:val="clear" w:color="auto" w:fill="auto"/>
          </w:tcPr>
          <w:p w:rsidR="001B4D52" w:rsidRDefault="002815F0">
            <w:pPr>
              <w:rPr>
                <w:b/>
                <w:noProof/>
              </w:rPr>
            </w:pPr>
            <w:r>
              <w:rPr>
                <w:b/>
                <w:noProof/>
              </w:rPr>
              <w:t>Ukaz</w:t>
            </w:r>
            <w:bookmarkStart w:id="3" w:name="_Toc461812471"/>
            <w:r>
              <w:rPr>
                <w:b/>
                <w:noProof/>
              </w:rPr>
              <w:t>ovateľ</w:t>
            </w:r>
          </w:p>
        </w:tc>
        <w:tc>
          <w:tcPr>
            <w:tcW w:w="6520" w:type="dxa"/>
            <w:shd w:val="clear" w:color="auto" w:fill="auto"/>
          </w:tcPr>
          <w:p w:rsidR="001B4D52" w:rsidRDefault="002815F0">
            <w:pPr>
              <w:rPr>
                <w:b/>
                <w:bCs/>
                <w:noProof/>
              </w:rPr>
            </w:pPr>
            <w:r>
              <w:rPr>
                <w:noProof/>
              </w:rPr>
              <w:t xml:space="preserve">Ukazovateľ finančnej páky </w:t>
            </w:r>
            <w:bookmarkEnd w:id="3"/>
            <w:r>
              <w:rPr>
                <w:noProof/>
              </w:rPr>
              <w:t>pre inštitúcie v EÚ</w:t>
            </w:r>
          </w:p>
        </w:tc>
      </w:tr>
      <w:tr w:rsidR="001B4D52">
        <w:tc>
          <w:tcPr>
            <w:tcW w:w="2127" w:type="dxa"/>
            <w:shd w:val="clear" w:color="auto" w:fill="auto"/>
          </w:tcPr>
          <w:p w:rsidR="001B4D52" w:rsidRDefault="002815F0">
            <w:pPr>
              <w:rPr>
                <w:b/>
                <w:noProof/>
              </w:rPr>
            </w:pPr>
            <w:r>
              <w:rPr>
                <w:b/>
                <w:noProof/>
              </w:rPr>
              <w:t>Cieľ</w:t>
            </w:r>
          </w:p>
        </w:tc>
        <w:tc>
          <w:tcPr>
            <w:tcW w:w="6520" w:type="dxa"/>
            <w:shd w:val="clear" w:color="auto" w:fill="auto"/>
          </w:tcPr>
          <w:p w:rsidR="001B4D52" w:rsidRDefault="002815F0">
            <w:pPr>
              <w:rPr>
                <w:bCs/>
                <w:noProof/>
              </w:rPr>
            </w:pPr>
            <w:r>
              <w:rPr>
                <w:noProof/>
              </w:rPr>
              <w:t xml:space="preserve">k dátumu začatia uplatňovania </w:t>
            </w:r>
            <w:r>
              <w:rPr>
                <w:noProof/>
              </w:rPr>
              <w:t>ukazovateľ finančnej páky je v prípade 99 % úverových inštitúcií skupiny 1 a skupiny 2 najmenej na úrovni 3 % (v júni 2015 spĺňalo cieľ 93,4 % inštitúcií skupiny 1)</w:t>
            </w:r>
          </w:p>
        </w:tc>
      </w:tr>
      <w:tr w:rsidR="001B4D52">
        <w:tc>
          <w:tcPr>
            <w:tcW w:w="2127" w:type="dxa"/>
            <w:shd w:val="clear" w:color="auto" w:fill="auto"/>
          </w:tcPr>
          <w:p w:rsidR="001B4D52" w:rsidRDefault="002815F0">
            <w:pPr>
              <w:rPr>
                <w:b/>
                <w:noProof/>
              </w:rPr>
            </w:pPr>
            <w:r>
              <w:rPr>
                <w:b/>
                <w:noProof/>
              </w:rPr>
              <w:t>Zdroj údajov</w:t>
            </w:r>
          </w:p>
        </w:tc>
        <w:tc>
          <w:tcPr>
            <w:tcW w:w="6520" w:type="dxa"/>
            <w:shd w:val="clear" w:color="auto" w:fill="auto"/>
          </w:tcPr>
          <w:p w:rsidR="001B4D52" w:rsidRDefault="002815F0">
            <w:pPr>
              <w:rPr>
                <w:b/>
                <w:noProof/>
              </w:rPr>
            </w:pPr>
            <w:r>
              <w:rPr>
                <w:noProof/>
              </w:rPr>
              <w:t>polročné monitorovacie správy EBA na základe nariadenia Bazilej III</w:t>
            </w:r>
          </w:p>
        </w:tc>
      </w:tr>
    </w:tbl>
    <w:p w:rsidR="001B4D52" w:rsidRDefault="002815F0">
      <w:pPr>
        <w:rPr>
          <w:b/>
          <w:noProof/>
        </w:rPr>
      </w:pPr>
      <w:r>
        <w:rPr>
          <w:noProof/>
        </w:rPr>
        <w:t xml:space="preserve">V </w:t>
      </w:r>
      <w:r>
        <w:rPr>
          <w:noProof/>
        </w:rPr>
        <w:t>súvislosti s MSP: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1B4D52">
        <w:tc>
          <w:tcPr>
            <w:tcW w:w="2127" w:type="dxa"/>
            <w:shd w:val="clear" w:color="auto" w:fill="auto"/>
          </w:tcPr>
          <w:p w:rsidR="001B4D52" w:rsidRDefault="002815F0">
            <w:pPr>
              <w:rPr>
                <w:b/>
                <w:noProof/>
              </w:rPr>
            </w:pPr>
            <w:r>
              <w:rPr>
                <w:b/>
                <w:noProof/>
              </w:rPr>
              <w:t>Ukazovateľ</w:t>
            </w:r>
          </w:p>
        </w:tc>
        <w:tc>
          <w:tcPr>
            <w:tcW w:w="6520" w:type="dxa"/>
            <w:shd w:val="clear" w:color="auto" w:fill="auto"/>
          </w:tcPr>
          <w:p w:rsidR="001B4D52" w:rsidRDefault="002815F0">
            <w:pPr>
              <w:rPr>
                <w:b/>
                <w:bCs/>
                <w:noProof/>
              </w:rPr>
            </w:pPr>
            <w:r>
              <w:rPr>
                <w:noProof/>
              </w:rPr>
              <w:t>rozdiel vo financovaní MSP v EÚ, t. j. rozdiel medzi potrebou externých zdrojov a dostupnosťou zdrojov</w:t>
            </w:r>
          </w:p>
        </w:tc>
      </w:tr>
      <w:tr w:rsidR="001B4D52">
        <w:tc>
          <w:tcPr>
            <w:tcW w:w="2127" w:type="dxa"/>
            <w:shd w:val="clear" w:color="auto" w:fill="auto"/>
          </w:tcPr>
          <w:p w:rsidR="001B4D52" w:rsidRDefault="002815F0">
            <w:pPr>
              <w:rPr>
                <w:b/>
                <w:noProof/>
              </w:rPr>
            </w:pPr>
            <w:r>
              <w:rPr>
                <w:b/>
                <w:noProof/>
              </w:rPr>
              <w:t>Cieľ</w:t>
            </w:r>
          </w:p>
        </w:tc>
        <w:tc>
          <w:tcPr>
            <w:tcW w:w="6520" w:type="dxa"/>
            <w:shd w:val="clear" w:color="auto" w:fill="auto"/>
          </w:tcPr>
          <w:p w:rsidR="001B4D52" w:rsidRDefault="002815F0">
            <w:pPr>
              <w:rPr>
                <w:noProof/>
              </w:rPr>
            </w:pPr>
            <w:r>
              <w:rPr>
                <w:noProof/>
              </w:rPr>
              <w:t>dva roky po dátume začatia uplatňovania na úrovni pod 13 % (posledný známy údaj ku koncu roka 2014 je – 13 %)</w:t>
            </w:r>
          </w:p>
        </w:tc>
      </w:tr>
      <w:tr w:rsidR="001B4D52">
        <w:tc>
          <w:tcPr>
            <w:tcW w:w="2127" w:type="dxa"/>
            <w:shd w:val="clear" w:color="auto" w:fill="auto"/>
          </w:tcPr>
          <w:p w:rsidR="001B4D52" w:rsidRDefault="002815F0">
            <w:pPr>
              <w:rPr>
                <w:b/>
                <w:noProof/>
              </w:rPr>
            </w:pPr>
            <w:r>
              <w:rPr>
                <w:b/>
                <w:noProof/>
              </w:rPr>
              <w:t>Zdroj ú</w:t>
            </w:r>
            <w:r>
              <w:rPr>
                <w:b/>
                <w:noProof/>
              </w:rPr>
              <w:t>dajov</w:t>
            </w:r>
          </w:p>
        </w:tc>
        <w:tc>
          <w:tcPr>
            <w:tcW w:w="6520" w:type="dxa"/>
            <w:shd w:val="clear" w:color="auto" w:fill="auto"/>
          </w:tcPr>
          <w:p w:rsidR="001B4D52" w:rsidRDefault="002815F0">
            <w:pPr>
              <w:rPr>
                <w:b/>
                <w:bCs/>
                <w:noProof/>
              </w:rPr>
            </w:pPr>
            <w:r>
              <w:rPr>
                <w:noProof/>
              </w:rPr>
              <w:t>prieskum Európskej komisie/Európskej centrálnej banky o prístupe podnikov k financovaniu (údaje vzťahujúce sa len na eurozónu)</w:t>
            </w:r>
          </w:p>
        </w:tc>
      </w:tr>
    </w:tbl>
    <w:p w:rsidR="001B4D52" w:rsidRDefault="002815F0">
      <w:pPr>
        <w:rPr>
          <w:noProof/>
        </w:rPr>
      </w:pPr>
      <w:r>
        <w:rPr>
          <w:noProof/>
        </w:rPr>
        <w:t>V súvislosti s celkovou schopnosťou absorbovať straty (TLAC):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1B4D52">
        <w:tc>
          <w:tcPr>
            <w:tcW w:w="2127" w:type="dxa"/>
            <w:shd w:val="clear" w:color="auto" w:fill="auto"/>
          </w:tcPr>
          <w:p w:rsidR="001B4D52" w:rsidRDefault="002815F0">
            <w:pPr>
              <w:rPr>
                <w:b/>
                <w:noProof/>
              </w:rPr>
            </w:pPr>
            <w:r>
              <w:rPr>
                <w:b/>
                <w:noProof/>
              </w:rPr>
              <w:t>Ukazovateľ</w:t>
            </w:r>
          </w:p>
        </w:tc>
        <w:tc>
          <w:tcPr>
            <w:tcW w:w="6520" w:type="dxa"/>
            <w:shd w:val="clear" w:color="auto" w:fill="auto"/>
          </w:tcPr>
          <w:p w:rsidR="001B4D52" w:rsidRDefault="002815F0">
            <w:pPr>
              <w:rPr>
                <w:b/>
                <w:bCs/>
                <w:noProof/>
              </w:rPr>
            </w:pPr>
            <w:r>
              <w:rPr>
                <w:noProof/>
              </w:rPr>
              <w:t xml:space="preserve">TLAC v prípade globálnych systémovo dôležitých </w:t>
            </w:r>
            <w:r>
              <w:rPr>
                <w:noProof/>
              </w:rPr>
              <w:t>inštitúcií</w:t>
            </w:r>
          </w:p>
        </w:tc>
      </w:tr>
      <w:tr w:rsidR="001B4D52">
        <w:tc>
          <w:tcPr>
            <w:tcW w:w="2127" w:type="dxa"/>
            <w:shd w:val="clear" w:color="auto" w:fill="auto"/>
          </w:tcPr>
          <w:p w:rsidR="001B4D52" w:rsidRDefault="002815F0">
            <w:pPr>
              <w:rPr>
                <w:b/>
                <w:noProof/>
              </w:rPr>
            </w:pPr>
            <w:r>
              <w:rPr>
                <w:b/>
                <w:noProof/>
              </w:rPr>
              <w:t>Cieľ</w:t>
            </w:r>
          </w:p>
        </w:tc>
        <w:tc>
          <w:tcPr>
            <w:tcW w:w="6520" w:type="dxa"/>
            <w:shd w:val="clear" w:color="auto" w:fill="auto"/>
          </w:tcPr>
          <w:p w:rsidR="001B4D52" w:rsidRDefault="002815F0">
            <w:pPr>
              <w:rPr>
                <w:bCs/>
                <w:noProof/>
              </w:rPr>
            </w:pPr>
            <w:r>
              <w:rPr>
                <w:noProof/>
              </w:rPr>
              <w:t>všetky globálne systémovo dôležité banky v EÚ spĺňajú daný cieľ [v roku 2019 na úrovni nad 16 % rizikovo vážených aktív (RWA)/6 % veľkosti expozície ukazovateľa finančnej páky (LREM), v roku 2022 na úrovni nad 18 % rizikovo vážených aktív/</w:t>
            </w:r>
            <w:r>
              <w:rPr>
                <w:noProof/>
              </w:rPr>
              <w:t>6,75 % veľkosti expozície ukazovateľa finančnej páky]</w:t>
            </w:r>
          </w:p>
        </w:tc>
      </w:tr>
      <w:tr w:rsidR="001B4D52">
        <w:tc>
          <w:tcPr>
            <w:tcW w:w="2127" w:type="dxa"/>
            <w:shd w:val="clear" w:color="auto" w:fill="auto"/>
          </w:tcPr>
          <w:p w:rsidR="001B4D52" w:rsidRDefault="002815F0">
            <w:pPr>
              <w:rPr>
                <w:b/>
                <w:noProof/>
              </w:rPr>
            </w:pPr>
            <w:r>
              <w:rPr>
                <w:b/>
                <w:noProof/>
              </w:rPr>
              <w:t>Zdroj údajov</w:t>
            </w:r>
          </w:p>
        </w:tc>
        <w:tc>
          <w:tcPr>
            <w:tcW w:w="6520" w:type="dxa"/>
            <w:shd w:val="clear" w:color="auto" w:fill="auto"/>
          </w:tcPr>
          <w:p w:rsidR="001B4D52" w:rsidRDefault="002815F0">
            <w:pPr>
              <w:rPr>
                <w:b/>
                <w:noProof/>
              </w:rPr>
            </w:pPr>
            <w:r>
              <w:rPr>
                <w:noProof/>
              </w:rPr>
              <w:t>polročné monitorovacie správy EBA na základe nariadenia Bazilej III</w:t>
            </w:r>
          </w:p>
        </w:tc>
      </w:tr>
    </w:tbl>
    <w:p w:rsidR="001B4D52" w:rsidRDefault="002815F0">
      <w:pPr>
        <w:rPr>
          <w:noProof/>
        </w:rPr>
      </w:pPr>
      <w:r>
        <w:rPr>
          <w:noProof/>
        </w:rPr>
        <w:t>V súvislosti s obchodnou knihou: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1B4D52">
        <w:tc>
          <w:tcPr>
            <w:tcW w:w="2127" w:type="dxa"/>
            <w:shd w:val="clear" w:color="auto" w:fill="auto"/>
          </w:tcPr>
          <w:p w:rsidR="001B4D52" w:rsidRDefault="002815F0">
            <w:pPr>
              <w:rPr>
                <w:b/>
                <w:noProof/>
              </w:rPr>
            </w:pPr>
            <w:r>
              <w:rPr>
                <w:b/>
                <w:noProof/>
              </w:rPr>
              <w:t>Ukazovateľ</w:t>
            </w:r>
          </w:p>
        </w:tc>
        <w:tc>
          <w:tcPr>
            <w:tcW w:w="6520" w:type="dxa"/>
            <w:shd w:val="clear" w:color="auto" w:fill="auto"/>
          </w:tcPr>
          <w:p w:rsidR="001B4D52" w:rsidRDefault="002815F0">
            <w:pPr>
              <w:rPr>
                <w:noProof/>
              </w:rPr>
            </w:pPr>
            <w:r>
              <w:rPr>
                <w:noProof/>
              </w:rPr>
              <w:t>rizikovo vážené aktíva vzťahujúce sa na trhové riziká pre inštitúcie v EÚ</w:t>
            </w:r>
          </w:p>
          <w:p w:rsidR="001B4D52" w:rsidRDefault="002815F0">
            <w:pPr>
              <w:rPr>
                <w:noProof/>
              </w:rPr>
            </w:pPr>
            <w:r>
              <w:rPr>
                <w:noProof/>
              </w:rPr>
              <w:t>Pozorovaná variabilita rizikovo vážených aktív v rámci agregovaných portfólií, v prípade ktorých sa uplatňuje prístup interných modelov</w:t>
            </w:r>
            <w:bookmarkStart w:id="4" w:name="_Toc461812472"/>
            <w:r>
              <w:rPr>
                <w:noProof/>
              </w:rPr>
              <w:t>.</w:t>
            </w:r>
          </w:p>
        </w:tc>
      </w:tr>
      <w:tr w:rsidR="001B4D52">
        <w:tc>
          <w:tcPr>
            <w:tcW w:w="2127" w:type="dxa"/>
            <w:shd w:val="clear" w:color="auto" w:fill="auto"/>
          </w:tcPr>
          <w:p w:rsidR="001B4D52" w:rsidRDefault="002815F0">
            <w:pPr>
              <w:rPr>
                <w:b/>
                <w:noProof/>
              </w:rPr>
            </w:pPr>
            <w:r>
              <w:rPr>
                <w:b/>
                <w:noProof/>
              </w:rPr>
              <w:t>Cieľ</w:t>
            </w:r>
          </w:p>
        </w:tc>
        <w:tc>
          <w:tcPr>
            <w:tcW w:w="6520" w:type="dxa"/>
            <w:shd w:val="clear" w:color="auto" w:fill="auto"/>
          </w:tcPr>
          <w:p w:rsidR="001B4D52" w:rsidRDefault="002815F0">
            <w:pPr>
              <w:rPr>
                <w:noProof/>
              </w:rPr>
            </w:pPr>
            <w:r>
              <w:rPr>
                <w:noProof/>
              </w:rPr>
              <w:t>– V roku</w:t>
            </w:r>
            <w:bookmarkEnd w:id="4"/>
            <w:r>
              <w:rPr>
                <w:noProof/>
              </w:rPr>
              <w:t xml:space="preserve"> 2023 všetky inštitúcie v EÚ spĺňajú požiadavky na vlastné zdroje vo vzťahu k trhovým rizikám, a to v súl</w:t>
            </w:r>
            <w:r>
              <w:rPr>
                <w:noProof/>
              </w:rPr>
              <w:t>ade s konečnou úpravou, ktorá sa prijala v EÚ.</w:t>
            </w:r>
          </w:p>
          <w:p w:rsidR="001B4D52" w:rsidRDefault="002815F0">
            <w:pPr>
              <w:rPr>
                <w:noProof/>
              </w:rPr>
            </w:pPr>
            <w:r>
              <w:rPr>
                <w:noProof/>
              </w:rPr>
              <w:t>– V roku 2021 je neopodstatnená variabilita (t. j. variabilita nespôsobená rozdielmi medzi podkladovými rizikami) výsledkov interných modelov medzi inštitúciami v EÚ nižšia ako súčasná variabilita</w:t>
            </w:r>
            <w:r>
              <w:rPr>
                <w:noProof/>
                <w:vertAlign w:val="superscript"/>
              </w:rPr>
              <w:t>*</w:t>
            </w:r>
            <w:r>
              <w:rPr>
                <w:noProof/>
              </w:rPr>
              <w:t xml:space="preserve"> interných m</w:t>
            </w:r>
            <w:r>
              <w:rPr>
                <w:noProof/>
              </w:rPr>
              <w:t>odelov medzi inštitúciami v EÚ.</w:t>
            </w:r>
          </w:p>
          <w:p w:rsidR="001B4D52" w:rsidRDefault="002815F0">
            <w:pPr>
              <w:rPr>
                <w:noProof/>
                <w:vertAlign w:val="superscript"/>
              </w:rPr>
            </w:pPr>
            <w:r>
              <w:rPr>
                <w:noProof/>
                <w:vertAlign w:val="superscript"/>
              </w:rPr>
              <w:t>_______________</w:t>
            </w:r>
          </w:p>
          <w:p w:rsidR="001B4D52" w:rsidRDefault="002815F0">
            <w:pPr>
              <w:rPr>
                <w:noProof/>
              </w:rPr>
            </w:pPr>
            <w:r>
              <w:rPr>
                <w:noProof/>
                <w:vertAlign w:val="superscript"/>
              </w:rPr>
              <w:t>*</w:t>
            </w:r>
            <w:r>
              <w:rPr>
                <w:noProof/>
              </w:rPr>
              <w:t xml:space="preserve"> Referenčné hodnoty pre „súčasnú variabilitu“ požiadaviek na hodnotu v riziku (VaR) a na dodatočné riziko (IRC) by mali byť tie, ktoré sa určili odhadom na základe najnovšej správy EBA o variabilite rizikovo</w:t>
            </w:r>
            <w:r>
              <w:rPr>
                <w:noProof/>
              </w:rPr>
              <w:t xml:space="preserve"> vážených aktív vo vzťahu k portfóliám s trhovým rizikom a vypočítali sa pre agregované portfóliá, pričom sa zverejnili pred nadobudnutím účinnosti nového rámca pre trhové riziko.</w:t>
            </w:r>
          </w:p>
        </w:tc>
      </w:tr>
      <w:tr w:rsidR="001B4D52">
        <w:tc>
          <w:tcPr>
            <w:tcW w:w="2127" w:type="dxa"/>
            <w:shd w:val="clear" w:color="auto" w:fill="auto"/>
          </w:tcPr>
          <w:p w:rsidR="001B4D52" w:rsidRDefault="002815F0">
            <w:pPr>
              <w:rPr>
                <w:b/>
                <w:noProof/>
              </w:rPr>
            </w:pPr>
            <w:r>
              <w:rPr>
                <w:b/>
                <w:noProof/>
              </w:rPr>
              <w:t>Zdroj údajov</w:t>
            </w:r>
          </w:p>
        </w:tc>
        <w:tc>
          <w:tcPr>
            <w:tcW w:w="6520" w:type="dxa"/>
            <w:shd w:val="clear" w:color="auto" w:fill="auto"/>
          </w:tcPr>
          <w:p w:rsidR="001B4D52" w:rsidRDefault="002815F0">
            <w:pPr>
              <w:rPr>
                <w:noProof/>
              </w:rPr>
            </w:pPr>
            <w:r>
              <w:rPr>
                <w:noProof/>
              </w:rPr>
              <w:t>polročné monitorovacie správy EBA na základe nariadenia Bazile</w:t>
            </w:r>
            <w:r>
              <w:rPr>
                <w:noProof/>
              </w:rPr>
              <w:t>j III</w:t>
            </w:r>
          </w:p>
          <w:p w:rsidR="001B4D52" w:rsidRDefault="002815F0">
            <w:pPr>
              <w:rPr>
                <w:noProof/>
              </w:rPr>
            </w:pPr>
            <w:r>
              <w:rPr>
                <w:noProof/>
              </w:rPr>
              <w:t>Správa EBA o variabilite rizikovo vážených aktív v prípade portfólií s trhovým rizikom. Nové hodnoty by sa mali vypočítať podľa rovnakej metodiky.</w:t>
            </w:r>
          </w:p>
        </w:tc>
      </w:tr>
    </w:tbl>
    <w:p w:rsidR="001B4D52" w:rsidRDefault="002815F0">
      <w:pPr>
        <w:rPr>
          <w:noProof/>
        </w:rPr>
      </w:pPr>
      <w:r>
        <w:rPr>
          <w:noProof/>
        </w:rPr>
        <w:t>V súvislosti s odmeňovaním: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1B4D52">
        <w:tc>
          <w:tcPr>
            <w:tcW w:w="2127" w:type="dxa"/>
            <w:shd w:val="clear" w:color="auto" w:fill="auto"/>
          </w:tcPr>
          <w:p w:rsidR="001B4D52" w:rsidRDefault="002815F0">
            <w:pPr>
              <w:rPr>
                <w:b/>
                <w:noProof/>
              </w:rPr>
            </w:pPr>
            <w:r>
              <w:rPr>
                <w:b/>
                <w:noProof/>
              </w:rPr>
              <w:t>Ukazovateľ</w:t>
            </w:r>
          </w:p>
        </w:tc>
        <w:tc>
          <w:tcPr>
            <w:tcW w:w="6520" w:type="dxa"/>
            <w:shd w:val="clear" w:color="auto" w:fill="auto"/>
          </w:tcPr>
          <w:p w:rsidR="001B4D52" w:rsidRDefault="002815F0">
            <w:pPr>
              <w:rPr>
                <w:noProof/>
              </w:rPr>
            </w:pPr>
            <w:r>
              <w:rPr>
                <w:noProof/>
              </w:rPr>
              <w:t xml:space="preserve">využívanie odkladu splatnosti a vyplácania vo forme nástrojov </w:t>
            </w:r>
            <w:r>
              <w:rPr>
                <w:noProof/>
              </w:rPr>
              <w:t>zo strany inštitúcií</w:t>
            </w:r>
          </w:p>
        </w:tc>
      </w:tr>
      <w:tr w:rsidR="001B4D52">
        <w:tc>
          <w:tcPr>
            <w:tcW w:w="2127" w:type="dxa"/>
            <w:shd w:val="clear" w:color="auto" w:fill="auto"/>
          </w:tcPr>
          <w:p w:rsidR="001B4D52" w:rsidRDefault="002815F0">
            <w:pPr>
              <w:rPr>
                <w:b/>
                <w:noProof/>
              </w:rPr>
            </w:pPr>
            <w:r>
              <w:rPr>
                <w:b/>
                <w:noProof/>
              </w:rPr>
              <w:t>Cieľ</w:t>
            </w:r>
          </w:p>
        </w:tc>
        <w:tc>
          <w:tcPr>
            <w:tcW w:w="6520" w:type="dxa"/>
            <w:shd w:val="clear" w:color="auto" w:fill="auto"/>
          </w:tcPr>
          <w:p w:rsidR="001B4D52" w:rsidRDefault="002815F0">
            <w:pPr>
              <w:rPr>
                <w:noProof/>
              </w:rPr>
            </w:pPr>
            <w:r>
              <w:rPr>
                <w:noProof/>
              </w:rPr>
              <w:t>99 % inštitúcií, ktoré nie sú malými a zložitými inštitúciami, v súlade s požiadavkami stanovenými v smernici o kapitálových požiadavkách odkladajú splatnosť minimálne 40 % pohyblivej zložky odmeňovania o tri až päť rokov a vyplá</w:t>
            </w:r>
            <w:r>
              <w:rPr>
                <w:noProof/>
              </w:rPr>
              <w:t>cajú najmenej 50 % pohyblivej zložky odmeňovania vo forme nástrojov v prípade svojich zamestnancov, ktorých pohyblivá zložka odmeňovania dosahuje významnú úroveň.</w:t>
            </w:r>
          </w:p>
        </w:tc>
      </w:tr>
      <w:tr w:rsidR="001B4D52">
        <w:tc>
          <w:tcPr>
            <w:tcW w:w="2127" w:type="dxa"/>
            <w:shd w:val="clear" w:color="auto" w:fill="auto"/>
          </w:tcPr>
          <w:p w:rsidR="001B4D52" w:rsidRDefault="002815F0">
            <w:pPr>
              <w:rPr>
                <w:b/>
                <w:noProof/>
              </w:rPr>
            </w:pPr>
            <w:r>
              <w:rPr>
                <w:b/>
                <w:noProof/>
              </w:rPr>
              <w:t>Zdroj údajov</w:t>
            </w:r>
          </w:p>
        </w:tc>
        <w:tc>
          <w:tcPr>
            <w:tcW w:w="6520" w:type="dxa"/>
            <w:shd w:val="clear" w:color="auto" w:fill="auto"/>
          </w:tcPr>
          <w:p w:rsidR="001B4D52" w:rsidRDefault="002815F0">
            <w:pPr>
              <w:rPr>
                <w:noProof/>
              </w:rPr>
            </w:pPr>
            <w:r>
              <w:rPr>
                <w:noProof/>
              </w:rPr>
              <w:t>správy EBA týkajúce sa referenčného porovnávania odmeňovania</w:t>
            </w:r>
          </w:p>
        </w:tc>
      </w:tr>
    </w:tbl>
    <w:p w:rsidR="001B4D52" w:rsidRDefault="002815F0">
      <w:pPr>
        <w:rPr>
          <w:noProof/>
        </w:rPr>
      </w:pPr>
      <w:r>
        <w:rPr>
          <w:noProof/>
        </w:rPr>
        <w:t>V súvislosti s pr</w:t>
      </w:r>
      <w:r>
        <w:rPr>
          <w:noProof/>
        </w:rPr>
        <w:t>oporcionalitou:</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1B4D52">
        <w:tc>
          <w:tcPr>
            <w:tcW w:w="2127" w:type="dxa"/>
            <w:shd w:val="clear" w:color="auto" w:fill="auto"/>
          </w:tcPr>
          <w:p w:rsidR="001B4D52" w:rsidRDefault="002815F0">
            <w:pPr>
              <w:rPr>
                <w:b/>
                <w:noProof/>
              </w:rPr>
            </w:pPr>
            <w:r>
              <w:rPr>
                <w:b/>
                <w:noProof/>
              </w:rPr>
              <w:t>Ukazovateľ</w:t>
            </w:r>
          </w:p>
        </w:tc>
        <w:tc>
          <w:tcPr>
            <w:tcW w:w="6520" w:type="dxa"/>
            <w:shd w:val="clear" w:color="auto" w:fill="auto"/>
          </w:tcPr>
          <w:p w:rsidR="001B4D52" w:rsidRDefault="002815F0">
            <w:pPr>
              <w:rPr>
                <w:noProof/>
              </w:rPr>
            </w:pPr>
            <w:r>
              <w:rPr>
                <w:noProof/>
              </w:rPr>
              <w:t>znížená záťaž v dôsledku predkladania správ a zverejňovania informácií</w:t>
            </w:r>
          </w:p>
        </w:tc>
      </w:tr>
      <w:tr w:rsidR="001B4D52">
        <w:tc>
          <w:tcPr>
            <w:tcW w:w="2127" w:type="dxa"/>
            <w:shd w:val="clear" w:color="auto" w:fill="auto"/>
          </w:tcPr>
          <w:p w:rsidR="001B4D52" w:rsidRDefault="002815F0">
            <w:pPr>
              <w:rPr>
                <w:b/>
                <w:noProof/>
              </w:rPr>
            </w:pPr>
            <w:r>
              <w:rPr>
                <w:b/>
                <w:noProof/>
              </w:rPr>
              <w:t>Cieľ</w:t>
            </w:r>
          </w:p>
        </w:tc>
        <w:tc>
          <w:tcPr>
            <w:tcW w:w="6520" w:type="dxa"/>
            <w:shd w:val="clear" w:color="auto" w:fill="auto"/>
          </w:tcPr>
          <w:p w:rsidR="001B4D52" w:rsidRDefault="002815F0">
            <w:pPr>
              <w:rPr>
                <w:noProof/>
              </w:rPr>
            </w:pPr>
            <w:r>
              <w:rPr>
                <w:noProof/>
              </w:rPr>
              <w:t>80 % menších a menej zložitých inštitúcií ohlásia, že sa záťaž znížila</w:t>
            </w:r>
          </w:p>
        </w:tc>
      </w:tr>
      <w:tr w:rsidR="001B4D52">
        <w:tc>
          <w:tcPr>
            <w:tcW w:w="2127" w:type="dxa"/>
            <w:shd w:val="clear" w:color="auto" w:fill="auto"/>
          </w:tcPr>
          <w:p w:rsidR="001B4D52" w:rsidRDefault="002815F0">
            <w:pPr>
              <w:rPr>
                <w:b/>
                <w:noProof/>
              </w:rPr>
            </w:pPr>
            <w:r>
              <w:rPr>
                <w:b/>
                <w:noProof/>
              </w:rPr>
              <w:t>Zdroj údajov</w:t>
            </w:r>
          </w:p>
        </w:tc>
        <w:tc>
          <w:tcPr>
            <w:tcW w:w="6520" w:type="dxa"/>
            <w:shd w:val="clear" w:color="auto" w:fill="auto"/>
          </w:tcPr>
          <w:p w:rsidR="001B4D52" w:rsidRDefault="002815F0">
            <w:pPr>
              <w:rPr>
                <w:noProof/>
              </w:rPr>
            </w:pPr>
            <w:r>
              <w:rPr>
                <w:noProof/>
              </w:rPr>
              <w:t>prieskum, ktorý má pripraviť a vykonať EBA do rokov 2022 a 2023</w:t>
            </w:r>
          </w:p>
        </w:tc>
      </w:tr>
    </w:tbl>
    <w:p w:rsidR="001B4D52" w:rsidRDefault="002815F0">
      <w:pPr>
        <w:rPr>
          <w:noProof/>
        </w:rPr>
      </w:pPr>
      <w:r>
        <w:rPr>
          <w:noProof/>
        </w:rPr>
        <w:t xml:space="preserve">K </w:t>
      </w:r>
      <w:r>
        <w:rPr>
          <w:noProof/>
        </w:rPr>
        <w:t>hodnoteniu vplyvov tohto návrhu sa pristúpi päť rokov po dátume začatia uplatňovania navrhnutých opatrení na základe metodiky, ktorá sa dohodne s EBA krátko po ich prijatí. EBA sa poverí úlohou definovať a zhromaždiť údaje potrebné na monitorovanie uvedený</w:t>
      </w:r>
      <w:r>
        <w:rPr>
          <w:noProof/>
        </w:rPr>
        <w:t>ch ukazovateľov, ako aj iných ukazovateľov potrebných na hodnotenie zmeneného nariadenia o kapitálových požiadavkách a zmenenej smernice o kapitálových požiadavkách. Metodika by sa mohla vytvoriť pre jednotlivé možnosti alebo súbor vzájomne prepojených mož</w:t>
      </w:r>
      <w:r>
        <w:rPr>
          <w:noProof/>
        </w:rPr>
        <w:t>ností podľa daných okolností, a to pred začatím hodnotenia a v závislosti od výstupu ukazovateľov pre monitorovanie.</w:t>
      </w:r>
    </w:p>
    <w:p w:rsidR="001B4D52" w:rsidRDefault="002815F0">
      <w:pPr>
        <w:rPr>
          <w:rFonts w:eastAsia="Arial Unicode MS"/>
          <w:noProof/>
        </w:rPr>
      </w:pPr>
      <w:r>
        <w:rPr>
          <w:noProof/>
        </w:rPr>
        <w:t>Dodržiavanie a presadzovanie sa v prípade potreby zabezpečí priebežne tým, že Komisia začne konanie o porušení povinnosti z dôvodu neuskuto</w:t>
      </w:r>
      <w:r>
        <w:rPr>
          <w:noProof/>
        </w:rPr>
        <w:t>čnenia transpozície alebo z dôvodu nesprávnej transpozície či uplatňovania legislatívnych opatrení. Porušenia práva Únie možno hlásiť prostredníctvom európskeho systému finančného dohľadu (ESFS) vrátane vnútroštátnych príslušných orgánov a EBA, ako aj pros</w:t>
      </w:r>
      <w:r>
        <w:rPr>
          <w:noProof/>
        </w:rPr>
        <w:t>tredníctvom ECB. EBA bude tiež naďalej vydávať svoje pravidelné správy o bankovom systéme EÚ v rámci monitorovania na základe nariadenia Bazilej III. V rámci tohto postupu sa monitoruje vplyv požiadaviek podľa nariadenia Bazilej III (vykonaných prostredníc</w:t>
      </w:r>
      <w:r>
        <w:rPr>
          <w:noProof/>
        </w:rPr>
        <w:t>tvom nariadenia o kapitálových požiadavkách a smernice o kapitálových požiadavkách) na inštitúcie v EÚ, najmä pokiaľ ide o ukazovatele kapitálu inštitúcií (založené na riziku alebo nezaložené na riziku) a ukazovatele likvidity (LCR, NSFR). Prebieha súbežne</w:t>
      </w:r>
      <w:r>
        <w:rPr>
          <w:noProof/>
        </w:rPr>
        <w:t xml:space="preserve"> s monitorovaním uskutočňovaním zo strany BCBS.</w:t>
      </w:r>
    </w:p>
    <w:p w:rsidR="001B4D52" w:rsidRDefault="002815F0">
      <w:pPr>
        <w:pStyle w:val="ManualHeading2"/>
        <w:rPr>
          <w:rFonts w:eastAsia="Arial Unicode MS"/>
          <w:noProof/>
          <w:u w:color="000000"/>
          <w:bdr w:val="nil"/>
        </w:rPr>
      </w:pPr>
      <w:r>
        <w:rPr>
          <w:noProof/>
        </w:rPr>
        <w:t>•</w:t>
      </w:r>
      <w:r>
        <w:rPr>
          <w:noProof/>
        </w:rPr>
        <w:tab/>
        <w:t>Podrobné vysvetlenie konkrétnych ustanovení návrhu</w:t>
      </w:r>
    </w:p>
    <w:p w:rsidR="001B4D52" w:rsidRDefault="002815F0">
      <w:pPr>
        <w:pStyle w:val="ManualHeading1"/>
        <w:rPr>
          <w:noProof/>
        </w:rPr>
      </w:pPr>
      <w:r>
        <w:rPr>
          <w:noProof/>
        </w:rPr>
        <w:t>Oslobodené subjekty</w:t>
      </w:r>
    </w:p>
    <w:p w:rsidR="001B4D52" w:rsidRDefault="002815F0">
      <w:pPr>
        <w:rPr>
          <w:noProof/>
        </w:rPr>
      </w:pPr>
      <w:r>
        <w:rPr>
          <w:noProof/>
        </w:rPr>
        <w:t xml:space="preserve">Článok 2 ods. 5 smernice o kapitálových požiadavkách sa mení tak, že sa dopĺňajú inštitúcie v Chorvátsku, ktoré sa vyňali z pôsobnosti </w:t>
      </w:r>
      <w:r>
        <w:rPr>
          <w:noProof/>
        </w:rPr>
        <w:t>smernice o kapitálových požiadavkách a nariadenia o kapitálových požiadavkách na základe zmluvy o pristúpení.</w:t>
      </w:r>
    </w:p>
    <w:p w:rsidR="001B4D52" w:rsidRDefault="002815F0">
      <w:pPr>
        <w:rPr>
          <w:noProof/>
        </w:rPr>
      </w:pPr>
      <w:r>
        <w:rPr>
          <w:noProof/>
        </w:rPr>
        <w:t>Z regulačného rámca, ktorí tvorí smernica o kapitálových požiadavkách a nariadenie o kapitálových požiadavkách, sa už vyňali verejné rozvojové ban</w:t>
      </w:r>
      <w:r>
        <w:rPr>
          <w:noProof/>
        </w:rPr>
        <w:t>ky a úverové družstvá v určitých členských štátoch. Na zabezpečenie rovnakých podmienok by mali mať všetky členské štáty možnosť, aby uvedeným druhom subjektov umožnili pôsobiť len za predpokladu, že sa uplatnia vnútroštátne regulačné záruky úmerné rizikám</w:t>
      </w:r>
      <w:r>
        <w:rPr>
          <w:noProof/>
        </w:rPr>
        <w:t>, ktoré sú s nimi spojené. Na tento účel sa Komisia vo svojom akčnom pláne na vybudovanie únie kapitálových trhov z 30. septembra 2015 zaviazala, že preskúma možnosť vzťahujúcu sa na všetky členské štáty, ktorá by spočívala v udelení povolenia úverovým dru</w:t>
      </w:r>
      <w:r>
        <w:rPr>
          <w:noProof/>
        </w:rPr>
        <w:t>žstvám, ktoré by pôsobili mimo rámca EÚ tvoreného kapitálovými požiadavkami pre banky. V súlade s týmito záväzkami a na žiadosť Holandska sa do zoznamu inštitúcií v článku 2 ods. 5 smernice o kapitálových požiadavkách zaradili aj úverové družstvá v Holands</w:t>
      </w:r>
      <w:r>
        <w:rPr>
          <w:noProof/>
        </w:rPr>
        <w:t>ku. Navyše, s cieľom uľahčiť vyňatie inštitúcií v iných členských štátoch podobných inštitúciám, ktoré sa už v zozname nachádzajú, spod regulačného rámca tvoreného smernicou o kapitálových požiadavkách a nariadením o kapitálových požiadavkách, sa do článku</w:t>
      </w:r>
      <w:r>
        <w:rPr>
          <w:noProof/>
        </w:rPr>
        <w:t xml:space="preserve"> 2 smernice o kapitálových požiadavkách doplnili odseky 5a a 5b. V týchto ustanoveniach sa Komisia splnomocňuje vyňať konkrétne inštitúcie alebo kategórie inštitúcií z rozsahu pôsobnosti smernice o kapitálových požiadavkách, pokiaľ spĺňajú jasne vymedzené </w:t>
      </w:r>
      <w:r>
        <w:rPr>
          <w:noProof/>
        </w:rPr>
        <w:t>kritériá. Takéto nové výnimky možno uplatniť len po individuálnom posúdení každého prípadu v prípade bánk typu verejných rozvojových bánk alebo v prípade celého odvetvia úverových družstiev určitého členského štátu.</w:t>
      </w:r>
    </w:p>
    <w:p w:rsidR="001B4D52" w:rsidRDefault="002815F0">
      <w:pPr>
        <w:rPr>
          <w:noProof/>
        </w:rPr>
      </w:pPr>
      <w:r>
        <w:rPr>
          <w:noProof/>
        </w:rPr>
        <w:t>Článok 9 ods. 2 sa mení v snahe lepšie v</w:t>
      </w:r>
      <w:r>
        <w:rPr>
          <w:noProof/>
        </w:rPr>
        <w:t>ymedziť výnimky zo zákazu podnikania v oblasti prijímania vkladov a iných návratných zdrojov od verejnosti pre osoby alebo podniky, ktoré nie sú úverovými inštitúciami. Objasňuje sa, že zákaz sa nevzťahuje na osoby alebo podniky, v prípade ktorých sa na za</w:t>
      </w:r>
      <w:r>
        <w:rPr>
          <w:noProof/>
        </w:rPr>
        <w:t xml:space="preserve">čatie a uskutočňovanie podnikania uplatní iný právny predpis Únie, ako je smernica o kapitálových požiadavkách, a to v rozsahu, v akom ich činnosti, na ktoré sa vzťahuje takýto iný právny predpis Únie, možno kvalifikovať ako prijímanie vkladov alebo iných </w:t>
      </w:r>
      <w:r>
        <w:rPr>
          <w:noProof/>
        </w:rPr>
        <w:t>návratných zdrojov od verejnosti. To by nemalo brániť tomu, aby sa vyžadovalo udelenie povolenia danému subjektu tak podľa smernice o kapitálových požiadavkách, ako aj podľa uvedeného iného právneho predpisu Únie. Okrem toho sa objasňuje, že len subjekty u</w:t>
      </w:r>
      <w:r>
        <w:rPr>
          <w:noProof/>
        </w:rPr>
        <w:t>vedené v článku 2 ods. 5 smernice o kapitálových požiadavkách sú vyňaté zo zákazu podľa článku 9 ods. 1 smernice o kapitálových požiadavkách, a to z dôvodu, že sa na ne vzťahujú konkrétne vnútroštátne právne rámce, čím sa odstraňuje nejednoznačnosť súčasné</w:t>
      </w:r>
      <w:r>
        <w:rPr>
          <w:noProof/>
        </w:rPr>
        <w:t>ho znenia.</w:t>
      </w:r>
    </w:p>
    <w:p w:rsidR="001B4D52" w:rsidRDefault="002815F0">
      <w:pPr>
        <w:pStyle w:val="ManualHeading1"/>
        <w:rPr>
          <w:noProof/>
        </w:rPr>
      </w:pPr>
      <w:r>
        <w:rPr>
          <w:noProof/>
        </w:rPr>
        <w:t>Kapitálové požiadavky a usmernenie v rámci piliera 2</w:t>
      </w:r>
    </w:p>
    <w:p w:rsidR="001B4D52" w:rsidRDefault="002815F0">
      <w:pPr>
        <w:rPr>
          <w:noProof/>
        </w:rPr>
      </w:pPr>
      <w:r>
        <w:rPr>
          <w:noProof/>
        </w:rPr>
        <w:t>Súčasné znenie pravidiel týkajúcich sa dodatočných kapitálových požiadaviek stanovených príslušnými orgánmi podľa článku 104 pripúšťa rôzne výklady prípadov, v ktorých možno uložiť uvedené pož</w:t>
      </w:r>
      <w:r>
        <w:rPr>
          <w:noProof/>
        </w:rPr>
        <w:t>iadavky, ako aj vzťahu medzi týmito požiadavkami a minimálnymi kapitálovými požiadavkami stanovenými v článku 92 nariadenia o kapitálových požiadavkách a požiadavkou na kombinovaný vankúš (článok 128). Dôsledkom týchto rozdielnych výkladov je skutočnosť, ž</w:t>
      </w:r>
      <w:r>
        <w:rPr>
          <w:noProof/>
        </w:rPr>
        <w:t>e sa pre jednotlivé inštitúcie v rôznych členských štátoch uložili výrazne odlišné sumy kapitálu, ako aj rozdielne spúšťacie kritériá pre obmedzenia týkajúce sa rozdeľovania, ktoré sa stanovujú v článku 141. Navyše, v súčasnom znení sa vôbec neupravuje mož</w:t>
      </w:r>
      <w:r>
        <w:rPr>
          <w:noProof/>
        </w:rPr>
        <w:t>nosť príslušných orgánov informovať o svojich očakávaniach, pokiaľ ide o povinnosť inštitúcií mať vlastné zdroje nad rámec minimálnych kapitálových požiadaviek, dodatočné požiadavky na vlastné zdroje a požiadavku na kombinovaný vankúš. V zmenenom článku 10</w:t>
      </w:r>
      <w:r>
        <w:rPr>
          <w:noProof/>
        </w:rPr>
        <w:t>4 sa stanovuje možnosť uložiť dodatočné požiadavky na vlastné zdroje, a to popri iných právomociach príslušných orgánov. V novom článku 104a sa objasňujú podmienky pre stanovenie dodatočných požiadaviek na vlastné zdroje a zdôrazňuje sa v ňom povaha týchto</w:t>
      </w:r>
      <w:r>
        <w:rPr>
          <w:noProof/>
        </w:rPr>
        <w:t xml:space="preserve"> požiadaviek, ktoré sú špecifické pre každú inštitúciu. Dopĺňa sa nový článok 104b, v ktorom sa vymenúvajú hlavné črty kapitálového usmernenia, a mení sa článok 113, podľa ktorého by sa kapitálové usmernenie malo riešiť v rámci kolégií orgánov dohľadu. Vkl</w:t>
      </w:r>
      <w:r>
        <w:rPr>
          <w:noProof/>
        </w:rPr>
        <w:t>adá sa nový článok 141a, ktorým sa s cieľom obmedziť rozdeľovanie jasnejšie vymedzuje poradie medzi dodatočnými požiadavkami na vlastné zdroje, požiadavkami na minimálne vlastné zdroje, požiadavkou na vlastné zdroje a oprávnené záväzky, minimálnou požiadav</w:t>
      </w:r>
      <w:r>
        <w:rPr>
          <w:noProof/>
        </w:rPr>
        <w:t>kou na vlastné zdroje a oprávnené záväzky a požiadavkou na kombinovaný vankúš (ďalej len „určené poradie medzi príslušnými požiadavkami“). Napokon sa mení článok 141 s cieľom zohľadniť určené poradie medzi príslušnými požiadavkami pri výpočte maximálnej ro</w:t>
      </w:r>
      <w:r>
        <w:rPr>
          <w:noProof/>
        </w:rPr>
        <w:t>zdeliteľnej sumy.</w:t>
      </w:r>
    </w:p>
    <w:p w:rsidR="001B4D52" w:rsidRDefault="002815F0">
      <w:pPr>
        <w:pStyle w:val="ManualHeading1"/>
        <w:rPr>
          <w:noProof/>
          <w:szCs w:val="24"/>
        </w:rPr>
      </w:pPr>
      <w:r>
        <w:rPr>
          <w:noProof/>
        </w:rPr>
        <w:t>Predkladanie správ a zverejňovanie informácií v rámci piliera 2</w:t>
      </w:r>
    </w:p>
    <w:p w:rsidR="001B4D52" w:rsidRDefault="002815F0">
      <w:pPr>
        <w:rPr>
          <w:noProof/>
        </w:rPr>
      </w:pPr>
      <w:r>
        <w:rPr>
          <w:noProof/>
        </w:rPr>
        <w:t>Na zníženie administratívnej záťaže a na zabezpečenie primeranejšieho režimu predkladania správ a zverejnenia informácií v rámci piliera 2 sa návrhom mení článok 104 ods. 1 s</w:t>
      </w:r>
      <w:r>
        <w:rPr>
          <w:noProof/>
        </w:rPr>
        <w:t>mernice o kapitálových požiadavkách, a to s cieľom obmedziť voľnosť príslušných orgánov pri ukladaní dodatočných povinností inštitúciám, pokiaľ ide o predkladanie správ a zverejňovanie informácií. Príslušné orgány budú oprávnené využívať tieto právomoci do</w:t>
      </w:r>
      <w:r>
        <w:rPr>
          <w:noProof/>
        </w:rPr>
        <w:t>hľadu len v prípade, že sa naplní niektorý z dôvodov stanovených v novom článku 104 ods. 2.</w:t>
      </w:r>
    </w:p>
    <w:p w:rsidR="001B4D52" w:rsidRDefault="002815F0">
      <w:pPr>
        <w:pStyle w:val="ManualHeading1"/>
        <w:rPr>
          <w:noProof/>
        </w:rPr>
      </w:pPr>
      <w:r>
        <w:rPr>
          <w:noProof/>
        </w:rPr>
        <w:t>Obmedzenie postupu preskúmania a hodnotenia orgánmi dohľadu a piliera 2 na mikroprudenciálne účely</w:t>
      </w:r>
    </w:p>
    <w:p w:rsidR="001B4D52" w:rsidRDefault="002815F0">
      <w:pPr>
        <w:rPr>
          <w:noProof/>
        </w:rPr>
      </w:pPr>
      <w:r>
        <w:rPr>
          <w:noProof/>
        </w:rPr>
        <w:t xml:space="preserve">Nedávna skúsenosť ukázala, že by bolo vhodné jasnejšie vymedziť </w:t>
      </w:r>
      <w:r>
        <w:rPr>
          <w:noProof/>
        </w:rPr>
        <w:t>oblasti zodpovednosti medzi príslušnými a určenými orgánmi. To platí najmä pre postup preskúmania a hodnotenia orgánmi dohľadu a zodpovedajúce požiadavky dohľadu. Za daný postup preskúmania a hodnotenia orgánmi dohľadu a za uloženie príslušných požiadaviek</w:t>
      </w:r>
      <w:r>
        <w:rPr>
          <w:noProof/>
        </w:rPr>
        <w:t xml:space="preserve"> dohľadu, ktoré sú špecifické pre každú inštitúciu (tzv. požiadavky piliera 2), zodpovedajú príslušné orgány. V tejto súvislosti môžu tiež zhodnotiť systémové riziko, ktoré konkrétna inštitúcia predstavuje, a môžu takéto riziko riešiť tým, že tejto inštitú</w:t>
      </w:r>
      <w:r>
        <w:rPr>
          <w:noProof/>
        </w:rPr>
        <w:t>cii uložia požiadavky dohľadu. Uplatnenie opatrení piliera 2 môže v tejto súvislosti narušiť účinnosť a efektívnosť iných makroprudenciálnych nástrojov. V tomto kontexte sa v návrhu ustanovuje, že postup preskúmania a hodnotenia orgánmi dohľadu a príslušné</w:t>
      </w:r>
      <w:r>
        <w:rPr>
          <w:noProof/>
        </w:rPr>
        <w:t xml:space="preserve"> požiadavky dohľadu by sa mali obmedziť len na mikroprudenciálny rozmer. Články 97, 98, 99 a 105 sa zodpovedajúcim spôsobom menia. Článok 103 sa vypúšťa, pričom v novom článku 104a ods. 1 sa objasňuje, že dodatočné požiadavky na vlastné zdroje uvedené v čl</w:t>
      </w:r>
      <w:r>
        <w:rPr>
          <w:noProof/>
        </w:rPr>
        <w:t>ánku 104 písm. a) sa nesmú uložiť na účely krytia makroprudenciálneho alebo systémového rizika.</w:t>
      </w:r>
    </w:p>
    <w:p w:rsidR="001B4D52" w:rsidRDefault="002815F0">
      <w:pPr>
        <w:pStyle w:val="ManualHeading1"/>
        <w:rPr>
          <w:noProof/>
        </w:rPr>
      </w:pPr>
      <w:r>
        <w:rPr>
          <w:noProof/>
        </w:rPr>
        <w:t>Zavedenie modifikovaného rámca pre úrokové riziko</w:t>
      </w:r>
    </w:p>
    <w:p w:rsidR="001B4D52" w:rsidRDefault="002815F0">
      <w:pPr>
        <w:rPr>
          <w:noProof/>
        </w:rPr>
      </w:pPr>
      <w:r>
        <w:rPr>
          <w:noProof/>
        </w:rPr>
        <w:t xml:space="preserve">V nadväznosti na vývoj na medzinárodnej úrovni v súvislosti s meraním úrokových rizík sa menia články 84 a 98 </w:t>
      </w:r>
      <w:r>
        <w:rPr>
          <w:noProof/>
        </w:rPr>
        <w:t>tejto smernice a článok 448 nariadenia o kapitálových požiadavkách, a to s cieľom zaviesť revidovaný rámec pre zachytávanie úrokových rizík vzťahujúcich sa na pozície v bankovej knihe. Medzi zmeny patrí zavedenie spoločného štandardizovaného prístupu, ktor</w:t>
      </w:r>
      <w:r>
        <w:rPr>
          <w:noProof/>
        </w:rPr>
        <w:t>ý môžu inštitúcie použiť na zachytávanie týchto rizík alebo ktorého použitie môžu od inštitúcie príslušné orgány požadovať v prípade, že systémy vytvorené inštitúciou na zachytávanie týchto rizík nie sú uspokojivé, ako aj zavedenie zlepšeného testu na odľa</w:t>
      </w:r>
      <w:r>
        <w:rPr>
          <w:noProof/>
        </w:rPr>
        <w:t xml:space="preserve">hlé hodnoty a požiadaviek na zverejnenie informácií. Okrem toho sa EBA v článku 84 smernice o kapitálových požiadavkách poveruje, aby vypracoval podrobnosti štandardizovanej metodiky vo vzťahu ku kritériám a podmienkam, ktoré by inštitúcie mali dodržiavať </w:t>
      </w:r>
      <w:r>
        <w:rPr>
          <w:noProof/>
        </w:rPr>
        <w:t>na účely identifikácie, hodnotenia, riadenia a zmierňovania úrokových rizík. V článku 98 smernice o kapitálových požiadavkách sa EBA takisto poveruje, aby vymedzil šesť šokových scenárov dohľadu, ktoré sa uplatňujú na úrokové sadzby, a spoločný predpoklad,</w:t>
      </w:r>
      <w:r>
        <w:rPr>
          <w:noProof/>
        </w:rPr>
        <w:t xml:space="preserve"> ktorý majú inštitúcie zohľadniť na účely testu na odľahlé hodnoty.</w:t>
      </w:r>
    </w:p>
    <w:p w:rsidR="001B4D52" w:rsidRDefault="002815F0">
      <w:pPr>
        <w:pStyle w:val="ManualHeading1"/>
        <w:rPr>
          <w:noProof/>
        </w:rPr>
      </w:pPr>
      <w:r>
        <w:rPr>
          <w:noProof/>
        </w:rPr>
        <w:t>Finančné holdingové spoločnosti, zmiešané finančné holdingové spoločnosti</w:t>
      </w:r>
    </w:p>
    <w:p w:rsidR="001B4D52" w:rsidRDefault="002815F0">
      <w:pPr>
        <w:pBdr>
          <w:top w:val="nil"/>
          <w:left w:val="nil"/>
          <w:bottom w:val="nil"/>
          <w:right w:val="nil"/>
          <w:between w:val="nil"/>
          <w:bar w:val="nil"/>
        </w:pBdr>
        <w:spacing w:after="240"/>
        <w:rPr>
          <w:noProof/>
        </w:rPr>
      </w:pPr>
      <w:r>
        <w:rPr>
          <w:noProof/>
        </w:rPr>
        <w:t>S cieľom priamo zahrnúť do rozsahu pôsobnosti prudenciálneho rámca EÚ finančné holdingové spoločnosti a zmiešané f</w:t>
      </w:r>
      <w:r>
        <w:rPr>
          <w:noProof/>
        </w:rPr>
        <w:t xml:space="preserve">inančné holdingové spoločnosti sa do smernice o kapitálových požiadavkách a do nariadenia o kapitálových požiadavkách vkladajú nové ustanovenia a upravuje sa v nich niekoľko článkov. Zavádza sa požiadavka na udelenie povolenia spolu s priamymi právomocami </w:t>
      </w:r>
      <w:r>
        <w:rPr>
          <w:noProof/>
        </w:rPr>
        <w:t>dohľadu nad finančnými holdingovými spoločnosťami a zmiešanými finančnými holdingovými spoločnosťami (článok 21a smernice o kapitálových požiadavkách). Článok 11 nariadenia o kapitálových požiadavkách sa mení v snahe objasniť, že v prípade uplatnenia požia</w:t>
      </w:r>
      <w:r>
        <w:rPr>
          <w:noProof/>
        </w:rPr>
        <w:t>daviek na konsolidovanom základe na úrovni takýchto holdingových spoločností bude za ich dodržanie priamo zodpovedná holdingová spoločnosť a nie inštitúcie, ktoré sú dcérskymi spoločnosťami takýchto holdingových spoločností. V snahe zohľadniť priamu zodpov</w:t>
      </w:r>
      <w:r>
        <w:rPr>
          <w:noProof/>
        </w:rPr>
        <w:t>ednosť finančných holdingových spoločností alebo zmiešaných finančných holdingových spoločností sa upravujú články 13 a 18 nariadenia o kapitálových požiadavkách.</w:t>
      </w:r>
    </w:p>
    <w:p w:rsidR="001B4D52" w:rsidRDefault="002815F0">
      <w:pPr>
        <w:pStyle w:val="ManualHeading1"/>
        <w:rPr>
          <w:noProof/>
        </w:rPr>
      </w:pPr>
      <w:r>
        <w:rPr>
          <w:noProof/>
        </w:rPr>
        <w:t>Materská spoločnosť v EÚ na medzistupni</w:t>
      </w:r>
    </w:p>
    <w:p w:rsidR="001B4D52" w:rsidRDefault="002815F0">
      <w:pPr>
        <w:rPr>
          <w:noProof/>
        </w:rPr>
      </w:pPr>
      <w:r>
        <w:rPr>
          <w:noProof/>
        </w:rPr>
        <w:t>Na účely uľahčenia implementácie medzinárodne dohodnu</w:t>
      </w:r>
      <w:r>
        <w:rPr>
          <w:noProof/>
        </w:rPr>
        <w:t>tých noriem týkajúcich sa internej kapacity na absorpciu strát pre globálne systémovo dôležité inštitúcie z krajín mimo EÚ do práva Únie a, v širšom ponímaní, na účely zjednodušenia a posilnenia postupu riešenia krízových situácií skupín z tretích krajín s</w:t>
      </w:r>
      <w:r>
        <w:rPr>
          <w:noProof/>
        </w:rPr>
        <w:t xml:space="preserve"> významnými aktivitami v EÚ sa článkom 21b smernice o kapitálových požiadavkách zavádza nová požiadavka na založenie materskej spoločnosti v EÚ na medzistupni v prípade, že dve alebo viac materských spoločností usadených v EÚ majú rovnakú konečnú materskú </w:t>
      </w:r>
      <w:r>
        <w:rPr>
          <w:noProof/>
        </w:rPr>
        <w:t>spoločnosť v tretej krajine. Materská spoločnosť v EÚ na medzistupni môže byť buď holdingovou spoločnosťou, na ktorú sa vzťahujú požiadavky podľa nariadenia o kapitálových požiadavkách a smernice o kapitálových požiadavkách, alebo inštitúciou v EÚ. Daná po</w:t>
      </w:r>
      <w:r>
        <w:rPr>
          <w:noProof/>
        </w:rPr>
        <w:t>žiadavka sa bude vzťahovať len na skupiny z tretích krajín, ktoré budú identifikované ako globálne systémovo dôležité inštitúcie z krajín mimo EÚ alebo ktorým patria na území EÚ subjekty s celkovými aktívami v sume najmenej 30 miliárd EUR (pri výpočte sa z</w:t>
      </w:r>
      <w:r>
        <w:rPr>
          <w:noProof/>
        </w:rPr>
        <w:t>ohľadnia aktíva dcérskych spoločností i aktíva pobočiek týchto skupín z tretích krajín).</w:t>
      </w:r>
    </w:p>
    <w:p w:rsidR="001B4D52" w:rsidRDefault="002815F0">
      <w:pPr>
        <w:pStyle w:val="ManualHeading1"/>
        <w:rPr>
          <w:noProof/>
        </w:rPr>
      </w:pPr>
      <w:r>
        <w:rPr>
          <w:noProof/>
        </w:rPr>
        <w:t>Odmeňovanie</w:t>
      </w:r>
    </w:p>
    <w:p w:rsidR="001B4D52" w:rsidRDefault="002815F0">
      <w:pPr>
        <w:pBdr>
          <w:top w:val="nil"/>
          <w:left w:val="nil"/>
          <w:bottom w:val="nil"/>
          <w:right w:val="nil"/>
          <w:between w:val="nil"/>
          <w:bar w:val="nil"/>
        </w:pBdr>
        <w:spacing w:after="240"/>
        <w:rPr>
          <w:noProof/>
        </w:rPr>
      </w:pPr>
      <w:r>
        <w:rPr>
          <w:noProof/>
        </w:rPr>
        <w:t xml:space="preserve">V súlade s požiadavkou podľa článku 161 ods. 2 smernice o kapitálových požiadavkách Komisia preskúmala efektívnosť, vykonávanie a presadzovanie ustanovení </w:t>
      </w:r>
      <w:r>
        <w:rPr>
          <w:noProof/>
        </w:rPr>
        <w:t>smernice o kapitálových požiadavkách týkajúcich sa odmeňovania. Zistenia vyplývajúce z tohto preskúmania, zohľadnené v správe Komisie COM(2016) 510, boli celkovo pozitívne.</w:t>
      </w:r>
    </w:p>
    <w:p w:rsidR="001B4D52" w:rsidRDefault="002815F0">
      <w:pPr>
        <w:pBdr>
          <w:top w:val="nil"/>
          <w:left w:val="nil"/>
          <w:bottom w:val="nil"/>
          <w:right w:val="nil"/>
          <w:between w:val="nil"/>
          <w:bar w:val="nil"/>
        </w:pBdr>
        <w:spacing w:after="240"/>
        <w:rPr>
          <w:noProof/>
          <w:szCs w:val="24"/>
        </w:rPr>
      </w:pPr>
      <w:r>
        <w:rPr>
          <w:noProof/>
        </w:rPr>
        <w:t xml:space="preserve">Z preskúmania však vyplynulo, že niektoré pravidlá, konkrétne pravidlá týkajúce sa </w:t>
      </w:r>
      <w:r>
        <w:rPr>
          <w:noProof/>
        </w:rPr>
        <w:t>odkladu splatnosti a vyplácania v rámci nástrojov, nie sú účinné v prípade najmenších a najmenej zložitých inštitúcií a v prípade zamestnancov s nízkou pohyblivou zložkou odmeňovania. Okrem toho z preskúmania vyplynulo, že proporcionalita vo vzťahu k najme</w:t>
      </w:r>
      <w:r>
        <w:rPr>
          <w:noProof/>
        </w:rPr>
        <w:t xml:space="preserve">nším a najmenej zložitým inštitúciám v zmysle článku 92 ods. 2 smernice o kapitálových požiadavkách sa vykladala rôznymi spôsobmi, čo viedlo k nerovnakému vykonávaniu pravidiel v členských štátoch. Navrhuje sa preto cielená zmena s cieľom riešiť problémy, </w:t>
      </w:r>
      <w:r>
        <w:rPr>
          <w:noProof/>
        </w:rPr>
        <w:t xml:space="preserve">ku ktorým dochádzalo pri uplatňovaní pravidiel týkajúcich sa odkladu splatnosti a vyplácania v rámci nástrojov v malých a menej zložitých inštitúciách a vo vzťahu k zamestnancom s nízkou pohyblivou zložkou odmeňovania. Na tento účel sa mení článok 94, aby </w:t>
      </w:r>
      <w:r>
        <w:rPr>
          <w:noProof/>
        </w:rPr>
        <w:t>sa objasnilo, že pravidlá sa uplatňujú na všetky inštitúcie a ich identifikovaných zamestnancov s výnimkou tých, ktoré sú pod hranicami stanovenými pre odchýlky. Zároveň sa príslušným orgánom ponúka určitá flexibilita zvoliť prísnejší prístup.</w:t>
      </w:r>
    </w:p>
    <w:p w:rsidR="001B4D52" w:rsidRDefault="002815F0">
      <w:pPr>
        <w:spacing w:after="0"/>
        <w:rPr>
          <w:noProof/>
        </w:rPr>
        <w:sectPr w:rsidR="001B4D52" w:rsidSect="002815F0">
          <w:footerReference w:type="default" r:id="rId19"/>
          <w:footerReference w:type="first" r:id="rId20"/>
          <w:pgSz w:w="11907" w:h="16839"/>
          <w:pgMar w:top="1134" w:right="1417" w:bottom="1134" w:left="1417" w:header="709" w:footer="709" w:gutter="0"/>
          <w:cols w:space="708"/>
          <w:docGrid w:linePitch="360"/>
        </w:sectPr>
      </w:pPr>
      <w:r>
        <w:rPr>
          <w:noProof/>
        </w:rPr>
        <w:t xml:space="preserve">Cieľom zmien týkajúcich sa ustanovení o odmeňovaní je tiež riešiť ďalšiu potrebu identifikovanú v rámci preskúmania zo strany Komisie, a to potrebu primeranejších </w:t>
      </w:r>
      <w:r>
        <w:rPr>
          <w:noProof/>
        </w:rPr>
        <w:t>pravidiel, ktorými sa kótovaným inštitúciám umožní na účely splnenia požiadaviek podľa smernice o kapitálových požiadavkách používať nástroje súvisiace s akciami.</w:t>
      </w:r>
    </w:p>
    <w:p w:rsidR="001B4D52" w:rsidRDefault="002815F0" w:rsidP="002815F0">
      <w:pPr>
        <w:pStyle w:val="Rfrenceinterinstitutionnelle"/>
        <w:rPr>
          <w:noProof/>
        </w:rPr>
      </w:pPr>
      <w:r w:rsidRPr="002815F0">
        <w:t>2016/0364 (COD)</w:t>
      </w:r>
    </w:p>
    <w:p w:rsidR="001B4D52" w:rsidRDefault="002815F0" w:rsidP="002815F0">
      <w:pPr>
        <w:pStyle w:val="Statut"/>
        <w:rPr>
          <w:noProof/>
        </w:rPr>
      </w:pPr>
      <w:r w:rsidRPr="002815F0">
        <w:t>Návrh</w:t>
      </w:r>
    </w:p>
    <w:p w:rsidR="001B4D52" w:rsidRDefault="002815F0" w:rsidP="002815F0">
      <w:pPr>
        <w:pStyle w:val="Typedudocument"/>
        <w:rPr>
          <w:noProof/>
        </w:rPr>
      </w:pPr>
      <w:r w:rsidRPr="002815F0">
        <w:t>SMERNICA EURÓPSKEHO PARLAMENTU A RADY,</w:t>
      </w:r>
    </w:p>
    <w:p w:rsidR="001B4D52" w:rsidRDefault="002815F0" w:rsidP="002815F0">
      <w:pPr>
        <w:pStyle w:val="Titreobjet"/>
        <w:rPr>
          <w:noProof/>
        </w:rPr>
      </w:pPr>
      <w:r w:rsidRPr="002815F0">
        <w:t>ktorou sa mení smernica 2013/36/EÚ, pokiaľ ide o</w:t>
      </w:r>
      <w:r>
        <w:t> </w:t>
      </w:r>
      <w:r w:rsidRPr="002815F0">
        <w:t>oslobodené subjekty, finančné holdingové spoločnosti, zmiešané finančné holdingové spoločnosti, odmeňovanie, opatrenia dohľadu a</w:t>
      </w:r>
      <w:r>
        <w:t> </w:t>
      </w:r>
      <w:r w:rsidRPr="002815F0">
        <w:t>právomoci v</w:t>
      </w:r>
      <w:r>
        <w:t> </w:t>
      </w:r>
      <w:r w:rsidRPr="002815F0">
        <w:t>oblasti dohľadu a</w:t>
      </w:r>
      <w:r>
        <w:t> </w:t>
      </w:r>
      <w:r w:rsidRPr="002815F0">
        <w:t>opatrenia na zachovanie kapitálu</w:t>
      </w:r>
    </w:p>
    <w:p w:rsidR="001B4D52" w:rsidRDefault="002815F0" w:rsidP="002815F0">
      <w:pPr>
        <w:pStyle w:val="IntrtEEE"/>
        <w:rPr>
          <w:noProof/>
        </w:rPr>
      </w:pPr>
      <w:r w:rsidRPr="002815F0">
        <w:t>(Text s</w:t>
      </w:r>
      <w:r>
        <w:t> </w:t>
      </w:r>
      <w:r w:rsidRPr="002815F0">
        <w:t>významom pre EHP)</w:t>
      </w:r>
    </w:p>
    <w:p w:rsidR="001B4D52" w:rsidRDefault="002815F0">
      <w:pPr>
        <w:pStyle w:val="Institutionquiagit"/>
        <w:rPr>
          <w:noProof/>
        </w:rPr>
      </w:pPr>
      <w:r>
        <w:rPr>
          <w:noProof/>
        </w:rPr>
        <w:t>EURÓPSKY PARLAMENT A </w:t>
      </w:r>
      <w:r>
        <w:rPr>
          <w:noProof/>
        </w:rPr>
        <w:t>RADA EURÓPSKEJ ÚNIE,</w:t>
      </w:r>
    </w:p>
    <w:p w:rsidR="001B4D52" w:rsidRDefault="002815F0">
      <w:pPr>
        <w:rPr>
          <w:noProof/>
        </w:rPr>
      </w:pPr>
      <w:r>
        <w:rPr>
          <w:noProof/>
        </w:rPr>
        <w:t>so zreteľom na Zmluvu o fungovaní Európskej únie, a najmä na jej článok 53 ods. 1,</w:t>
      </w:r>
    </w:p>
    <w:p w:rsidR="001B4D52" w:rsidRDefault="002815F0">
      <w:pPr>
        <w:rPr>
          <w:noProof/>
        </w:rPr>
      </w:pPr>
      <w:r>
        <w:rPr>
          <w:noProof/>
        </w:rPr>
        <w:t>so zreteľom na návrh Európskej komisie,</w:t>
      </w:r>
    </w:p>
    <w:p w:rsidR="001B4D52" w:rsidRDefault="002815F0">
      <w:pPr>
        <w:rPr>
          <w:noProof/>
        </w:rPr>
      </w:pPr>
      <w:r>
        <w:rPr>
          <w:noProof/>
        </w:rPr>
        <w:t>po postúpení návrhu legislatívneho aktu národným parlamentom,</w:t>
      </w:r>
    </w:p>
    <w:p w:rsidR="001B4D52" w:rsidRDefault="002815F0">
      <w:pPr>
        <w:rPr>
          <w:noProof/>
        </w:rPr>
      </w:pPr>
      <w:r>
        <w:rPr>
          <w:noProof/>
        </w:rPr>
        <w:t xml:space="preserve">so zreteľom na stanovisko Európskej centrálnej </w:t>
      </w:r>
      <w:r>
        <w:rPr>
          <w:noProof/>
        </w:rPr>
        <w:t>banky</w:t>
      </w:r>
      <w:r>
        <w:rPr>
          <w:rStyle w:val="FootnoteReference"/>
          <w:noProof/>
        </w:rPr>
        <w:footnoteReference w:id="7"/>
      </w:r>
      <w:r>
        <w:rPr>
          <w:noProof/>
        </w:rPr>
        <w:t>,</w:t>
      </w:r>
    </w:p>
    <w:p w:rsidR="001B4D52" w:rsidRDefault="002815F0">
      <w:pPr>
        <w:rPr>
          <w:noProof/>
        </w:rPr>
      </w:pPr>
      <w:r>
        <w:rPr>
          <w:noProof/>
        </w:rPr>
        <w:t>so zreteľom na stanovisko Výboru regiónov</w:t>
      </w:r>
      <w:r>
        <w:rPr>
          <w:rStyle w:val="FootnoteReference"/>
          <w:noProof/>
        </w:rPr>
        <w:footnoteReference w:id="8"/>
      </w:r>
      <w:r>
        <w:rPr>
          <w:noProof/>
        </w:rPr>
        <w:t>,</w:t>
      </w:r>
    </w:p>
    <w:p w:rsidR="001B4D52" w:rsidRDefault="002815F0">
      <w:pPr>
        <w:rPr>
          <w:noProof/>
        </w:rPr>
      </w:pPr>
      <w:r>
        <w:rPr>
          <w:noProof/>
        </w:rPr>
        <w:t>konajúc v súlade s riadnym legislatívnym postupom,</w:t>
      </w:r>
    </w:p>
    <w:p w:rsidR="001B4D52" w:rsidRDefault="002815F0">
      <w:pPr>
        <w:rPr>
          <w:noProof/>
        </w:rPr>
      </w:pPr>
      <w:r>
        <w:rPr>
          <w:noProof/>
        </w:rPr>
        <w:t>keďže:</w:t>
      </w:r>
    </w:p>
    <w:p w:rsidR="001B4D52" w:rsidRDefault="002815F0">
      <w:pPr>
        <w:pStyle w:val="ManualConsidrant"/>
        <w:rPr>
          <w:noProof/>
        </w:rPr>
      </w:pPr>
      <w:r>
        <w:t>(1)</w:t>
      </w:r>
      <w:r>
        <w:tab/>
      </w:r>
      <w:r>
        <w:rPr>
          <w:noProof/>
        </w:rPr>
        <w:t>Smernica Európskeho parlamentu a Rady 2013/36/EÚ</w:t>
      </w:r>
      <w:r>
        <w:rPr>
          <w:rStyle w:val="FootnoteReference"/>
          <w:noProof/>
        </w:rPr>
        <w:footnoteReference w:id="9"/>
      </w:r>
      <w:r>
        <w:rPr>
          <w:noProof/>
        </w:rPr>
        <w:t xml:space="preserve"> a nariadenie Európskeho parlamentu a Rady (EÚ) č. 575/2013</w:t>
      </w:r>
      <w:r>
        <w:rPr>
          <w:rStyle w:val="FootnoteReference"/>
          <w:noProof/>
        </w:rPr>
        <w:footnoteReference w:id="10"/>
      </w:r>
      <w:r>
        <w:rPr>
          <w:noProof/>
        </w:rPr>
        <w:t xml:space="preserve"> sa prijali ako odpoveď na finanč</w:t>
      </w:r>
      <w:r>
        <w:rPr>
          <w:noProof/>
        </w:rPr>
        <w:t>nú krízu, ktorá nastala v rokoch 2007 a 2008. Tieto legislatívne opatrenia podstatne prispeli k posilneniu finančného systému v Únii a poskytli inštitúciám väčšiu odolnosť voči možným budúcim šokom. Napriek tomu, že boli mimoriadne podrobné, tieto opatreni</w:t>
      </w:r>
      <w:r>
        <w:rPr>
          <w:noProof/>
        </w:rPr>
        <w:t>a neriešili všetky zistené nedostatky ovplyvňujúce inštitúcie. Okrem toho niektoré pôvodne navrhované opatrenia boli predmetom doložiek o preskúmaní alebo neboli dostatočne špecifikované, aby sa umožnilo ich hladké vykonávanie.</w:t>
      </w:r>
    </w:p>
    <w:p w:rsidR="001B4D52" w:rsidRDefault="002815F0">
      <w:pPr>
        <w:pStyle w:val="ManualConsidrant"/>
        <w:rPr>
          <w:noProof/>
        </w:rPr>
      </w:pPr>
      <w:r>
        <w:t>(2)</w:t>
      </w:r>
      <w:r>
        <w:tab/>
      </w:r>
      <w:r>
        <w:rPr>
          <w:noProof/>
        </w:rPr>
        <w:t>Táto smernica má za cieľ</w:t>
      </w:r>
      <w:r>
        <w:rPr>
          <w:noProof/>
        </w:rPr>
        <w:t xml:space="preserve"> riešiť otázky nastolené v súvislosti s ustanoveniami, ktoré sa ukázali byť nedostatočne jasné, a preto boli predmetom rozdielnych výkladov, alebo o ktorých sa zistilo, že predstavujú pre určité inštitúcie nadmernú záťaž. Takisto obsahuje úpravy smernice 2</w:t>
      </w:r>
      <w:r>
        <w:rPr>
          <w:noProof/>
        </w:rPr>
        <w:t>013/36/EÚ, ktoré sú potrebné buď po prijatí iných príslušných právnych predpisov Únie, ako je napríklad smernica Európskeho parlamentu a Rady 2014/59/EÚ</w:t>
      </w:r>
      <w:r>
        <w:rPr>
          <w:rStyle w:val="FootnoteReference"/>
          <w:noProof/>
        </w:rPr>
        <w:footnoteReference w:id="11"/>
      </w:r>
      <w:r>
        <w:rPr>
          <w:noProof/>
        </w:rPr>
        <w:t>, alebo po zmenách navrhovaných paralelne s nariadením (EÚ) č. 575/2013. Navrhované zmeny napokon uvedú</w:t>
      </w:r>
      <w:r>
        <w:rPr>
          <w:noProof/>
        </w:rPr>
        <w:t xml:space="preserve"> do lepšieho súladu súčasný regulačný rámec s medzinárodným vývojom, aby sa podporila konzistentnosť a porovnateľnosť medzi jednotlivými jurisdikciami.</w:t>
      </w:r>
    </w:p>
    <w:p w:rsidR="001B4D52" w:rsidRDefault="002815F0">
      <w:pPr>
        <w:pStyle w:val="ManualConsidrant"/>
        <w:rPr>
          <w:noProof/>
        </w:rPr>
      </w:pPr>
      <w:r>
        <w:t>(3)</w:t>
      </w:r>
      <w:r>
        <w:tab/>
      </w:r>
      <w:r>
        <w:rPr>
          <w:noProof/>
        </w:rPr>
        <w:t>Finančné holdingové spoločnosti a zmiešané finančné holdingové spoločnosti môžu byť materské spoločn</w:t>
      </w:r>
      <w:r>
        <w:rPr>
          <w:noProof/>
        </w:rPr>
        <w:t>osti bankových skupín a uplatňovanie prudenciálnych požiadaviek sa predpokladá na základe konsolidovanej situácie takýchto holdingových spoločností. Keďže inštitúcia kontrolovaná takýmito holdingovými spoločnosťami nemusí vždy spĺňať požiadavky na konsolid</w:t>
      </w:r>
      <w:r>
        <w:rPr>
          <w:noProof/>
        </w:rPr>
        <w:t>ovanom základe, je v súlade s rozsahom konsolidácie, že finančné holdingové spoločnosti a zmiešané finančné holdingové spoločnosti sa dostanú do priamej pôsobnosti smernice 2013/36/EÚ a nariadenia (EÚ) č. 575/2013. Preto je nevyhnutý osobitný postup udelen</w:t>
      </w:r>
      <w:r>
        <w:rPr>
          <w:noProof/>
        </w:rPr>
        <w:t>ia povolenia pre finančné holdingové spoločností a zmiešané finančné holdingové spoločnosti, ako aj dohľad príslušných orgánov nad nimi. Tým by sa zabezpečilo, že konsolidované prudenciálne požiadavky sú dodržiavané priamo holdingovou spoločnosťou, ktorá n</w:t>
      </w:r>
      <w:r>
        <w:rPr>
          <w:noProof/>
        </w:rPr>
        <w:t>ebude podliehať prudenciálnym požiadavkám uplatňovaným na individuálnej úrovni.</w:t>
      </w:r>
    </w:p>
    <w:p w:rsidR="001B4D52" w:rsidRDefault="002815F0">
      <w:pPr>
        <w:pStyle w:val="ManualConsidrant"/>
        <w:rPr>
          <w:noProof/>
        </w:rPr>
      </w:pPr>
      <w:r>
        <w:t>(4)</w:t>
      </w:r>
      <w:r>
        <w:tab/>
      </w:r>
      <w:r>
        <w:rPr>
          <w:noProof/>
        </w:rPr>
        <w:t>Orgán konsolidovaného dohľadu je poverený hlavnou zodpovednosťou za dohľad na konsolidovanom základe. Preto je nevyhnutné, aby sa udeleniu prudenciálneho povolenia a dohľad</w:t>
      </w:r>
      <w:r>
        <w:rPr>
          <w:noProof/>
        </w:rPr>
        <w:t>u nad finančnými holdingovými spoločnosťami a zmiešanými finančnými holdingovými spoločnosťami takisto venoval orgán konsolidovaného dohľadu. Európska centrálna banka by pri plnení úlohy vykonávať dohľad na konsolidovanom základe nad materskými spoločnosťa</w:t>
      </w:r>
      <w:r>
        <w:rPr>
          <w:noProof/>
        </w:rPr>
        <w:t>mi úverových inštitúcií podľa článku 4 ods. 1 písm. g) nariadenia Rady (EÚ) č. 1024/2013</w:t>
      </w:r>
      <w:r>
        <w:rPr>
          <w:rStyle w:val="FootnoteReference"/>
          <w:noProof/>
        </w:rPr>
        <w:footnoteReference w:id="12"/>
      </w:r>
      <w:r>
        <w:rPr>
          <w:noProof/>
        </w:rPr>
        <w:t xml:space="preserve"> mala byť takisto zodpovedná za udelenie povolenia pre finančné holdingové spoločnosti a zmiešané finančné holdingové spoločnosti a za dohľad nad nimi.</w:t>
      </w:r>
    </w:p>
    <w:p w:rsidR="001B4D52" w:rsidRDefault="002815F0">
      <w:pPr>
        <w:pStyle w:val="ManualConsidrant"/>
        <w:rPr>
          <w:noProof/>
        </w:rPr>
      </w:pPr>
      <w:r>
        <w:t>(5)</w:t>
      </w:r>
      <w:r>
        <w:tab/>
      </w:r>
      <w:r>
        <w:rPr>
          <w:noProof/>
        </w:rPr>
        <w:t>Podľa správ</w:t>
      </w:r>
      <w:r>
        <w:rPr>
          <w:noProof/>
        </w:rPr>
        <w:t>y Komisie COM(2016) 510 z 28. júla 2016 sa ukázalo, že pri uplatňovaní na malé a menej zložité inštitúcie sú niektoré zásady, konkrétne požiadavky na odklad a vyplácanie v rámci nástrojov stanovené v článku 94 ods. 1 písm. l) a m) smernice 2013/36/EÚ, príl</w:t>
      </w:r>
      <w:r>
        <w:rPr>
          <w:noProof/>
        </w:rPr>
        <w:t>iš zaťažujúce a nezodpovedajú ich prudenciálnym prínosom. Podobne sa zistilo, že náklady na uplatňovanie týchto požiadaviek prevyšujú ich prudenciálne prínosy v prípade zamestnancov s nízkymi úrovňami pohyblivej odmeny, pretože takéto úrovne pohyblivej odm</w:t>
      </w:r>
      <w:r>
        <w:rPr>
          <w:noProof/>
        </w:rPr>
        <w:t>eny vyvolávajú nízke alebo nevyvolávajú žiadne stimuly pre zamestnancov podstupovať nadmerné riziko. Preto, zatiaľ čo od všetkých inštitúcií by sa vo všeobecnosti malo požadovať, aby uplatňovali všetky tieto zásady na všetkých svojich zamestnancov, ktorých</w:t>
      </w:r>
      <w:r>
        <w:rPr>
          <w:noProof/>
        </w:rPr>
        <w:t xml:space="preserve"> profesionálne činnosti majú významný vplyv na rizikový profil inštitúcií, je nevyhnutné oslobodiť v smernici malé a menej zložité inštitúcie, ako aj zamestnancov s nízkymi úrovňami pohyblivej odmeny od zásad týkajúcich sa odkladu a vyplácania v rámci nást</w:t>
      </w:r>
      <w:r>
        <w:rPr>
          <w:noProof/>
        </w:rPr>
        <w:t>rojov.</w:t>
      </w:r>
    </w:p>
    <w:p w:rsidR="001B4D52" w:rsidRDefault="002815F0">
      <w:pPr>
        <w:pStyle w:val="ManualConsidrant"/>
        <w:rPr>
          <w:noProof/>
        </w:rPr>
      </w:pPr>
      <w:r>
        <w:t>(6)</w:t>
      </w:r>
      <w:r>
        <w:tab/>
      </w:r>
      <w:r>
        <w:rPr>
          <w:noProof/>
        </w:rPr>
        <w:t>Jasné, konzistentné a harmonizované kritériá na identifikáciu malých a menej zložitých inštitúcií, ako aj nízkych úrovní pohyblivej odmeny sú nevyhnutné na zabezpečenie zbližovania postupov dohľadu a podporu rovnakých podmienok pre inštitúcie, a</w:t>
      </w:r>
      <w:r>
        <w:rPr>
          <w:noProof/>
        </w:rPr>
        <w:t>ko aj primeranej ochrany vkladateľov, investorov a spotrebiteľov naprieč Úniou. Zároveň je vhodné poskytnúť príslušným orgánom určitú flexibilitu, aby mohli prijať prísnejší prístup, ak to považujú za nevyhnutné.</w:t>
      </w:r>
    </w:p>
    <w:p w:rsidR="001B4D52" w:rsidRDefault="002815F0">
      <w:pPr>
        <w:pStyle w:val="ManualConsidrant"/>
        <w:rPr>
          <w:noProof/>
        </w:rPr>
      </w:pPr>
      <w:r>
        <w:t>(7)</w:t>
      </w:r>
      <w:r>
        <w:tab/>
      </w:r>
      <w:r>
        <w:rPr>
          <w:noProof/>
        </w:rPr>
        <w:t xml:space="preserve">V smernici 2013/36/EÚ sa požaduje, aby </w:t>
      </w:r>
      <w:r>
        <w:rPr>
          <w:noProof/>
        </w:rPr>
        <w:t>významná časť každej pohyblivej odmeny, v každom prípade minimálne 50 %, pozostávala z vyváženého pomeru akcií alebo rovnocenných majetkových podielov v závislosti od právnej štruktúry dotknutej inštitúcie, alebo nástrojov súvisiacich s akciami alebo rovno</w:t>
      </w:r>
      <w:r>
        <w:rPr>
          <w:noProof/>
        </w:rPr>
        <w:t>cenných bezhotovostných nástrojov v prípade nekótovanej inštitúcie; a, ak je to možné, nástrojov alternatívneho kapitálu Tier 1 alebo Tier 2, ktoré spĺňajú určité podmienky. Táto zásada obmedzuje používanie nástrojov súvisiacich s akciami na nekótované inš</w:t>
      </w:r>
      <w:r>
        <w:rPr>
          <w:noProof/>
        </w:rPr>
        <w:t>titúcie a požaduje od kótovaných inštitúcií, aby používali akcie. Podľa správy Komisie COM(2016) 510 z 28. júla 2016 sa zistilo, že používanie akcií môže viesť v prípade kótovaných inštitúcií k značnej administratívnej záťaži a nákladom. Rovnaké prudenciál</w:t>
      </w:r>
      <w:r>
        <w:rPr>
          <w:noProof/>
        </w:rPr>
        <w:t>ne prínosy možno zároveň dosiahnuť tým, že kótovaným inštitúciám sa umožní používať nástroje súvisiace s akciami, ktoré sledujú hodnotu akcií. Možnosť využiť nástroje súvisiace s akciami by sa preto mala rozšíriť na kótované inštitúcie.</w:t>
      </w:r>
    </w:p>
    <w:p w:rsidR="001B4D52" w:rsidRDefault="002815F0">
      <w:pPr>
        <w:pStyle w:val="ManualConsidrant"/>
        <w:rPr>
          <w:noProof/>
        </w:rPr>
      </w:pPr>
      <w:r>
        <w:t>(8)</w:t>
      </w:r>
      <w:r>
        <w:tab/>
      </w:r>
      <w:r>
        <w:rPr>
          <w:noProof/>
        </w:rPr>
        <w:t>Navýšenia vlast</w:t>
      </w:r>
      <w:r>
        <w:rPr>
          <w:noProof/>
        </w:rPr>
        <w:t>ných zdrojov uložené príslušnými orgánmi sú dôležitou hybnou silou celkovej výšky vlastných zdrojov inštitúcie a sú relevantné pre účastníkov trhu, pretože úroveň uložených dodatočných vlastných zdrojov ovplyvňuje aktivačný bod pre obmedzenia týkajúce sa p</w:t>
      </w:r>
      <w:r>
        <w:rPr>
          <w:noProof/>
        </w:rPr>
        <w:t>latieb dividend, vyplácania bonusov a platieb v súvislosti s nástrojmi dodatočného kapitálu Tier 1. Malo by sa stanoviť jasné vymedzenie podmienok, za ktorých by sa mali uložiť navýšenia kapitálu, aby sa zabezpečilo dôsledné uplatňovanie pravidiel vo všetk</w:t>
      </w:r>
      <w:r>
        <w:rPr>
          <w:noProof/>
        </w:rPr>
        <w:t>ých členských štátoch a riadne fungovanie trhu.</w:t>
      </w:r>
    </w:p>
    <w:p w:rsidR="001B4D52" w:rsidRDefault="002815F0">
      <w:pPr>
        <w:pStyle w:val="ManualConsidrant"/>
        <w:rPr>
          <w:noProof/>
        </w:rPr>
      </w:pPr>
      <w:r>
        <w:t>(9)</w:t>
      </w:r>
      <w:r>
        <w:tab/>
      </w:r>
      <w:r>
        <w:rPr>
          <w:noProof/>
        </w:rPr>
        <w:t>Navýšenia vlastných zdrojov uložené príslušnými orgánmi by sa mali stanoviť vzhľadom na osobitnú situáciu inštitúcie a mali by byť riadne odôvodnené. Tieto požiadavky by sa nemali používať na riešenie mak</w:t>
      </w:r>
      <w:r>
        <w:rPr>
          <w:noProof/>
        </w:rPr>
        <w:t>roprudenciálnych rizík a mali by byť umiestnené v určenom poradí medzi požiadavkami na vlastné zdroje, a to nad minimálne požiadavky na vlastné zdroje a pod požiadavku na kombinovaný vankúš.</w:t>
      </w:r>
    </w:p>
    <w:p w:rsidR="001B4D52" w:rsidRDefault="002815F0">
      <w:pPr>
        <w:pStyle w:val="ManualConsidrant"/>
        <w:rPr>
          <w:noProof/>
        </w:rPr>
      </w:pPr>
      <w:r>
        <w:t>(10)</w:t>
      </w:r>
      <w:r>
        <w:tab/>
      </w:r>
      <w:r>
        <w:rPr>
          <w:noProof/>
        </w:rPr>
        <w:t>Ukazovateľ finančnej páky je paralelnou požiadavkou na požia</w:t>
      </w:r>
      <w:r>
        <w:rPr>
          <w:noProof/>
        </w:rPr>
        <w:t>davky na vlastné zdroje založené na riziku. Každé navýšenie vlastných zdrojov uložené príslušnými orgánmi s cieľom riešiť riziko nadmerného využívania finančnej páky by sa preto malo pridať k požiadavke na minimálny ukazovateľ finančnej páky, a nie k minim</w:t>
      </w:r>
      <w:r>
        <w:rPr>
          <w:noProof/>
        </w:rPr>
        <w:t>álnej požiadavke na vlastné zdroje založenej na riziku. Okrem toho každý kapitál CET1, ktorý inštitúcie používajú na splnenie požiadaviek týkajúcich sa pákového efektu, sa môže použiť na splnenie požiadaviek na vlastné zdroje založených na riziku vrátane p</w:t>
      </w:r>
      <w:r>
        <w:rPr>
          <w:noProof/>
        </w:rPr>
        <w:t>ožiadaviek na kombinovaný vankúš.</w:t>
      </w:r>
    </w:p>
    <w:p w:rsidR="001B4D52" w:rsidRDefault="002815F0">
      <w:pPr>
        <w:pStyle w:val="ManualConsidrant"/>
        <w:rPr>
          <w:noProof/>
        </w:rPr>
      </w:pPr>
      <w:r>
        <w:t>(11)</w:t>
      </w:r>
      <w:r>
        <w:tab/>
      </w:r>
      <w:r>
        <w:rPr>
          <w:noProof/>
        </w:rPr>
        <w:t>Príslušné orgány by mali mať možnosť oznamovať inštitúcii každú ďalšiu úpravu výšky kapitálu presahujúceho minimálne požiadavky na vlastné zdroje, dodatočné požiadavky na vlastné zdroje a požiadavku na kombinovaný van</w:t>
      </w:r>
      <w:r>
        <w:rPr>
          <w:noProof/>
        </w:rPr>
        <w:t>kúš, ktoré očakávajú, že táto inštitúcia bude držať, aby sa vyrovnala s výhľadovými a vzdialenými situáciami. Keďže toto usmernenie predstavuje cieľovú hodnotu kapitálu, malo by sa považovať za umiestnené nad požiadavkami na vlastné zdroje a požiadavkou na</w:t>
      </w:r>
      <w:r>
        <w:rPr>
          <w:noProof/>
        </w:rPr>
        <w:t xml:space="preserve"> kombinovaný vankúš v tom zmysle, že nesplnenie takéhoto cieľa nespustí obmedzenia týkajúce sa rozdeľovania stanovené v článku 141 tejto smernice, pričom táto smernica a nariadenie (EÚ) č. 575/2013 by nemali stanovovať záväzné povinnosti zverejnenia inform</w:t>
      </w:r>
      <w:r>
        <w:rPr>
          <w:noProof/>
        </w:rPr>
        <w:t>ácií pre toto usmernenie. Ak inštitúcia opakovane nesplní cieľovú hodnotu kapitálu, príslušný orgán by mal byť oprávnený prijať opatrenia dohľadu a prípadne uložiť dodatočné požiadavky na vlastné zdroje.</w:t>
      </w:r>
    </w:p>
    <w:p w:rsidR="001B4D52" w:rsidRDefault="002815F0">
      <w:pPr>
        <w:pStyle w:val="ManualConsidrant"/>
        <w:rPr>
          <w:noProof/>
        </w:rPr>
      </w:pPr>
      <w:r>
        <w:t>(12)</w:t>
      </w:r>
      <w:r>
        <w:tab/>
      </w:r>
      <w:r>
        <w:rPr>
          <w:noProof/>
        </w:rPr>
        <w:t>Respondenti na výzvu Komisie na predloženie dôk</w:t>
      </w:r>
      <w:r>
        <w:rPr>
          <w:noProof/>
        </w:rPr>
        <w:t>azov týkajúcej sa regulačného rámca EÚ pre finančné služby upozornili na to, že záťaž spojená s podávaním správ sa zvyšuje o systematické podávanie správ požadované príslušnými orgánmi nad rámec požiadaviek stanovených v nariadení (EÚ) č. 575/2013. Komisia</w:t>
      </w:r>
      <w:r>
        <w:rPr>
          <w:noProof/>
        </w:rPr>
        <w:t xml:space="preserve"> by mala vypracovať správu, v ktorej sa identifikujú tieto dodatočné požiadavky na systematické podávanie správ, a posúdiť, či sú v súlade s jednotným súborom pravidiel podávania správ na účely dohľadu.</w:t>
      </w:r>
    </w:p>
    <w:p w:rsidR="001B4D52" w:rsidRDefault="002815F0">
      <w:pPr>
        <w:pStyle w:val="ManualConsidrant"/>
        <w:rPr>
          <w:noProof/>
        </w:rPr>
      </w:pPr>
      <w:r>
        <w:t>(13)</w:t>
      </w:r>
      <w:r>
        <w:tab/>
      </w:r>
      <w:r>
        <w:rPr>
          <w:noProof/>
        </w:rPr>
        <w:t>Ustanovenia tejto smernice 2013/36/EÚ týkajúce s</w:t>
      </w:r>
      <w:r>
        <w:rPr>
          <w:noProof/>
        </w:rPr>
        <w:t>a úrokového rizika vyplývajúceho z činností mimo obchodnej knihy sú prepojené s príslušnými ustanoveniami [nariadenia XX, ktorým sa mení nariadenie (EÚ) č. 575/2013], ktoré v prípade inštitúcií vyžadujú dlhšie obdobie implementácie. Ustanovenia potrebné na</w:t>
      </w:r>
      <w:r>
        <w:rPr>
          <w:noProof/>
        </w:rPr>
        <w:t xml:space="preserve"> dosiahnutie súladu s príslušnými ustanoveniami tejto smernice by sa mali uplatňovať od toho istého dátumu ako príslušné ustanovenia nariadenia (EÚ) [XX], aby sa zosúladilo uplatňovanie pravidiel pre úrokové riziko vyplývajúce z činností mimo obchodnej kni</w:t>
      </w:r>
      <w:r>
        <w:rPr>
          <w:noProof/>
        </w:rPr>
        <w:t>hy.</w:t>
      </w:r>
    </w:p>
    <w:p w:rsidR="001B4D52" w:rsidRDefault="002815F0">
      <w:pPr>
        <w:pStyle w:val="ManualConsidrant"/>
        <w:rPr>
          <w:noProof/>
        </w:rPr>
      </w:pPr>
      <w:r>
        <w:t>(14)</w:t>
      </w:r>
      <w:r>
        <w:tab/>
      </w:r>
      <w:r>
        <w:rPr>
          <w:noProof/>
        </w:rPr>
        <w:t>Keď interné systémy inštitúcií na meranie tohto rizika nie sú uspokojivé, Komisia by mala byť splnomocnená prijať regulačné technické predpisy týkajúce sa vývoja podrobností štandardizovaného prístupu na základe regulačných technických predpisov s</w:t>
      </w:r>
      <w:r>
        <w:rPr>
          <w:noProof/>
        </w:rPr>
        <w:t>tanovených v článku 84 ods. 4 tejto smernice prostredníctvom delegovaných aktov podľa článku 290 ZFEÚ a v súlade s článkami 10 až 14 nariadenia (EÚ) č. 1093/2010, aby sa harmonizoval výpočet úrokového rizika z činností mimo obchodnej knihy.</w:t>
      </w:r>
    </w:p>
    <w:p w:rsidR="001B4D52" w:rsidRDefault="002815F0">
      <w:pPr>
        <w:pStyle w:val="ManualConsidrant"/>
        <w:rPr>
          <w:noProof/>
        </w:rPr>
      </w:pPr>
      <w:r>
        <w:t>(15)</w:t>
      </w:r>
      <w:r>
        <w:tab/>
      </w:r>
      <w:r>
        <w:rPr>
          <w:noProof/>
        </w:rPr>
        <w:t xml:space="preserve">Aby </w:t>
      </w:r>
      <w:r>
        <w:rPr>
          <w:noProof/>
        </w:rPr>
        <w:t>príslušné orgány mohli zlepšiť identifikáciu tých inštitúcií, ktoré môžu podliehať v dôsledku možných zmien úrokových sadzieb nadmerným stratám vo svojich činnostiach mimo obchodnej knihy, Komisia by mala byť splnomocnená prijať regulačné technické predpis</w:t>
      </w:r>
      <w:r>
        <w:rPr>
          <w:noProof/>
        </w:rPr>
        <w:t>y, pokiaľ ide o spresnenie šiestich šokových scenárov dohľadu, ktoré musia uplatňovať všetky inštitúcie s cieľom vypočítať zmeny ekonomickej hodnoty vlastného imania podľa článku 98 ods. 5, spoločných predpokladov, ktoré inštitúcie musia implementovať do s</w:t>
      </w:r>
      <w:r>
        <w:rPr>
          <w:noProof/>
        </w:rPr>
        <w:t xml:space="preserve">vojich interných systémov na účely toho istého výpočtu, ako aj pokiaľ ide o určenie prípadnej potreby konkrétnych kritérií na identifikáciu inštitúcií, pre ktoré opatrenia dohľadu môžu byť opodstatnené po znížení čistých úrokových príjmov v dôsledku zmien </w:t>
      </w:r>
      <w:r>
        <w:rPr>
          <w:noProof/>
        </w:rPr>
        <w:t>úrokových sadzieb, prostredníctvom delegovaných aktov podľa článku 290 ZFEÚ a v súlade s článkami 10 až 14 nariadenia (EÚ) č. 1093/2010.</w:t>
      </w:r>
    </w:p>
    <w:p w:rsidR="001B4D52" w:rsidRDefault="002815F0">
      <w:pPr>
        <w:pStyle w:val="ManualConsidrant"/>
        <w:rPr>
          <w:noProof/>
        </w:rPr>
      </w:pPr>
      <w:r>
        <w:t>(16)</w:t>
      </w:r>
      <w:r>
        <w:tab/>
      </w:r>
      <w:r>
        <w:rPr>
          <w:noProof/>
        </w:rPr>
        <w:t>S cieľom usmerniť príslušné orgány pri identifikácii situácií, v ktorých by sa mali uložiť navýšenia kapitálu špec</w:t>
      </w:r>
      <w:r>
        <w:rPr>
          <w:noProof/>
        </w:rPr>
        <w:t>ifické pre inštitúciu, Komisia by mala byť splnomocnená prijať regulačné technické predpisy, pokiaľ ide o to, ako by sa mali merať riziká alebo prvky rizík, na ktoré sa nevzťahujú alebo sa nedostatočne vzťahujú požiadavky na vlastné zdroje stanovené v nari</w:t>
      </w:r>
      <w:r>
        <w:rPr>
          <w:noProof/>
        </w:rPr>
        <w:t>adení (EÚ) č. 575/2013, prostredníctvom delegovaných aktov podľa článku 290 ZFEÚ a v súlade s článkami 10 až 14 nariadenia (EÚ) č. 1093/2010.</w:t>
      </w:r>
    </w:p>
    <w:p w:rsidR="001B4D52" w:rsidRDefault="002815F0">
      <w:pPr>
        <w:pStyle w:val="ManualConsidrant"/>
        <w:rPr>
          <w:noProof/>
        </w:rPr>
      </w:pPr>
      <w:r>
        <w:t>(17)</w:t>
      </w:r>
      <w:r>
        <w:tab/>
      </w:r>
      <w:r>
        <w:rPr>
          <w:noProof/>
        </w:rPr>
        <w:t>Z právnych predpisov Únie o úverových inštitúciách sú tradične vyňaté verejné rozvojové banky a úverové združ</w:t>
      </w:r>
      <w:r>
        <w:rPr>
          <w:noProof/>
        </w:rPr>
        <w:t>enia v niektorých členských štátoch. S cieľom zabezpečiť rovnaké podmienky by malo byť možné povoliť aj ďalším verejným rozvojovým bankám a úverovým združeniam, aby boli vyňaté z právnych predpisov Únie pre úverové inštitúcie a vykonávali svoju činnosť len</w:t>
      </w:r>
      <w:r>
        <w:rPr>
          <w:noProof/>
        </w:rPr>
        <w:t xml:space="preserve"> pod vnútroštátnymi regulačnými opatreniami, ktoré zodpovedajú rizikám, ktoré tieto spôsobujú. Na zabezpečenie právnej istoty treba stanoviť jasné kritériá pre takéto dodatočné výnimky a delegovať na Komisiu právomoc prijať akty v súlade s článkom 290 ZFEÚ</w:t>
      </w:r>
      <w:r>
        <w:rPr>
          <w:noProof/>
        </w:rPr>
        <w:t>, pokiaľ ide o identifikáciu, či osobitné inštitúcie alebo kategórie inštitúcií spĺňajú tieto vymedzené kritériá.</w:t>
      </w:r>
    </w:p>
    <w:p w:rsidR="001B4D52" w:rsidRDefault="002815F0">
      <w:pPr>
        <w:pStyle w:val="ManualConsidrant"/>
        <w:rPr>
          <w:noProof/>
        </w:rPr>
      </w:pPr>
      <w:r>
        <w:t>(18)</w:t>
      </w:r>
      <w:r>
        <w:tab/>
      </w:r>
      <w:r>
        <w:rPr>
          <w:noProof/>
        </w:rPr>
        <w:t>Pred prijatím aktov v súlade s článkom 290 ZFEÚ je osobitne dôležité, aby Komisia počas prípravných prác uskutočnila príslušné konzultáci</w:t>
      </w:r>
      <w:r>
        <w:rPr>
          <w:noProof/>
        </w:rPr>
        <w:t xml:space="preserve">e, a to aj na úrovni expertov, a aby tieto konzultácie vykonávala v súlade so zásadami stanovenými v Medziinštitucionálnej dohode o lepšej tvorbe práva z 13. apríla 2016. Predovšetkým v záujme rovnakého zastúpenia pri príprave delegovaných aktov sa všetky </w:t>
      </w:r>
      <w:r>
        <w:rPr>
          <w:noProof/>
        </w:rPr>
        <w:t>dokumenty doručujú Európskemu parlamentu a Rade v rovnakom čase ako expertom z členských štátov a experti Európskeho parlamentu a Rady majú systematicky prístup na zasadnutia expertných skupín Komisie, ktoré sa zaoberajú prípravou delegovaných aktov.</w:t>
      </w:r>
    </w:p>
    <w:p w:rsidR="001B4D52" w:rsidRDefault="002815F0">
      <w:pPr>
        <w:pStyle w:val="ManualConsidrant"/>
        <w:rPr>
          <w:noProof/>
        </w:rPr>
      </w:pPr>
      <w:r>
        <w:t>(19)</w:t>
      </w:r>
      <w:r>
        <w:tab/>
      </w:r>
      <w:r>
        <w:rPr>
          <w:noProof/>
        </w:rPr>
        <w:t>Keďže ciele tejto smernice, a to posilnenie a zlepšenie už existujúcich právnych predpisov EÚ zabezpečujúcich jednotné prudenciálne požiadavky, ktoré sa uplatňujú na úverové inštitúcie a investičné spoločnosti v celej Únii, nie je možné uspokojivo dosiahnu</w:t>
      </w:r>
      <w:r>
        <w:rPr>
          <w:noProof/>
        </w:rPr>
        <w:t>ť na úrovni jednotlivých členských štátov, ale z dôvodu ich rozsahu a účinkov ich možno lepšie dosiahnuť na úrovni Únie, môže Únia prijať opatrenia v súlade so zásadou subsidiarity podľa článku 5 Zmluvy o Európskej únii. V súlade so zásadou proporcionality</w:t>
      </w:r>
      <w:r>
        <w:rPr>
          <w:noProof/>
        </w:rPr>
        <w:t xml:space="preserve"> stanovenou v uvedenom článku táto smernica neprekračuje rámec nevyhnutný na dosiahnutie týchto cieľov.</w:t>
      </w:r>
    </w:p>
    <w:p w:rsidR="001B4D52" w:rsidRDefault="002815F0">
      <w:pPr>
        <w:pStyle w:val="ManualConsidrant"/>
        <w:rPr>
          <w:noProof/>
        </w:rPr>
      </w:pPr>
      <w:r>
        <w:t>(20)</w:t>
      </w:r>
      <w:r>
        <w:tab/>
      </w:r>
      <w:r>
        <w:rPr>
          <w:noProof/>
        </w:rPr>
        <w:t xml:space="preserve">V súlade so Spoločným politickým vyhlásením členských štátov a Komisie z 28. septembra 2011 k vysvetľujúcim dokumentom sa členské štáty zaviazali, </w:t>
      </w:r>
      <w:r>
        <w:rPr>
          <w:noProof/>
        </w:rPr>
        <w:t>že v odôvodnených prípadoch pripoja k oznámeniu o svojich transpozičných opatreniach jeden alebo viacero dokumentov, ktoré vysvetľujú vzťah medzi prvkami smernice a príslušnými časťami vnútroštátnych transpozičných nástrojov. V prípade tejto smernice považ</w:t>
      </w:r>
      <w:r>
        <w:rPr>
          <w:noProof/>
        </w:rPr>
        <w:t>uje zákonodarca predloženie takýchto dokumentov za odôvodnené.</w:t>
      </w:r>
    </w:p>
    <w:p w:rsidR="001B4D52" w:rsidRDefault="002815F0">
      <w:pPr>
        <w:pStyle w:val="ManualConsidrant"/>
        <w:rPr>
          <w:noProof/>
        </w:rPr>
      </w:pPr>
      <w:r>
        <w:t>(21)</w:t>
      </w:r>
      <w:r>
        <w:tab/>
      </w:r>
      <w:r>
        <w:rPr>
          <w:noProof/>
        </w:rPr>
        <w:t>Smernica 2013/36/EÚ by sa preto mala zodpovedajúcim spôsobom zmeniť,</w:t>
      </w:r>
    </w:p>
    <w:p w:rsidR="001B4D52" w:rsidRDefault="002815F0">
      <w:pPr>
        <w:pStyle w:val="Formuledadoption"/>
        <w:rPr>
          <w:noProof/>
        </w:rPr>
      </w:pPr>
      <w:r>
        <w:rPr>
          <w:noProof/>
        </w:rPr>
        <w:t>PRIJALI TÚTO SMERNICU:</w:t>
      </w:r>
    </w:p>
    <w:p w:rsidR="001B4D52" w:rsidRDefault="002815F0">
      <w:pPr>
        <w:pStyle w:val="Titrearticle"/>
        <w:rPr>
          <w:noProof/>
        </w:rPr>
      </w:pPr>
      <w:r>
        <w:rPr>
          <w:noProof/>
        </w:rPr>
        <w:t>Článok 1</w:t>
      </w:r>
      <w:r>
        <w:rPr>
          <w:noProof/>
        </w:rPr>
        <w:br/>
        <w:t>Zmeny smernice 2013/36/EÚ</w:t>
      </w:r>
    </w:p>
    <w:p w:rsidR="001B4D52" w:rsidRDefault="002815F0">
      <w:pPr>
        <w:rPr>
          <w:noProof/>
        </w:rPr>
      </w:pPr>
      <w:r>
        <w:rPr>
          <w:noProof/>
        </w:rPr>
        <w:t>Smernica 2013/36/EÚ sa mení takto:</w:t>
      </w:r>
    </w:p>
    <w:p w:rsidR="001B4D52" w:rsidRDefault="002815F0">
      <w:pPr>
        <w:pStyle w:val="Point0"/>
        <w:rPr>
          <w:noProof/>
        </w:rPr>
      </w:pPr>
      <w:r>
        <w:rPr>
          <w:noProof/>
        </w:rPr>
        <w:t>1.</w:t>
      </w:r>
      <w:r>
        <w:rPr>
          <w:noProof/>
        </w:rPr>
        <w:tab/>
        <w:t>Článok 2 sa mení takto:</w:t>
      </w:r>
    </w:p>
    <w:p w:rsidR="001B4D52" w:rsidRDefault="002815F0">
      <w:pPr>
        <w:pStyle w:val="Point1"/>
        <w:rPr>
          <w:noProof/>
        </w:rPr>
      </w:pPr>
      <w:r>
        <w:rPr>
          <w:noProof/>
        </w:rPr>
        <w:t>a)</w:t>
      </w:r>
      <w:r>
        <w:rPr>
          <w:noProof/>
        </w:rPr>
        <w:tab/>
        <w:t>odsek 5 sa mení takto:</w:t>
      </w:r>
    </w:p>
    <w:p w:rsidR="001B4D52" w:rsidRDefault="002815F0">
      <w:pPr>
        <w:pStyle w:val="Point2"/>
        <w:rPr>
          <w:noProof/>
        </w:rPr>
      </w:pPr>
      <w:r>
        <w:rPr>
          <w:noProof/>
        </w:rPr>
        <w:t>1.</w:t>
      </w:r>
      <w:r>
        <w:rPr>
          <w:noProof/>
        </w:rPr>
        <w:tab/>
        <w:t>bod 16) sa nahrádza takto:</w:t>
      </w:r>
    </w:p>
    <w:p w:rsidR="001B4D52" w:rsidRDefault="002815F0">
      <w:pPr>
        <w:pStyle w:val="Text1"/>
        <w:rPr>
          <w:noProof/>
        </w:rPr>
      </w:pPr>
      <w:r>
        <w:rPr>
          <w:noProof/>
        </w:rPr>
        <w:t>„16) v Holandsku na „Nederlandse Investeringsbank voor Ontwikkelingslanden NV“, „NV Noordelijke Ontwikkelingsmaatschappij“, „NV Industriebank Limburgs Instituut voor Ontwikkeling en Financiering“, „O</w:t>
      </w:r>
      <w:r>
        <w:rPr>
          <w:noProof/>
        </w:rPr>
        <w:t>verijsselse Ontwikkelingsmaatschappij NV“ a „kredietunies“;“.</w:t>
      </w:r>
    </w:p>
    <w:p w:rsidR="001B4D52" w:rsidRDefault="002815F0">
      <w:pPr>
        <w:pStyle w:val="Point2"/>
        <w:rPr>
          <w:noProof/>
        </w:rPr>
      </w:pPr>
      <w:r>
        <w:rPr>
          <w:noProof/>
        </w:rPr>
        <w:t>2.</w:t>
      </w:r>
      <w:r>
        <w:rPr>
          <w:noProof/>
        </w:rPr>
        <w:tab/>
        <w:t>dopĺňa sa tento bod 24):</w:t>
      </w:r>
    </w:p>
    <w:p w:rsidR="001B4D52" w:rsidRDefault="002815F0">
      <w:pPr>
        <w:pStyle w:val="Text1"/>
        <w:rPr>
          <w:noProof/>
        </w:rPr>
      </w:pPr>
      <w:r>
        <w:rPr>
          <w:noProof/>
        </w:rPr>
        <w:t>„24) v Chorvátsku na „kreditne unije“ a „Hrvatska banka za obnovu i razvitak“;“</w:t>
      </w:r>
    </w:p>
    <w:p w:rsidR="001B4D52" w:rsidRDefault="002815F0">
      <w:pPr>
        <w:pStyle w:val="Point1"/>
        <w:rPr>
          <w:noProof/>
        </w:rPr>
      </w:pPr>
      <w:r>
        <w:rPr>
          <w:noProof/>
        </w:rPr>
        <w:t>b)</w:t>
      </w:r>
      <w:r>
        <w:rPr>
          <w:noProof/>
        </w:rPr>
        <w:tab/>
        <w:t>vkladajú sa tieto odseky 5a a 5b:</w:t>
      </w:r>
    </w:p>
    <w:p w:rsidR="001B4D52" w:rsidRDefault="002815F0">
      <w:pPr>
        <w:pStyle w:val="Text1"/>
        <w:rPr>
          <w:noProof/>
        </w:rPr>
      </w:pPr>
      <w:r>
        <w:rPr>
          <w:noProof/>
        </w:rPr>
        <w:t>„5a.</w:t>
      </w:r>
      <w:r>
        <w:rPr>
          <w:noProof/>
        </w:rPr>
        <w:tab/>
        <w:t xml:space="preserve">Táto smernica sa neuplatňuje na inštitúciu, </w:t>
      </w:r>
      <w:r>
        <w:rPr>
          <w:noProof/>
        </w:rPr>
        <w:t>ak Komisia stanoví v delegovanom akte prijatom podľa článku 148 na základe informácií, ktoré má k dispozícii, že inštitúcia spĺňa bez toho, aby bolo dotknuté uplatňovanie pravidiel štátnej pomoci, všetky tieto podmienky:</w:t>
      </w:r>
    </w:p>
    <w:p w:rsidR="001B4D52" w:rsidRDefault="002815F0">
      <w:pPr>
        <w:pStyle w:val="Point2"/>
        <w:rPr>
          <w:noProof/>
        </w:rPr>
      </w:pPr>
      <w:r>
        <w:rPr>
          <w:noProof/>
        </w:rPr>
        <w:t>a)</w:t>
      </w:r>
      <w:r>
        <w:rPr>
          <w:noProof/>
        </w:rPr>
        <w:tab/>
        <w:t>bola zriadená podľa verejného pr</w:t>
      </w:r>
      <w:r>
        <w:rPr>
          <w:noProof/>
        </w:rPr>
        <w:t>áva ústrednou vládou, regionálnou vládou alebo miestnym orgánom členského štátu;</w:t>
      </w:r>
    </w:p>
    <w:p w:rsidR="001B4D52" w:rsidRDefault="002815F0">
      <w:pPr>
        <w:pStyle w:val="Point2"/>
        <w:rPr>
          <w:noProof/>
        </w:rPr>
      </w:pPr>
      <w:r>
        <w:rPr>
          <w:noProof/>
        </w:rPr>
        <w:t>b)</w:t>
      </w:r>
      <w:r>
        <w:rPr>
          <w:noProof/>
        </w:rPr>
        <w:tab/>
        <w:t>právne predpisy a ustanovenia, ktorými sa riadi inštitúcia, potvrdzujú, že jej činnosť je obmedzená na zlepšovanie stanovených cieľov finančného, sociálneho alebo hospodárs</w:t>
      </w:r>
      <w:r>
        <w:rPr>
          <w:noProof/>
        </w:rPr>
        <w:t>keho verejného poriadku v súlade s právnymi predpismi a ustanoveniami, ktorými sa riadi táto inštitúcia, a to na nesúťažnom a neziskovom základe. Ciele verejného poriadku môžu na tento účel zahŕňať poskytovanie finančných prostriedkov na propagačné alebo r</w:t>
      </w:r>
      <w:r>
        <w:rPr>
          <w:noProof/>
        </w:rPr>
        <w:t>ozvojové účely špecifických hospodárskych činností alebo zemepisných oblastí príslušného členského štátu;</w:t>
      </w:r>
    </w:p>
    <w:p w:rsidR="001B4D52" w:rsidRDefault="002815F0">
      <w:pPr>
        <w:pStyle w:val="Point2"/>
        <w:rPr>
          <w:noProof/>
        </w:rPr>
      </w:pPr>
      <w:r>
        <w:rPr>
          <w:noProof/>
        </w:rPr>
        <w:t>c)</w:t>
      </w:r>
      <w:r>
        <w:rPr>
          <w:noProof/>
        </w:rPr>
        <w:tab/>
        <w:t xml:space="preserve">podlieha primeraným a účinným prudenciálnym požiadavkám vrátane minimálnych požiadaviek na vlastné zdroje, ako aj primeranému rámcu dohľadu, ktorý </w:t>
      </w:r>
      <w:r>
        <w:rPr>
          <w:noProof/>
        </w:rPr>
        <w:t>má podobný účinok ako rámec zriadený podľa práva Únie;</w:t>
      </w:r>
    </w:p>
    <w:p w:rsidR="001B4D52" w:rsidRDefault="002815F0">
      <w:pPr>
        <w:pStyle w:val="Point2"/>
        <w:rPr>
          <w:noProof/>
        </w:rPr>
      </w:pPr>
      <w:r>
        <w:rPr>
          <w:noProof/>
        </w:rPr>
        <w:t>d)</w:t>
      </w:r>
      <w:r>
        <w:rPr>
          <w:noProof/>
        </w:rPr>
        <w:tab/>
        <w:t>ústredná vláda, regionálna vláda alebo prípadne miestny orgán majú povinnosť ochraňovať životaschopnosť inštitúcie alebo priamo alebo nepriamo ručia aspoň za 90 % požiadaviek na vlastné zdroje, poži</w:t>
      </w:r>
      <w:r>
        <w:rPr>
          <w:noProof/>
        </w:rPr>
        <w:t>adaviek na financovanie či expozícií inštitúcie;</w:t>
      </w:r>
    </w:p>
    <w:p w:rsidR="001B4D52" w:rsidRDefault="002815F0">
      <w:pPr>
        <w:pStyle w:val="Point2"/>
        <w:rPr>
          <w:noProof/>
        </w:rPr>
      </w:pPr>
      <w:r>
        <w:rPr>
          <w:noProof/>
        </w:rPr>
        <w:t>e)</w:t>
      </w:r>
      <w:r>
        <w:rPr>
          <w:noProof/>
        </w:rPr>
        <w:tab/>
        <w:t>nesmie akceptovať kryté vklady, ako sú vymedzené v článku 2 ods. 1 bode 5 smernice Európskeho parlamentu a Rady 2014/49/EÚ</w:t>
      </w:r>
      <w:r>
        <w:rPr>
          <w:rStyle w:val="FootnoteReference"/>
          <w:noProof/>
        </w:rPr>
        <w:footnoteReference w:id="13"/>
      </w:r>
      <w:r>
        <w:rPr>
          <w:noProof/>
        </w:rPr>
        <w:t>;</w:t>
      </w:r>
    </w:p>
    <w:p w:rsidR="001B4D52" w:rsidRDefault="002815F0">
      <w:pPr>
        <w:pStyle w:val="Point2"/>
        <w:rPr>
          <w:noProof/>
        </w:rPr>
      </w:pPr>
      <w:r>
        <w:rPr>
          <w:noProof/>
        </w:rPr>
        <w:t>f)</w:t>
      </w:r>
      <w:r>
        <w:rPr>
          <w:noProof/>
        </w:rPr>
        <w:tab/>
        <w:t>jej činnosti sa obmedzujú na členský štát, v ktorom sa nachádza jej ústredie</w:t>
      </w:r>
      <w:r>
        <w:rPr>
          <w:noProof/>
        </w:rPr>
        <w:t>;</w:t>
      </w:r>
    </w:p>
    <w:p w:rsidR="001B4D52" w:rsidRDefault="002815F0">
      <w:pPr>
        <w:pStyle w:val="Point2"/>
        <w:rPr>
          <w:noProof/>
        </w:rPr>
      </w:pPr>
      <w:r>
        <w:rPr>
          <w:noProof/>
        </w:rPr>
        <w:t>g)</w:t>
      </w:r>
      <w:r>
        <w:rPr>
          <w:noProof/>
        </w:rPr>
        <w:tab/>
        <w:t>celková hodnota aktív inštitúcie je nižšia ako 30 miliárd EUR;</w:t>
      </w:r>
    </w:p>
    <w:p w:rsidR="001B4D52" w:rsidRDefault="002815F0">
      <w:pPr>
        <w:pStyle w:val="Point2"/>
        <w:rPr>
          <w:noProof/>
        </w:rPr>
      </w:pPr>
      <w:r>
        <w:rPr>
          <w:noProof/>
        </w:rPr>
        <w:t>h)</w:t>
      </w:r>
      <w:r>
        <w:rPr>
          <w:noProof/>
        </w:rPr>
        <w:tab/>
        <w:t>pomer celkových aktív inštitúcie k HDP dotknutého členského štátu je nižší ako 20 %;</w:t>
      </w:r>
    </w:p>
    <w:p w:rsidR="001B4D52" w:rsidRDefault="002815F0">
      <w:pPr>
        <w:pStyle w:val="Point2"/>
        <w:rPr>
          <w:noProof/>
        </w:rPr>
      </w:pPr>
      <w:r>
        <w:rPr>
          <w:noProof/>
        </w:rPr>
        <w:t>i)</w:t>
      </w:r>
      <w:r>
        <w:rPr>
          <w:noProof/>
        </w:rPr>
        <w:tab/>
        <w:t>inštitúcia nemá značný význam pre domáce hospodárstvo dotknutého členského štátu.</w:t>
      </w:r>
    </w:p>
    <w:p w:rsidR="001B4D52" w:rsidRDefault="002815F0">
      <w:pPr>
        <w:pStyle w:val="Text1"/>
        <w:rPr>
          <w:noProof/>
        </w:rPr>
      </w:pPr>
      <w:r>
        <w:rPr>
          <w:noProof/>
        </w:rPr>
        <w:t>Komisia pravide</w:t>
      </w:r>
      <w:r>
        <w:rPr>
          <w:noProof/>
        </w:rPr>
        <w:t>lne preskúmava, či inštitúcia, ktorá je predmetom delegovaného aktu prijatého podľa článku 148, naďalej spĺňa podmienky stanovené v prvom pododseku.</w:t>
      </w:r>
    </w:p>
    <w:p w:rsidR="001B4D52" w:rsidRDefault="002815F0">
      <w:pPr>
        <w:pStyle w:val="Text1"/>
        <w:rPr>
          <w:noProof/>
        </w:rPr>
      </w:pPr>
      <w:r>
        <w:rPr>
          <w:noProof/>
        </w:rPr>
        <w:t>5b.</w:t>
      </w:r>
      <w:r>
        <w:rPr>
          <w:noProof/>
        </w:rPr>
        <w:tab/>
        <w:t>Táto smernica sa neuplatňuje na kategórie inštitúcií v členskom štáte, ak Komisia stanoví v delegovanom</w:t>
      </w:r>
      <w:r>
        <w:rPr>
          <w:noProof/>
        </w:rPr>
        <w:t xml:space="preserve"> akte prijatom podľa článku 148 na základe informácií, ktoré má k dispozícii, že inštitúcie patriace do tejto kategórie sa považujú za úverové združenia (credit unions) podľa vnútroštátneho práva členského štátu a spĺňajú všetky tieto podmienky:</w:t>
      </w:r>
    </w:p>
    <w:p w:rsidR="001B4D52" w:rsidRDefault="002815F0">
      <w:pPr>
        <w:pStyle w:val="Point2"/>
        <w:rPr>
          <w:noProof/>
        </w:rPr>
      </w:pPr>
      <w:r>
        <w:rPr>
          <w:noProof/>
        </w:rPr>
        <w:t>a)</w:t>
      </w:r>
      <w:r>
        <w:rPr>
          <w:noProof/>
        </w:rPr>
        <w:tab/>
        <w:t>sú fina</w:t>
      </w:r>
      <w:r>
        <w:rPr>
          <w:noProof/>
        </w:rPr>
        <w:t>nčné inštitúcie družstevnej povahy;</w:t>
      </w:r>
    </w:p>
    <w:p w:rsidR="001B4D52" w:rsidRDefault="002815F0">
      <w:pPr>
        <w:pStyle w:val="Point2"/>
        <w:rPr>
          <w:noProof/>
        </w:rPr>
      </w:pPr>
      <w:r>
        <w:rPr>
          <w:noProof/>
        </w:rPr>
        <w:t>b)</w:t>
      </w:r>
      <w:r>
        <w:rPr>
          <w:noProof/>
        </w:rPr>
        <w:tab/>
        <w:t>ich členstvo sa obmedzuje na skupinu členov zdieľajúcich určité vopred stanovené spoločné osobné prvky alebo záujmy;</w:t>
      </w:r>
    </w:p>
    <w:p w:rsidR="001B4D52" w:rsidRDefault="002815F0">
      <w:pPr>
        <w:pStyle w:val="Point2"/>
        <w:rPr>
          <w:noProof/>
        </w:rPr>
      </w:pPr>
      <w:r>
        <w:rPr>
          <w:noProof/>
        </w:rPr>
        <w:t>c)</w:t>
      </w:r>
      <w:r>
        <w:rPr>
          <w:noProof/>
        </w:rPr>
        <w:tab/>
        <w:t>sú povolené len na poskytovanie úverových a finančných služieb svojim členom;</w:t>
      </w:r>
    </w:p>
    <w:p w:rsidR="001B4D52" w:rsidRDefault="002815F0">
      <w:pPr>
        <w:pStyle w:val="Point2"/>
        <w:rPr>
          <w:noProof/>
        </w:rPr>
      </w:pPr>
      <w:r>
        <w:rPr>
          <w:noProof/>
        </w:rPr>
        <w:t>d)</w:t>
      </w:r>
      <w:r>
        <w:rPr>
          <w:noProof/>
        </w:rPr>
        <w:tab/>
        <w:t xml:space="preserve">sú povolené len </w:t>
      </w:r>
      <w:r>
        <w:rPr>
          <w:noProof/>
        </w:rPr>
        <w:t>na prijímanie vkladov alebo návratných zdrojov od svojich členov, pričom takéto vklady sa považujú za kryté vklady podľa článku 2 ods. 1 bodu 5 smernice 2014/49/EÚ;</w:t>
      </w:r>
    </w:p>
    <w:p w:rsidR="001B4D52" w:rsidRDefault="002815F0">
      <w:pPr>
        <w:pStyle w:val="Point2"/>
        <w:rPr>
          <w:noProof/>
        </w:rPr>
      </w:pPr>
      <w:r>
        <w:rPr>
          <w:noProof/>
          <w:color w:val="000000"/>
        </w:rPr>
        <w:t>e)</w:t>
      </w:r>
      <w:r>
        <w:rPr>
          <w:noProof/>
          <w:color w:val="000000"/>
        </w:rPr>
        <w:tab/>
        <w:t>sú povolené len na vykonávanie činností uvedených v bodoch 1 až 6 a 15 prílohy I k tejto</w:t>
      </w:r>
      <w:r>
        <w:rPr>
          <w:noProof/>
          <w:color w:val="000000"/>
        </w:rPr>
        <w:t xml:space="preserve"> smernici;</w:t>
      </w:r>
    </w:p>
    <w:p w:rsidR="001B4D52" w:rsidRDefault="002815F0">
      <w:pPr>
        <w:pStyle w:val="Point2"/>
        <w:rPr>
          <w:noProof/>
        </w:rPr>
      </w:pPr>
      <w:r>
        <w:rPr>
          <w:noProof/>
        </w:rPr>
        <w:t>f)</w:t>
      </w:r>
      <w:r>
        <w:rPr>
          <w:noProof/>
        </w:rPr>
        <w:tab/>
        <w:t>podliehajú primeraným a účinným prudenciálnym požiadavkám vrátane minimálnych kapitálových požiadaviek, ako aj rámcu dohľadu, ktorý má podobný účinok ako rámec zriadený podľa práva Únie;</w:t>
      </w:r>
    </w:p>
    <w:p w:rsidR="001B4D52" w:rsidRDefault="002815F0">
      <w:pPr>
        <w:pStyle w:val="Point2"/>
        <w:rPr>
          <w:noProof/>
        </w:rPr>
      </w:pPr>
      <w:r>
        <w:rPr>
          <w:noProof/>
        </w:rPr>
        <w:t>g)</w:t>
      </w:r>
      <w:r>
        <w:rPr>
          <w:noProof/>
        </w:rPr>
        <w:tab/>
        <w:t xml:space="preserve">agregovaná hodnota aktív tejto kategórie inštitúcií </w:t>
      </w:r>
      <w:r>
        <w:rPr>
          <w:noProof/>
        </w:rPr>
        <w:t>nepresahuje 3 % HDP dotknutého členského štátu a celková hodnota aktív jednotlivých inštitúcií nepresahuje 100 miliónov EUR;</w:t>
      </w:r>
    </w:p>
    <w:p w:rsidR="001B4D52" w:rsidRDefault="002815F0">
      <w:pPr>
        <w:pStyle w:val="Point2"/>
        <w:rPr>
          <w:noProof/>
        </w:rPr>
      </w:pPr>
      <w:r>
        <w:rPr>
          <w:noProof/>
        </w:rPr>
        <w:t>h)</w:t>
      </w:r>
      <w:r>
        <w:rPr>
          <w:noProof/>
        </w:rPr>
        <w:tab/>
        <w:t>ich činnosti sa obmedzujú na členský štát, v ktorom sa nachádza ich ústredie.</w:t>
      </w:r>
    </w:p>
    <w:p w:rsidR="001B4D52" w:rsidRDefault="002815F0">
      <w:pPr>
        <w:pStyle w:val="Text1"/>
        <w:rPr>
          <w:noProof/>
        </w:rPr>
      </w:pPr>
      <w:r>
        <w:rPr>
          <w:noProof/>
        </w:rPr>
        <w:t xml:space="preserve">Komisia pravidelne preskúmava, či kategória </w:t>
      </w:r>
      <w:r>
        <w:rPr>
          <w:noProof/>
        </w:rPr>
        <w:t>inštitúcií, ktorá je predmetom delegovaného aktu prijatého podľa článku 148, naďalej spĺňa podmienky stanovené v prvom pododseku.“.</w:t>
      </w:r>
    </w:p>
    <w:p w:rsidR="001B4D52" w:rsidRDefault="002815F0">
      <w:pPr>
        <w:pStyle w:val="Point1"/>
        <w:rPr>
          <w:noProof/>
        </w:rPr>
      </w:pPr>
      <w:r>
        <w:rPr>
          <w:noProof/>
        </w:rPr>
        <w:t>c)</w:t>
      </w:r>
      <w:r>
        <w:rPr>
          <w:noProof/>
        </w:rPr>
        <w:tab/>
        <w:t>odsek 6 sa nahrádza takto:</w:t>
      </w:r>
    </w:p>
    <w:p w:rsidR="001B4D52" w:rsidRDefault="002815F0">
      <w:pPr>
        <w:pStyle w:val="Text1"/>
        <w:rPr>
          <w:noProof/>
        </w:rPr>
      </w:pPr>
      <w:r>
        <w:rPr>
          <w:noProof/>
        </w:rPr>
        <w:t>„6. So subjektmi uvedenými v odseku 5 bode 1 a bodoch 3 až 24 a v delegovaných aktoch prijatýc</w:t>
      </w:r>
      <w:r>
        <w:rPr>
          <w:noProof/>
        </w:rPr>
        <w:t>h v súlade v odsekmi 5a a 5b tohto článku sa na účely článku 34 a hlavy VII kapitoly 3 zaobchádza ako s finančnými inštitúciami.“.</w:t>
      </w:r>
    </w:p>
    <w:p w:rsidR="001B4D52" w:rsidRDefault="002815F0">
      <w:pPr>
        <w:pStyle w:val="Point1"/>
        <w:rPr>
          <w:noProof/>
        </w:rPr>
      </w:pPr>
      <w:r>
        <w:rPr>
          <w:noProof/>
        </w:rPr>
        <w:t>d)</w:t>
      </w:r>
      <w:r>
        <w:rPr>
          <w:noProof/>
        </w:rPr>
        <w:tab/>
        <w:t>dopĺňa sa tento odsek 7:</w:t>
      </w:r>
    </w:p>
    <w:p w:rsidR="001B4D52" w:rsidRDefault="002815F0">
      <w:pPr>
        <w:pStyle w:val="Text1"/>
        <w:rPr>
          <w:noProof/>
        </w:rPr>
      </w:pPr>
      <w:r>
        <w:rPr>
          <w:noProof/>
        </w:rPr>
        <w:t xml:space="preserve">„Komisia preskúma do [5 rokov po nadobudnutí účinnosti] zoznam stanovený v článku 2 ods. 5, </w:t>
      </w:r>
      <w:r>
        <w:rPr>
          <w:noProof/>
        </w:rPr>
        <w:t xml:space="preserve">pričom posudzuje, či dôvody, ktoré viedli k začleneniu subjektov do zoznamu, sú stále platné, ako aj vnútroštátny právny rámec a dohľad, ktorý sa uplatňuje na subjekty uvedené v zozname, typ a kvalitu ochrany vkladov subjektov nachádzajúcich sa v zozname, </w:t>
      </w:r>
      <w:r>
        <w:rPr>
          <w:noProof/>
        </w:rPr>
        <w:t>a pre subjekty typu uvedeného v článku 2 ods. 5a a článku 2 ods. 5b, pričom takisto zohľadňuje kritériá uvedené v tejto smernici.“.</w:t>
      </w:r>
    </w:p>
    <w:p w:rsidR="001B4D52" w:rsidRDefault="002815F0">
      <w:pPr>
        <w:pStyle w:val="Point0"/>
        <w:rPr>
          <w:noProof/>
        </w:rPr>
      </w:pPr>
      <w:r>
        <w:rPr>
          <w:noProof/>
        </w:rPr>
        <w:t>2.</w:t>
      </w:r>
      <w:r>
        <w:rPr>
          <w:noProof/>
        </w:rPr>
        <w:tab/>
        <w:t>Článok 3 sa mení takto:</w:t>
      </w:r>
    </w:p>
    <w:p w:rsidR="001B4D52" w:rsidRDefault="002815F0">
      <w:pPr>
        <w:pStyle w:val="Point1"/>
        <w:rPr>
          <w:noProof/>
        </w:rPr>
      </w:pPr>
      <w:r>
        <w:rPr>
          <w:noProof/>
        </w:rPr>
        <w:t>a)</w:t>
      </w:r>
      <w:r>
        <w:rPr>
          <w:noProof/>
        </w:rPr>
        <w:tab/>
        <w:t>v odseku 1 sa dopĺňajú tieto body:</w:t>
      </w:r>
    </w:p>
    <w:p w:rsidR="001B4D52" w:rsidRDefault="002815F0">
      <w:pPr>
        <w:pStyle w:val="Text1"/>
        <w:rPr>
          <w:noProof/>
        </w:rPr>
      </w:pPr>
      <w:r>
        <w:rPr>
          <w:noProof/>
        </w:rPr>
        <w:t>„60. „orgán pre riešenie krízových situácií“ je orgán pre r</w:t>
      </w:r>
      <w:r>
        <w:rPr>
          <w:noProof/>
        </w:rPr>
        <w:t>iešenie krízových situácií vymedzený v článku 2 ods. 1 bode 18 smernice 2014/59/EÚ;</w:t>
      </w:r>
    </w:p>
    <w:p w:rsidR="001B4D52" w:rsidRDefault="002815F0">
      <w:pPr>
        <w:pStyle w:val="Text1"/>
        <w:rPr>
          <w:noProof/>
        </w:rPr>
      </w:pPr>
      <w:r>
        <w:rPr>
          <w:noProof/>
        </w:rPr>
        <w:t>61. „globálne systémovo významná inštitúcia“ (G-SII) je G-SII vymedzená v článku 4 ods. 1 bode 132 nariadenia (EÚ) č. 575/2013;</w:t>
      </w:r>
    </w:p>
    <w:p w:rsidR="001B4D52" w:rsidRDefault="002815F0">
      <w:pPr>
        <w:pStyle w:val="Text1"/>
        <w:rPr>
          <w:noProof/>
        </w:rPr>
      </w:pPr>
      <w:r>
        <w:rPr>
          <w:noProof/>
        </w:rPr>
        <w:t xml:space="preserve">62. „globálne systémovo významná inštitúcia </w:t>
      </w:r>
      <w:r>
        <w:rPr>
          <w:noProof/>
        </w:rPr>
        <w:t>mimo EÚ“ (G-SII mimo EÚ) je G-SII mimo EÚ vymedzená v článku 4 ods. 1 bode 133 nariadenia (EÚ) č. 575/2013;</w:t>
      </w:r>
    </w:p>
    <w:p w:rsidR="001B4D52" w:rsidRDefault="002815F0">
      <w:pPr>
        <w:pStyle w:val="Text1"/>
        <w:rPr>
          <w:noProof/>
        </w:rPr>
      </w:pPr>
      <w:r>
        <w:rPr>
          <w:noProof/>
        </w:rPr>
        <w:t>63. „skupina“ je skupina vymedzená v článku 4 ods. 1 bode 137 nariadenia (EÚ) č. 575/2013;</w:t>
      </w:r>
    </w:p>
    <w:p w:rsidR="001B4D52" w:rsidRDefault="002815F0">
      <w:pPr>
        <w:pStyle w:val="Text1"/>
        <w:rPr>
          <w:noProof/>
        </w:rPr>
      </w:pPr>
      <w:r>
        <w:rPr>
          <w:noProof/>
        </w:rPr>
        <w:t>64. „skupina z tretej krajiny“ je skupina, ktorej matersk</w:t>
      </w:r>
      <w:r>
        <w:rPr>
          <w:noProof/>
        </w:rPr>
        <w:t>á spoločnosť je usadená v tretej krajine.</w:t>
      </w:r>
    </w:p>
    <w:p w:rsidR="001B4D52" w:rsidRDefault="002815F0">
      <w:pPr>
        <w:pStyle w:val="Point1"/>
        <w:rPr>
          <w:noProof/>
        </w:rPr>
      </w:pPr>
      <w:r>
        <w:rPr>
          <w:noProof/>
        </w:rPr>
        <w:t>b)</w:t>
      </w:r>
      <w:r>
        <w:rPr>
          <w:noProof/>
        </w:rPr>
        <w:tab/>
        <w:t>dopĺňa sa tento odsek 3:</w:t>
      </w:r>
    </w:p>
    <w:p w:rsidR="001B4D52" w:rsidRDefault="002815F0">
      <w:pPr>
        <w:pStyle w:val="Text1"/>
        <w:rPr>
          <w:noProof/>
        </w:rPr>
      </w:pPr>
      <w:r>
        <w:rPr>
          <w:noProof/>
        </w:rPr>
        <w:t>„3. Na účely uplatňovania požiadaviek tejto smernice a nariadenia (EÚ) č. 575/2013 na konsolidovanom základe a na účely výkonu dohľadu na konsolidovanom základe v súlade s touto smernico</w:t>
      </w:r>
      <w:r>
        <w:rPr>
          <w:noProof/>
        </w:rPr>
        <w:t>u a nariadením (EÚ) č. 575/2013 pojmy „inštitúcia“, „materská inštitúcia v členskom štáte“, „materská inštitúcia v EÚ“ a „materská spoločnosť“ platia aj pre finančné holdingové spoločnosti a zmiešané finančné holdingové spoločnosti, ktoré podliehajú požiad</w:t>
      </w:r>
      <w:r>
        <w:rPr>
          <w:noProof/>
        </w:rPr>
        <w:t>avkám stanoveným v tejto smernici a v nariadení (EÚ) č. 575/2013 na konsolidovanom základe a sú povolené v súlade s článkom 21a.“.</w:t>
      </w:r>
    </w:p>
    <w:p w:rsidR="001B4D52" w:rsidRDefault="002815F0">
      <w:pPr>
        <w:pStyle w:val="Point0"/>
        <w:rPr>
          <w:noProof/>
        </w:rPr>
      </w:pPr>
      <w:r>
        <w:rPr>
          <w:noProof/>
        </w:rPr>
        <w:t>3.</w:t>
      </w:r>
      <w:r>
        <w:rPr>
          <w:noProof/>
        </w:rPr>
        <w:tab/>
        <w:t>V článku 4 sa odsek 8 nahrádza takto:</w:t>
      </w:r>
    </w:p>
    <w:p w:rsidR="001B4D52" w:rsidRDefault="002815F0">
      <w:pPr>
        <w:pStyle w:val="Text1"/>
        <w:rPr>
          <w:noProof/>
        </w:rPr>
      </w:pPr>
      <w:r>
        <w:rPr>
          <w:noProof/>
        </w:rPr>
        <w:t>„8. Členské štáty zabezpečia, aby v prípade, že iné orgány ako príslušné orgány majú</w:t>
      </w:r>
      <w:r>
        <w:rPr>
          <w:noProof/>
        </w:rPr>
        <w:t xml:space="preserve"> právomoc riešiť krízové situácie, tieto iné orgány úzko spolupracovali s príslušnými orgánmi a konzultovali ich, pokiaľ ide o prípravu plánov na riešenie krízových situácií a vo všetkých ostatných prípadoch, ak sa to požaduje v tejto smernici, smernici Eu</w:t>
      </w:r>
      <w:r>
        <w:rPr>
          <w:noProof/>
        </w:rPr>
        <w:t>rópskeho parlamentu a Rady 2014/59/EÚ</w:t>
      </w:r>
      <w:r>
        <w:rPr>
          <w:rStyle w:val="FootnoteReference"/>
          <w:noProof/>
        </w:rPr>
        <w:footnoteReference w:id="14"/>
      </w:r>
      <w:r>
        <w:rPr>
          <w:noProof/>
        </w:rPr>
        <w:t xml:space="preserve"> alebo nariadení (EÚ) č. 575/2013.“.</w:t>
      </w:r>
    </w:p>
    <w:p w:rsidR="001B4D52" w:rsidRDefault="002815F0">
      <w:pPr>
        <w:pStyle w:val="Point0"/>
        <w:rPr>
          <w:noProof/>
        </w:rPr>
      </w:pPr>
      <w:r>
        <w:rPr>
          <w:noProof/>
        </w:rPr>
        <w:t>4.</w:t>
      </w:r>
      <w:r>
        <w:rPr>
          <w:noProof/>
        </w:rPr>
        <w:tab/>
        <w:t>Článok 8 ods. 2 sa mení takto:</w:t>
      </w:r>
    </w:p>
    <w:p w:rsidR="001B4D52" w:rsidRDefault="002815F0">
      <w:pPr>
        <w:pStyle w:val="Point1"/>
        <w:rPr>
          <w:noProof/>
        </w:rPr>
      </w:pPr>
      <w:r>
        <w:rPr>
          <w:noProof/>
        </w:rPr>
        <w:t>a)</w:t>
      </w:r>
      <w:r>
        <w:rPr>
          <w:noProof/>
        </w:rPr>
        <w:tab/>
        <w:t>písmeno a) sa nahrádza takto:</w:t>
      </w:r>
    </w:p>
    <w:p w:rsidR="001B4D52" w:rsidRDefault="002815F0">
      <w:pPr>
        <w:pStyle w:val="Text1"/>
        <w:rPr>
          <w:noProof/>
        </w:rPr>
      </w:pPr>
      <w:r>
        <w:rPr>
          <w:noProof/>
        </w:rPr>
        <w:t>„a) informácie, ktoré sa majú poskytnúť príslušným orgánom v žiadosti o udelenie povolenia úverových inštitúcií vr</w:t>
      </w:r>
      <w:r>
        <w:rPr>
          <w:noProof/>
        </w:rPr>
        <w:t>átane plánu činnosti stanoveného v článku 10, a informácie potrebné pre požiadavky na povolenie stanovené členskými štátmi a oznámené orgánu EBA v súlade s odsekom 1;“</w:t>
      </w:r>
    </w:p>
    <w:p w:rsidR="001B4D52" w:rsidRDefault="002815F0">
      <w:pPr>
        <w:pStyle w:val="Point1"/>
        <w:rPr>
          <w:noProof/>
        </w:rPr>
      </w:pPr>
      <w:r>
        <w:rPr>
          <w:noProof/>
        </w:rPr>
        <w:t>b)</w:t>
      </w:r>
      <w:r>
        <w:rPr>
          <w:noProof/>
        </w:rPr>
        <w:tab/>
        <w:t>písmeno b) sa nahrádza takto:</w:t>
      </w:r>
    </w:p>
    <w:p w:rsidR="001B4D52" w:rsidRDefault="002815F0">
      <w:pPr>
        <w:pStyle w:val="Text1"/>
        <w:rPr>
          <w:noProof/>
        </w:rPr>
      </w:pPr>
      <w:r>
        <w:rPr>
          <w:noProof/>
        </w:rPr>
        <w:t>„b) požiadavky vzťahujúce sa na akcionárov a spoločníko</w:t>
      </w:r>
      <w:r>
        <w:rPr>
          <w:noProof/>
        </w:rPr>
        <w:t>v s kvalifikovanými účasťami alebo, ak neexistujú kvalifikované účasti, na 20 najväčších akcionárov alebo spoločníkov, v súlade s článkom 14; a“.</w:t>
      </w:r>
    </w:p>
    <w:p w:rsidR="001B4D52" w:rsidRDefault="002815F0">
      <w:pPr>
        <w:pStyle w:val="Point0"/>
        <w:rPr>
          <w:noProof/>
        </w:rPr>
      </w:pPr>
      <w:r>
        <w:rPr>
          <w:noProof/>
        </w:rPr>
        <w:t>5.</w:t>
      </w:r>
      <w:r>
        <w:rPr>
          <w:noProof/>
        </w:rPr>
        <w:tab/>
        <w:t>V článku 9 sa odsek 2 nahrádza takto:</w:t>
      </w:r>
    </w:p>
    <w:p w:rsidR="001B4D52" w:rsidRDefault="002815F0">
      <w:pPr>
        <w:pStyle w:val="Text1"/>
        <w:rPr>
          <w:noProof/>
        </w:rPr>
      </w:pPr>
      <w:r>
        <w:rPr>
          <w:noProof/>
        </w:rPr>
        <w:t>„2. Odsek 1 sa nevzťahuje na prijímanie vkladov alebo iných návratnýc</w:t>
      </w:r>
      <w:r>
        <w:rPr>
          <w:noProof/>
        </w:rPr>
        <w:t>h zdrojov zo strany ktoréhokoľvek z týchto subjektov:</w:t>
      </w:r>
    </w:p>
    <w:p w:rsidR="001B4D52" w:rsidRDefault="002815F0">
      <w:pPr>
        <w:pStyle w:val="Point2"/>
        <w:rPr>
          <w:noProof/>
        </w:rPr>
      </w:pPr>
      <w:r>
        <w:rPr>
          <w:noProof/>
        </w:rPr>
        <w:t>a)</w:t>
      </w:r>
      <w:r>
        <w:rPr>
          <w:noProof/>
        </w:rPr>
        <w:tab/>
        <w:t>členský štát;</w:t>
      </w:r>
    </w:p>
    <w:p w:rsidR="001B4D52" w:rsidRDefault="002815F0">
      <w:pPr>
        <w:pStyle w:val="Point2"/>
        <w:rPr>
          <w:noProof/>
        </w:rPr>
      </w:pPr>
      <w:r>
        <w:rPr>
          <w:noProof/>
        </w:rPr>
        <w:t>b)</w:t>
      </w:r>
      <w:r>
        <w:rPr>
          <w:noProof/>
        </w:rPr>
        <w:tab/>
        <w:t>regionálny alebo miestny orgán členského štátu;</w:t>
      </w:r>
    </w:p>
    <w:p w:rsidR="001B4D52" w:rsidRDefault="002815F0">
      <w:pPr>
        <w:pStyle w:val="Point2"/>
        <w:rPr>
          <w:noProof/>
        </w:rPr>
      </w:pPr>
      <w:r>
        <w:rPr>
          <w:noProof/>
        </w:rPr>
        <w:t>c)</w:t>
      </w:r>
      <w:r>
        <w:rPr>
          <w:noProof/>
        </w:rPr>
        <w:tab/>
        <w:t>medzinárodné verejné orgány, ktorých členom je jeden alebo viac členských štátov;</w:t>
      </w:r>
    </w:p>
    <w:p w:rsidR="001B4D52" w:rsidRDefault="002815F0">
      <w:pPr>
        <w:pStyle w:val="Point2"/>
        <w:rPr>
          <w:noProof/>
        </w:rPr>
      </w:pPr>
      <w:r>
        <w:rPr>
          <w:noProof/>
        </w:rPr>
        <w:t>d)</w:t>
      </w:r>
      <w:r>
        <w:rPr>
          <w:noProof/>
        </w:rPr>
        <w:tab/>
        <w:t xml:space="preserve">osoby alebo podniky začínajúce a vykonávajúce </w:t>
      </w:r>
      <w:r>
        <w:rPr>
          <w:noProof/>
        </w:rPr>
        <w:t>činnosti, na ktoré sa výslovne vzťahuje právo Únie iné ako táto smernica a nariadenie (EÚ) č. 575/2013;</w:t>
      </w:r>
    </w:p>
    <w:p w:rsidR="001B4D52" w:rsidRDefault="002815F0">
      <w:pPr>
        <w:pStyle w:val="Point2"/>
        <w:rPr>
          <w:noProof/>
        </w:rPr>
      </w:pPr>
      <w:r>
        <w:rPr>
          <w:noProof/>
        </w:rPr>
        <w:t>e)</w:t>
      </w:r>
      <w:r>
        <w:rPr>
          <w:noProof/>
        </w:rPr>
        <w:tab/>
        <w:t>subjekty uvedené v článku 2 ods. 5, ktorých činnosť sa riadi vnútroštátnym právom.“.</w:t>
      </w:r>
    </w:p>
    <w:p w:rsidR="001B4D52" w:rsidRDefault="002815F0">
      <w:pPr>
        <w:pStyle w:val="Point0"/>
        <w:rPr>
          <w:noProof/>
        </w:rPr>
      </w:pPr>
      <w:r>
        <w:rPr>
          <w:noProof/>
        </w:rPr>
        <w:t>6.</w:t>
      </w:r>
      <w:r>
        <w:rPr>
          <w:noProof/>
        </w:rPr>
        <w:tab/>
        <w:t>Článok 10 sa nahrádza takto:</w:t>
      </w:r>
    </w:p>
    <w:p w:rsidR="001B4D52" w:rsidRDefault="002815F0">
      <w:pPr>
        <w:pStyle w:val="Titrearticle"/>
        <w:rPr>
          <w:noProof/>
        </w:rPr>
      </w:pPr>
      <w:r>
        <w:rPr>
          <w:noProof/>
        </w:rPr>
        <w:t>„Článok 10</w:t>
      </w:r>
      <w:r>
        <w:rPr>
          <w:noProof/>
        </w:rPr>
        <w:br/>
        <w:t xml:space="preserve">Plán činnosti </w:t>
      </w:r>
      <w:r>
        <w:rPr>
          <w:noProof/>
        </w:rPr>
        <w:t>a organizačná štruktúra</w:t>
      </w:r>
    </w:p>
    <w:p w:rsidR="001B4D52" w:rsidRDefault="002815F0">
      <w:pPr>
        <w:rPr>
          <w:noProof/>
        </w:rPr>
      </w:pPr>
      <w:r>
        <w:rPr>
          <w:noProof/>
        </w:rPr>
        <w:t>Členské štáty vyžadujú, aby bol k žiadostiam o udelenie povolenia priložený plán činnosti, v ktorom sú uvedené druhy plánovaných podnikateľských činností a organizačná štruktúra úverovej inštitúcie vrátane informácií o materských sp</w:t>
      </w:r>
      <w:r>
        <w:rPr>
          <w:noProof/>
        </w:rPr>
        <w:t>oločnostiach, finančných holdingových spoločnostiach a zmiešaných finančných holdingových spoločnostiach v rámci skupiny.“.</w:t>
      </w:r>
    </w:p>
    <w:p w:rsidR="001B4D52" w:rsidRDefault="002815F0">
      <w:pPr>
        <w:pStyle w:val="Point0"/>
        <w:rPr>
          <w:noProof/>
        </w:rPr>
      </w:pPr>
      <w:r>
        <w:rPr>
          <w:noProof/>
        </w:rPr>
        <w:t>7.</w:t>
      </w:r>
      <w:r>
        <w:rPr>
          <w:noProof/>
        </w:rPr>
        <w:tab/>
        <w:t>V článku 14 sa odsek 2 nahrádza takto:</w:t>
      </w:r>
    </w:p>
    <w:p w:rsidR="001B4D52" w:rsidRDefault="002815F0">
      <w:pPr>
        <w:pStyle w:val="Text1"/>
        <w:rPr>
          <w:noProof/>
        </w:rPr>
      </w:pPr>
      <w:r>
        <w:rPr>
          <w:noProof/>
        </w:rPr>
        <w:t>„2. Príslušné orgány odmietnu udeliť povolenie na začatie činnosti úverovej inštitúcie, ak</w:t>
      </w:r>
      <w:r>
        <w:rPr>
          <w:noProof/>
        </w:rPr>
        <w:t xml:space="preserve"> po zohľadnení potreby zabezpečiť zdravé a obozretné riadenie úverovej inštitúcie nie sú presvedčené o vhodnosti akcionárov alebo spoločníkov v súlade s kritériami stanovenými v článku 23 ods. 1. Uplatňuje sa článok 23 ods. 2 a 3 a článok 24.“.</w:t>
      </w:r>
    </w:p>
    <w:p w:rsidR="001B4D52" w:rsidRDefault="002815F0">
      <w:pPr>
        <w:pStyle w:val="Point0"/>
        <w:rPr>
          <w:noProof/>
        </w:rPr>
      </w:pPr>
      <w:r>
        <w:rPr>
          <w:noProof/>
        </w:rPr>
        <w:t>8.</w:t>
      </w:r>
      <w:r>
        <w:rPr>
          <w:noProof/>
        </w:rPr>
        <w:tab/>
        <w:t>V článku</w:t>
      </w:r>
      <w:r>
        <w:rPr>
          <w:noProof/>
        </w:rPr>
        <w:t xml:space="preserve"> 18 sa písmeno d) nahrádza takto:</w:t>
      </w:r>
    </w:p>
    <w:p w:rsidR="001B4D52" w:rsidRDefault="002815F0">
      <w:pPr>
        <w:pStyle w:val="Text1"/>
        <w:rPr>
          <w:noProof/>
        </w:rPr>
      </w:pPr>
      <w:r>
        <w:rPr>
          <w:noProof/>
        </w:rPr>
        <w:t>„d) už nespĺňa prudenciálne požiadavky stanovené v tretej, štvrtej alebo šiestej časti, s výnimkou požiadaviek stanovených v článku 92a a 92b, nariadenia (EÚ) č. 575/2013 alebo uložené podľa článku 104 ods. 1 písm. a) aleb</w:t>
      </w:r>
      <w:r>
        <w:rPr>
          <w:noProof/>
        </w:rPr>
        <w:t>o článku 105 tejto smernice, alebo sa už nedá spoliehať na to, že bude plniť svoje záväzky voči veriteľom, a najmä už neposkytuje záruku na aktíva, ktoré jej zverili držitelia vkladov.“.</w:t>
      </w:r>
    </w:p>
    <w:p w:rsidR="001B4D52" w:rsidRDefault="002815F0">
      <w:pPr>
        <w:pStyle w:val="Point0"/>
        <w:rPr>
          <w:noProof/>
        </w:rPr>
      </w:pPr>
      <w:r>
        <w:rPr>
          <w:noProof/>
        </w:rPr>
        <w:t>9.</w:t>
      </w:r>
      <w:r>
        <w:rPr>
          <w:noProof/>
        </w:rPr>
        <w:tab/>
        <w:t>Vkladajú sa tieto články 21a a 21b:</w:t>
      </w:r>
    </w:p>
    <w:p w:rsidR="001B4D52" w:rsidRDefault="002815F0">
      <w:pPr>
        <w:pStyle w:val="Titrearticle"/>
        <w:rPr>
          <w:noProof/>
        </w:rPr>
      </w:pPr>
      <w:r>
        <w:rPr>
          <w:noProof/>
        </w:rPr>
        <w:t>„Článok 21a</w:t>
      </w:r>
      <w:r>
        <w:rPr>
          <w:noProof/>
        </w:rPr>
        <w:br/>
        <w:t>Udelenie povolenia</w:t>
      </w:r>
      <w:r>
        <w:rPr>
          <w:noProof/>
        </w:rPr>
        <w:t xml:space="preserve"> finančných holdingových spoločností a zmiešaných finančných holdingových spoločností</w:t>
      </w:r>
    </w:p>
    <w:p w:rsidR="001B4D52" w:rsidRDefault="002815F0">
      <w:pPr>
        <w:pStyle w:val="ManualNumPar1"/>
        <w:rPr>
          <w:noProof/>
        </w:rPr>
      </w:pPr>
      <w:r>
        <w:t>1.</w:t>
      </w:r>
      <w:r>
        <w:tab/>
      </w:r>
      <w:r>
        <w:rPr>
          <w:noProof/>
        </w:rPr>
        <w:t>Členské štáty požadujú, aby finančné holdingové spoločnosti a zmiešané finančné holdingové spoločnosti získali povolenie od orgánu konsolidovaného dohľadu určeného v s</w:t>
      </w:r>
      <w:r>
        <w:rPr>
          <w:noProof/>
        </w:rPr>
        <w:t>úlade s článkom 111.</w:t>
      </w:r>
    </w:p>
    <w:p w:rsidR="001B4D52" w:rsidRDefault="002815F0">
      <w:pPr>
        <w:pStyle w:val="Text1"/>
        <w:rPr>
          <w:noProof/>
        </w:rPr>
      </w:pPr>
      <w:r>
        <w:rPr>
          <w:noProof/>
        </w:rPr>
        <w:t>Ak je orgán konsolidovaného dohľadu iný ako príslušný orgán v členskom štáte, v ktorom bola finančná holdingová spoločnosť alebo zmiešaná finančná holdingová spoločnosť zriadená, orgán konsolidovaného dohľadu konzultuje príslušný orgán</w:t>
      </w:r>
      <w:r>
        <w:rPr>
          <w:noProof/>
        </w:rPr>
        <w:t>.</w:t>
      </w:r>
    </w:p>
    <w:p w:rsidR="001B4D52" w:rsidRDefault="002815F0">
      <w:pPr>
        <w:pStyle w:val="ManualNumPar1"/>
        <w:rPr>
          <w:noProof/>
        </w:rPr>
      </w:pPr>
      <w:r>
        <w:t>2.</w:t>
      </w:r>
      <w:r>
        <w:tab/>
      </w:r>
      <w:r>
        <w:rPr>
          <w:noProof/>
        </w:rPr>
        <w:t>Žiadosť o udelenie povolenia uvedená v odseku 1 obsahuje tieto informácie:</w:t>
      </w:r>
    </w:p>
    <w:p w:rsidR="001B4D52" w:rsidRDefault="002815F0">
      <w:pPr>
        <w:pStyle w:val="Point1"/>
        <w:rPr>
          <w:noProof/>
        </w:rPr>
      </w:pPr>
      <w:r>
        <w:rPr>
          <w:noProof/>
        </w:rPr>
        <w:t>a)</w:t>
      </w:r>
      <w:r>
        <w:rPr>
          <w:noProof/>
        </w:rPr>
        <w:tab/>
        <w:t>organizačná štruktúra skupiny, ktorej finančná holdingová spoločnosť alebo zmiešaná finančná holdingová spoločnosť je súčasťou, pričom sa jasne uvedú dcérske spoločnosti a p</w:t>
      </w:r>
      <w:r>
        <w:rPr>
          <w:noProof/>
        </w:rPr>
        <w:t>rípadne materské spoločnosti;</w:t>
      </w:r>
    </w:p>
    <w:p w:rsidR="001B4D52" w:rsidRDefault="002815F0">
      <w:pPr>
        <w:pStyle w:val="Point1"/>
        <w:rPr>
          <w:noProof/>
        </w:rPr>
      </w:pPr>
      <w:r>
        <w:rPr>
          <w:noProof/>
        </w:rPr>
        <w:t>b)</w:t>
      </w:r>
      <w:r>
        <w:rPr>
          <w:noProof/>
        </w:rPr>
        <w:tab/>
        <w:t>dodržiavanie súladu s požiadavkami na účinné riadenie činnosti a miesto ústredia stanovenými v článku 13;</w:t>
      </w:r>
    </w:p>
    <w:p w:rsidR="001B4D52" w:rsidRDefault="002815F0">
      <w:pPr>
        <w:pStyle w:val="Point1"/>
        <w:rPr>
          <w:noProof/>
        </w:rPr>
      </w:pPr>
      <w:r>
        <w:rPr>
          <w:noProof/>
        </w:rPr>
        <w:t>c)</w:t>
      </w:r>
      <w:r>
        <w:rPr>
          <w:noProof/>
        </w:rPr>
        <w:tab/>
        <w:t>dodržiavanie súladu s požiadavkami na akcionárov a spoločníkov stanovenými v článku 14.</w:t>
      </w:r>
    </w:p>
    <w:p w:rsidR="001B4D52" w:rsidRDefault="002815F0">
      <w:pPr>
        <w:pStyle w:val="ManualNumPar1"/>
        <w:rPr>
          <w:noProof/>
        </w:rPr>
      </w:pPr>
      <w:r>
        <w:t>3.</w:t>
      </w:r>
      <w:r>
        <w:tab/>
      </w:r>
      <w:r>
        <w:rPr>
          <w:noProof/>
        </w:rPr>
        <w:t>Orgán konsolidovaného d</w:t>
      </w:r>
      <w:r>
        <w:rPr>
          <w:noProof/>
        </w:rPr>
        <w:t>ohľadu môže udeliť povolenie iba vtedy, ak je presvedčený, že sú splnené všetky tieto podmienky:</w:t>
      </w:r>
    </w:p>
    <w:p w:rsidR="001B4D52" w:rsidRDefault="002815F0">
      <w:pPr>
        <w:pStyle w:val="Point1"/>
        <w:rPr>
          <w:noProof/>
        </w:rPr>
      </w:pPr>
      <w:r>
        <w:rPr>
          <w:noProof/>
        </w:rPr>
        <w:t>a)</w:t>
      </w:r>
      <w:r>
        <w:rPr>
          <w:noProof/>
        </w:rPr>
        <w:tab/>
        <w:t>finančná holdingová spoločnosť alebo zmiešaná finančná holdingová spoločnosť, ktorá podlieha požiadavkám stanoveným v tejto smernici a v nariadení (EÚ) č. 5</w:t>
      </w:r>
      <w:r>
        <w:rPr>
          <w:noProof/>
        </w:rPr>
        <w:t>75/2013, je spôsobilá zabezpečiť súlad s danými požiadavkami;</w:t>
      </w:r>
    </w:p>
    <w:p w:rsidR="001B4D52" w:rsidRDefault="002815F0">
      <w:pPr>
        <w:pStyle w:val="Point1"/>
        <w:rPr>
          <w:noProof/>
        </w:rPr>
      </w:pPr>
      <w:r>
        <w:rPr>
          <w:noProof/>
        </w:rPr>
        <w:t>b)</w:t>
      </w:r>
      <w:r>
        <w:rPr>
          <w:noProof/>
        </w:rPr>
        <w:tab/>
        <w:t>finančná holdingová spoločnosť alebo zmiešaná finančná holdingová spoločnosť neznemožňuje účinný dohľad nad dcérskymi inštitúciami alebo materskými inštitúciami.</w:t>
      </w:r>
    </w:p>
    <w:p w:rsidR="001B4D52" w:rsidRDefault="002815F0">
      <w:pPr>
        <w:pStyle w:val="ManualNumPar1"/>
        <w:rPr>
          <w:noProof/>
        </w:rPr>
      </w:pPr>
      <w:r>
        <w:t>4.</w:t>
      </w:r>
      <w:r>
        <w:tab/>
      </w:r>
      <w:r>
        <w:rPr>
          <w:noProof/>
        </w:rPr>
        <w:t>Orgány konsolidovaného doh</w:t>
      </w:r>
      <w:r>
        <w:rPr>
          <w:noProof/>
        </w:rPr>
        <w:t>ľadu požadujú od finančných holdingových spoločností a zmiešaných finančných holdingových spoločností, aby im poskytovali informácie, ktoré potrebujú na monitorovanie organizačnej štruktúry skupiny a dodržiavania súladu s požiadavkami udelenia povolenia uv</w:t>
      </w:r>
      <w:r>
        <w:rPr>
          <w:noProof/>
        </w:rPr>
        <w:t>edenými v tomto článku.</w:t>
      </w:r>
    </w:p>
    <w:p w:rsidR="001B4D52" w:rsidRDefault="002815F0">
      <w:pPr>
        <w:pStyle w:val="ManualNumPar1"/>
        <w:rPr>
          <w:noProof/>
        </w:rPr>
      </w:pPr>
      <w:r>
        <w:t>5.</w:t>
      </w:r>
      <w:r>
        <w:tab/>
      </w:r>
      <w:r>
        <w:rPr>
          <w:noProof/>
        </w:rPr>
        <w:t xml:space="preserve">Orgány konsolidovaného dohľadu môžu odňať povolenie udelené finančnej holdingovej spoločnosti alebo zmiešanej finančnej holdingovej spoločnosti len v prípade, ak takáto finančná holdingová spoločnosť alebo zmiešaná finančná </w:t>
      </w:r>
      <w:r>
        <w:rPr>
          <w:noProof/>
        </w:rPr>
        <w:t>holdingová spoločnosť:</w:t>
      </w:r>
    </w:p>
    <w:p w:rsidR="001B4D52" w:rsidRDefault="002815F0">
      <w:pPr>
        <w:pStyle w:val="Point1"/>
        <w:rPr>
          <w:noProof/>
        </w:rPr>
      </w:pPr>
      <w:r>
        <w:rPr>
          <w:noProof/>
        </w:rPr>
        <w:t>a)</w:t>
      </w:r>
      <w:r>
        <w:rPr>
          <w:noProof/>
        </w:rPr>
        <w:tab/>
        <w:t>nevyužije povolenie do 12 mesiacov, výslovne sa vzdá povolenia alebo predala všetky svoje dcérske spoločnosti, ktoré sú inštitúciami;</w:t>
      </w:r>
    </w:p>
    <w:p w:rsidR="001B4D52" w:rsidRDefault="002815F0">
      <w:pPr>
        <w:pStyle w:val="Point1"/>
        <w:rPr>
          <w:noProof/>
        </w:rPr>
      </w:pPr>
      <w:r>
        <w:rPr>
          <w:noProof/>
        </w:rPr>
        <w:t>b)</w:t>
      </w:r>
      <w:r>
        <w:rPr>
          <w:noProof/>
        </w:rPr>
        <w:tab/>
        <w:t>získala povolenie na základe nepravdivých vyhlásení alebo iným neregulárnym spôsobom;</w:t>
      </w:r>
    </w:p>
    <w:p w:rsidR="001B4D52" w:rsidRDefault="002815F0">
      <w:pPr>
        <w:pStyle w:val="Point1"/>
        <w:rPr>
          <w:noProof/>
        </w:rPr>
      </w:pPr>
      <w:r>
        <w:rPr>
          <w:noProof/>
        </w:rPr>
        <w:t>c)</w:t>
      </w:r>
      <w:r>
        <w:rPr>
          <w:noProof/>
        </w:rPr>
        <w:tab/>
        <w:t>už n</w:t>
      </w:r>
      <w:r>
        <w:rPr>
          <w:noProof/>
        </w:rPr>
        <w:t>espĺňa podmienky, na základe ktorých bolo povolenie udelené;</w:t>
      </w:r>
    </w:p>
    <w:p w:rsidR="001B4D52" w:rsidRDefault="002815F0">
      <w:pPr>
        <w:pStyle w:val="Point1"/>
        <w:rPr>
          <w:noProof/>
        </w:rPr>
      </w:pPr>
      <w:r>
        <w:rPr>
          <w:noProof/>
        </w:rPr>
        <w:t>d)</w:t>
      </w:r>
      <w:r>
        <w:rPr>
          <w:noProof/>
        </w:rPr>
        <w:tab/>
        <w:t>podlieha požiadavkám stanoveným v tejto smernici a v nariadení (EÚ) č. 575/2013 na konsolidovanom základe a už nespĺňa prudenciálne požiadavky stanovené v tretej, štvrtej alebo šiestej časti n</w:t>
      </w:r>
      <w:r>
        <w:rPr>
          <w:noProof/>
        </w:rPr>
        <w:t>ariadenia (EÚ) č. 575/2013 alebo uložené podľa článku 104 ods. 1 písm. a) alebo článku 105 tejto smernice, alebo sa už nedá spoliehať na to, že bude plniť svoje záväzky voči veriteľom;</w:t>
      </w:r>
    </w:p>
    <w:p w:rsidR="001B4D52" w:rsidRDefault="002815F0">
      <w:pPr>
        <w:pStyle w:val="Point1"/>
        <w:rPr>
          <w:noProof/>
        </w:rPr>
      </w:pPr>
      <w:r>
        <w:rPr>
          <w:noProof/>
        </w:rPr>
        <w:t>e)</w:t>
      </w:r>
      <w:r>
        <w:rPr>
          <w:noProof/>
        </w:rPr>
        <w:tab/>
        <w:t>nastal jeden z iných prípadov, v ktorých sa odňatie povolenia stanov</w:t>
      </w:r>
      <w:r>
        <w:rPr>
          <w:noProof/>
        </w:rPr>
        <w:t>uje vo vnútroštátnych právnych predpisoch; alebo</w:t>
      </w:r>
    </w:p>
    <w:p w:rsidR="001B4D52" w:rsidRDefault="002815F0">
      <w:pPr>
        <w:pStyle w:val="Point1"/>
        <w:rPr>
          <w:noProof/>
        </w:rPr>
      </w:pPr>
      <w:r>
        <w:rPr>
          <w:noProof/>
        </w:rPr>
        <w:t>f)</w:t>
      </w:r>
      <w:r>
        <w:rPr>
          <w:noProof/>
        </w:rPr>
        <w:tab/>
        <w:t>sa dopustí jedného z porušení uvedených v článku 67 ods. 1.</w:t>
      </w:r>
    </w:p>
    <w:p w:rsidR="001B4D52" w:rsidRDefault="002815F0">
      <w:pPr>
        <w:pStyle w:val="title-article-norm2"/>
        <w:rPr>
          <w:noProof/>
        </w:rPr>
      </w:pPr>
      <w:r>
        <w:rPr>
          <w:noProof/>
        </w:rPr>
        <w:t>Článok 21b</w:t>
      </w:r>
      <w:r>
        <w:rPr>
          <w:noProof/>
        </w:rPr>
        <w:br/>
        <w:t>Materská spoločnosť v EÚ na medzistupni</w:t>
      </w:r>
    </w:p>
    <w:p w:rsidR="001B4D52" w:rsidRDefault="002815F0">
      <w:pPr>
        <w:pStyle w:val="ManualNumPar1"/>
        <w:rPr>
          <w:noProof/>
        </w:rPr>
      </w:pPr>
      <w:r>
        <w:t>1.</w:t>
      </w:r>
      <w:r>
        <w:tab/>
      </w:r>
      <w:r>
        <w:rPr>
          <w:noProof/>
        </w:rPr>
        <w:t xml:space="preserve">Členské štáty požadujú, aby dve alebo viac inštitúcií v Únii, ktoré sú súčasťou tej istej </w:t>
      </w:r>
      <w:r>
        <w:rPr>
          <w:noProof/>
        </w:rPr>
        <w:t>skupiny z tretej krajiny, mali materskú spoločnosť v EÚ na medzistupni, ktorá je usadená v Únii.</w:t>
      </w:r>
    </w:p>
    <w:p w:rsidR="001B4D52" w:rsidRDefault="002815F0">
      <w:pPr>
        <w:pStyle w:val="ManualNumPar1"/>
        <w:rPr>
          <w:noProof/>
        </w:rPr>
      </w:pPr>
      <w:r>
        <w:t>2.</w:t>
      </w:r>
      <w:r>
        <w:tab/>
      </w:r>
      <w:r>
        <w:rPr>
          <w:noProof/>
        </w:rPr>
        <w:t>Členské štáty požadujú od materskej spoločnosti v EÚ na medzistupni, aby získala povolenie ako inštitúcia v súlade s článkom 8 alebo ako finančná holdingová</w:t>
      </w:r>
      <w:r>
        <w:rPr>
          <w:noProof/>
        </w:rPr>
        <w:t xml:space="preserve"> spoločnosť alebo zmiešaná finančná holdingová spoločnosť v súlade s článkom 21a.</w:t>
      </w:r>
    </w:p>
    <w:p w:rsidR="001B4D52" w:rsidRDefault="002815F0">
      <w:pPr>
        <w:pStyle w:val="ManualNumPar1"/>
        <w:rPr>
          <w:noProof/>
        </w:rPr>
      </w:pPr>
      <w:r>
        <w:t>3.</w:t>
      </w:r>
      <w:r>
        <w:tab/>
      </w:r>
      <w:r>
        <w:rPr>
          <w:noProof/>
        </w:rPr>
        <w:t>Odseky 1 a 2 sa neuplatňujú, ak celková hodnota aktív v Únii skupiny z tretej krajiny je nižšia ako 30 miliárd EUR, pokiaľ skupina z tretej krajiny nie je G-SII mimo EÚ.</w:t>
      </w:r>
    </w:p>
    <w:p w:rsidR="001B4D52" w:rsidRDefault="002815F0">
      <w:pPr>
        <w:pStyle w:val="ManualNumPar1"/>
        <w:rPr>
          <w:noProof/>
        </w:rPr>
      </w:pPr>
      <w:r>
        <w:t>4</w:t>
      </w:r>
      <w:r>
        <w:t>.</w:t>
      </w:r>
      <w:r>
        <w:tab/>
      </w:r>
      <w:r>
        <w:rPr>
          <w:noProof/>
        </w:rPr>
        <w:t>Na účely tohto článku celková hodnota aktív v Únii skupiny z tretej krajiny zahŕňa:</w:t>
      </w:r>
    </w:p>
    <w:p w:rsidR="001B4D52" w:rsidRDefault="002815F0">
      <w:pPr>
        <w:pStyle w:val="Point1"/>
        <w:rPr>
          <w:noProof/>
        </w:rPr>
      </w:pPr>
      <w:r>
        <w:rPr>
          <w:noProof/>
        </w:rPr>
        <w:t>a)</w:t>
      </w:r>
      <w:r>
        <w:rPr>
          <w:noProof/>
        </w:rPr>
        <w:tab/>
        <w:t>celkové aktíva každej inštitúcie v Únii skupiny z tretej krajiny, ktoré vyplývajú z ich konsolidovanej súvahy; a</w:t>
      </w:r>
    </w:p>
    <w:p w:rsidR="001B4D52" w:rsidRDefault="002815F0">
      <w:pPr>
        <w:pStyle w:val="Point1"/>
        <w:rPr>
          <w:noProof/>
        </w:rPr>
      </w:pPr>
      <w:r>
        <w:rPr>
          <w:noProof/>
        </w:rPr>
        <w:t>b)</w:t>
      </w:r>
      <w:r>
        <w:rPr>
          <w:noProof/>
        </w:rPr>
        <w:tab/>
        <w:t>celkové aktíva každej pobočky skupiny z tretej kraj</w:t>
      </w:r>
      <w:r>
        <w:rPr>
          <w:noProof/>
        </w:rPr>
        <w:t>iny povolenej v Únii.</w:t>
      </w:r>
    </w:p>
    <w:p w:rsidR="001B4D52" w:rsidRDefault="002815F0">
      <w:pPr>
        <w:pStyle w:val="ManualNumPar1"/>
        <w:rPr>
          <w:noProof/>
        </w:rPr>
      </w:pPr>
      <w:r>
        <w:t>5.</w:t>
      </w:r>
      <w:r>
        <w:tab/>
      </w:r>
      <w:r>
        <w:rPr>
          <w:noProof/>
        </w:rPr>
        <w:t>Príslušné orgány oznamujú orgánu EBA každé povolenie udelené podľa odseku 2.</w:t>
      </w:r>
    </w:p>
    <w:p w:rsidR="001B4D52" w:rsidRDefault="002815F0">
      <w:pPr>
        <w:pStyle w:val="ManualNumPar1"/>
        <w:rPr>
          <w:noProof/>
        </w:rPr>
      </w:pPr>
      <w:r>
        <w:t>6.</w:t>
      </w:r>
      <w:r>
        <w:tab/>
      </w:r>
      <w:r>
        <w:rPr>
          <w:noProof/>
        </w:rPr>
        <w:t>Orgán EBA uverejní na svojom webovom sídle zoznam všetkých materských spoločností v EÚ na medzistupni, ktorým bolo udelené povolenie v Únii.</w:t>
      </w:r>
    </w:p>
    <w:p w:rsidR="001B4D52" w:rsidRDefault="002815F0">
      <w:pPr>
        <w:pStyle w:val="Text1"/>
        <w:rPr>
          <w:noProof/>
        </w:rPr>
      </w:pPr>
      <w:r>
        <w:rPr>
          <w:noProof/>
        </w:rPr>
        <w:t xml:space="preserve">Príslušné </w:t>
      </w:r>
      <w:r>
        <w:rPr>
          <w:noProof/>
        </w:rPr>
        <w:t>orgány zabezpečia, aby existovala jediná materská spoločnosť v EÚ na medzistupni pre všetky inštitúcie, ktoré sú súčasťou tej istej skupiny z tretej krajiny.“.</w:t>
      </w:r>
    </w:p>
    <w:p w:rsidR="001B4D52" w:rsidRDefault="002815F0">
      <w:pPr>
        <w:pStyle w:val="Point0"/>
        <w:rPr>
          <w:noProof/>
        </w:rPr>
      </w:pPr>
      <w:r>
        <w:rPr>
          <w:noProof/>
        </w:rPr>
        <w:t>10.</w:t>
      </w:r>
      <w:r>
        <w:rPr>
          <w:noProof/>
        </w:rPr>
        <w:tab/>
        <w:t>V článku 23 ods. 1 sa písmeno b) nahrádza takto:</w:t>
      </w:r>
    </w:p>
    <w:p w:rsidR="001B4D52" w:rsidRDefault="002815F0">
      <w:pPr>
        <w:pStyle w:val="Text1"/>
        <w:rPr>
          <w:noProof/>
        </w:rPr>
      </w:pPr>
      <w:r>
        <w:rPr>
          <w:noProof/>
        </w:rPr>
        <w:t>„b) dobrá povesť, vedomosti, zručnosti a sk</w:t>
      </w:r>
      <w:r>
        <w:rPr>
          <w:noProof/>
        </w:rPr>
        <w:t>úsenosti, ako sa uvádza v článku 91 ods. 1, každého člena riadiaceho orgánu, ktorý bude riadiť činnosť úverovej inštitúcie v dôsledku navrhovaného nadobudnutia;“.</w:t>
      </w:r>
    </w:p>
    <w:p w:rsidR="001B4D52" w:rsidRDefault="002815F0">
      <w:pPr>
        <w:pStyle w:val="Point0"/>
        <w:rPr>
          <w:noProof/>
        </w:rPr>
      </w:pPr>
      <w:r>
        <w:rPr>
          <w:noProof/>
        </w:rPr>
        <w:t>11.</w:t>
      </w:r>
      <w:r>
        <w:rPr>
          <w:noProof/>
        </w:rPr>
        <w:tab/>
        <w:t>V článku 47 sa odsek 2 nahrádza takto:</w:t>
      </w:r>
    </w:p>
    <w:p w:rsidR="001B4D52" w:rsidRDefault="002815F0">
      <w:pPr>
        <w:pStyle w:val="Text1"/>
        <w:rPr>
          <w:noProof/>
        </w:rPr>
      </w:pPr>
      <w:r>
        <w:rPr>
          <w:noProof/>
        </w:rPr>
        <w:t>„2. Príslušné orgány oznamujú orgánu EBA:</w:t>
      </w:r>
    </w:p>
    <w:p w:rsidR="001B4D52" w:rsidRDefault="002815F0">
      <w:pPr>
        <w:pStyle w:val="Point1"/>
        <w:rPr>
          <w:noProof/>
        </w:rPr>
      </w:pPr>
      <w:r>
        <w:rPr>
          <w:noProof/>
        </w:rPr>
        <w:t>a)</w:t>
      </w:r>
      <w:r>
        <w:rPr>
          <w:noProof/>
        </w:rPr>
        <w:tab/>
        <w:t>všetk</w:t>
      </w:r>
      <w:r>
        <w:rPr>
          <w:noProof/>
        </w:rPr>
        <w:t>y povolenia pre pobočky udelené úverovým inštitúciám, ktorých ústredie sa nachádza v tretej krajine;</w:t>
      </w:r>
    </w:p>
    <w:p w:rsidR="001B4D52" w:rsidRDefault="002815F0">
      <w:pPr>
        <w:pStyle w:val="Point1"/>
        <w:rPr>
          <w:noProof/>
        </w:rPr>
      </w:pPr>
      <w:r>
        <w:rPr>
          <w:noProof/>
        </w:rPr>
        <w:t>b)</w:t>
      </w:r>
      <w:r>
        <w:rPr>
          <w:noProof/>
        </w:rPr>
        <w:tab/>
        <w:t>celkové aktíva a záväzky povolených pobočiek úverových inštitúcií, ktorých ústredie sa nachádza v tretej krajine, ako sú pravidelne vykazované.</w:t>
      </w:r>
    </w:p>
    <w:p w:rsidR="001B4D52" w:rsidRDefault="002815F0">
      <w:pPr>
        <w:pStyle w:val="Text1"/>
        <w:rPr>
          <w:noProof/>
          <w:color w:val="FF0000"/>
        </w:rPr>
      </w:pPr>
      <w:r>
        <w:rPr>
          <w:noProof/>
        </w:rPr>
        <w:t>Orgán EB</w:t>
      </w:r>
      <w:r>
        <w:rPr>
          <w:noProof/>
        </w:rPr>
        <w:t>A uverejní na svojom webovom sídle zoznam všetkých pobočiek z tretej krajiny, ktoré majú povolenie vykonávať činnosť v členskom štáte, s uvedením členského štátu a celkových aktív každej pobočky.“.</w:t>
      </w:r>
    </w:p>
    <w:p w:rsidR="001B4D52" w:rsidRDefault="002815F0">
      <w:pPr>
        <w:pStyle w:val="Point0"/>
        <w:rPr>
          <w:noProof/>
        </w:rPr>
      </w:pPr>
      <w:r>
        <w:rPr>
          <w:noProof/>
        </w:rPr>
        <w:t>12.</w:t>
      </w:r>
      <w:r>
        <w:rPr>
          <w:noProof/>
        </w:rPr>
        <w:tab/>
        <w:t>V článku 75 sa odsek 1 nahrádza takto:</w:t>
      </w:r>
    </w:p>
    <w:p w:rsidR="001B4D52" w:rsidRDefault="002815F0">
      <w:pPr>
        <w:pStyle w:val="Text1"/>
        <w:rPr>
          <w:noProof/>
        </w:rPr>
      </w:pPr>
      <w:r>
        <w:rPr>
          <w:noProof/>
        </w:rPr>
        <w:t>„1. Príslušné o</w:t>
      </w:r>
      <w:r>
        <w:rPr>
          <w:noProof/>
        </w:rPr>
        <w:t>rgány zhromažďujú informácie zverejnené v súlade s kritériami na zverejnenie informácií, ktoré sa stanovujú v článku 450 ods. 1 písm. g), h), i) a k) nariadenia (EÚ) č. 575/2013, a používajú ich na porovnávanie trendov a postupov v oblasti odmeňovania. Prí</w:t>
      </w:r>
      <w:r>
        <w:rPr>
          <w:noProof/>
        </w:rPr>
        <w:t>slušné orgány poskytnú tieto informácie orgánu EBA.“</w:t>
      </w:r>
    </w:p>
    <w:p w:rsidR="001B4D52" w:rsidRDefault="002815F0">
      <w:pPr>
        <w:pStyle w:val="Point0"/>
        <w:rPr>
          <w:noProof/>
        </w:rPr>
      </w:pPr>
      <w:r>
        <w:rPr>
          <w:noProof/>
        </w:rPr>
        <w:t>13.</w:t>
      </w:r>
      <w:r>
        <w:rPr>
          <w:noProof/>
        </w:rPr>
        <w:tab/>
        <w:t>Článok 84 sa nahrádza takto:</w:t>
      </w:r>
    </w:p>
    <w:p w:rsidR="001B4D52" w:rsidRDefault="002815F0">
      <w:pPr>
        <w:pStyle w:val="Titrearticle"/>
        <w:rPr>
          <w:noProof/>
        </w:rPr>
      </w:pPr>
      <w:r>
        <w:rPr>
          <w:noProof/>
        </w:rPr>
        <w:t>„Článok 84</w:t>
      </w:r>
      <w:r>
        <w:rPr>
          <w:noProof/>
        </w:rPr>
        <w:br/>
        <w:t>Úrokové riziko vyplývajúce z činností mimo obchodnej knihy</w:t>
      </w:r>
    </w:p>
    <w:p w:rsidR="001B4D52" w:rsidRDefault="002815F0">
      <w:pPr>
        <w:pStyle w:val="ManualNumPar1"/>
        <w:rPr>
          <w:noProof/>
        </w:rPr>
      </w:pPr>
      <w:r>
        <w:t>1.</w:t>
      </w:r>
      <w:r>
        <w:tab/>
      </w:r>
      <w:r>
        <w:rPr>
          <w:noProof/>
        </w:rPr>
        <w:t>Príslušné orgány zabezpečia, aby inštitúcie zaviedli interné systémy alebo používali štandardizov</w:t>
      </w:r>
      <w:r>
        <w:rPr>
          <w:noProof/>
        </w:rPr>
        <w:t>anú metodiku na identifikáciu, hodnotenie, riadenie a zmierňovanie rizík vyplývajúcich z možných zmien úrokových sadzieb, ktoré ovplyvňujú ekonomickú hodnotu vlastného imania aj čisté úrokové príjmy z činností inštitúcie mimo obchodnej knihy.</w:t>
      </w:r>
    </w:p>
    <w:p w:rsidR="001B4D52" w:rsidRDefault="002815F0">
      <w:pPr>
        <w:pStyle w:val="ManualNumPar1"/>
        <w:rPr>
          <w:noProof/>
        </w:rPr>
      </w:pPr>
      <w:r>
        <w:t>2.</w:t>
      </w:r>
      <w:r>
        <w:tab/>
      </w:r>
      <w:r>
        <w:rPr>
          <w:noProof/>
        </w:rPr>
        <w:t xml:space="preserve">Príslušné </w:t>
      </w:r>
      <w:r>
        <w:rPr>
          <w:noProof/>
        </w:rPr>
        <w:t>orgány zabezpečia, aby inštitúcie zaviedli systémy na posudzovanie a monitorovanie rizík vyplývajúcich z možných zmien kreditných rozpätí, ktoré ovplyvňujú ekonomickú hodnotu vlastného imania aj čisté úrokové príjmy z činností inštitúcie mimo obchodnej kni</w:t>
      </w:r>
      <w:r>
        <w:rPr>
          <w:noProof/>
        </w:rPr>
        <w:t>hy.</w:t>
      </w:r>
    </w:p>
    <w:p w:rsidR="001B4D52" w:rsidRDefault="002815F0">
      <w:pPr>
        <w:pStyle w:val="ManualNumPar1"/>
        <w:rPr>
          <w:noProof/>
        </w:rPr>
      </w:pPr>
      <w:r>
        <w:t>3.</w:t>
      </w:r>
      <w:r>
        <w:tab/>
      </w:r>
      <w:r>
        <w:rPr>
          <w:noProof/>
        </w:rPr>
        <w:t>Príslušné orgány môžu od inštitúcii požadovať, aby používali štandardizovanú metodiku uvedenú v odseku 1, ak interné systémy zavedené inštitúciami na účely hodnotenia rizík uvedených v odseku 1 nie sú uspokojivé.</w:t>
      </w:r>
    </w:p>
    <w:p w:rsidR="001B4D52" w:rsidRDefault="002815F0">
      <w:pPr>
        <w:pStyle w:val="ManualNumPar1"/>
        <w:rPr>
          <w:noProof/>
        </w:rPr>
      </w:pPr>
      <w:r>
        <w:t>4.</w:t>
      </w:r>
      <w:r>
        <w:tab/>
      </w:r>
      <w:r>
        <w:rPr>
          <w:noProof/>
        </w:rPr>
        <w:t>Orgán EBA vypracuje návrh regulač</w:t>
      </w:r>
      <w:r>
        <w:rPr>
          <w:noProof/>
        </w:rPr>
        <w:t>ných technických predpisov s cieľom spresniť na účely tohto článku podrobnosti štandardizovanej metodiky, ktorú inštitúcie môžu použiť na účely hodnotenia rizík uvedených v odseku 1.</w:t>
      </w:r>
    </w:p>
    <w:p w:rsidR="001B4D52" w:rsidRDefault="002815F0">
      <w:pPr>
        <w:pStyle w:val="Text1"/>
        <w:rPr>
          <w:noProof/>
        </w:rPr>
      </w:pPr>
      <w:r>
        <w:rPr>
          <w:noProof/>
        </w:rPr>
        <w:t xml:space="preserve">Orgán EBA predloží Komisii tento návrh regulačných technických predpisov </w:t>
      </w:r>
      <w:r>
        <w:rPr>
          <w:noProof/>
        </w:rPr>
        <w:t>do [jeden rok po nadobudnutí účinnosti].</w:t>
      </w:r>
    </w:p>
    <w:p w:rsidR="001B4D52" w:rsidRDefault="002815F0">
      <w:pPr>
        <w:pStyle w:val="Text1"/>
        <w:rPr>
          <w:noProof/>
        </w:rPr>
      </w:pPr>
      <w:r>
        <w:rPr>
          <w:noProof/>
        </w:rPr>
        <w:t>Komisii sa udeľuje právomoc prijať regulačné technické predpisy uvedené v prvom pododseku v súlade s článkami 10 až 14 nariadenia (EÚ) č. 1093/2010.</w:t>
      </w:r>
    </w:p>
    <w:p w:rsidR="001B4D52" w:rsidRDefault="002815F0">
      <w:pPr>
        <w:pStyle w:val="ManualNumPar1"/>
        <w:rPr>
          <w:noProof/>
        </w:rPr>
      </w:pPr>
      <w:r>
        <w:t>5.</w:t>
      </w:r>
      <w:r>
        <w:tab/>
      </w:r>
      <w:r>
        <w:rPr>
          <w:noProof/>
        </w:rPr>
        <w:t>Orgán EBA vydá usmernenia na spresnenie:</w:t>
      </w:r>
    </w:p>
    <w:p w:rsidR="001B4D52" w:rsidRDefault="002815F0">
      <w:pPr>
        <w:pStyle w:val="Point1"/>
        <w:rPr>
          <w:noProof/>
        </w:rPr>
      </w:pPr>
      <w:r>
        <w:rPr>
          <w:noProof/>
        </w:rPr>
        <w:t>a)</w:t>
      </w:r>
      <w:r>
        <w:rPr>
          <w:noProof/>
        </w:rPr>
        <w:tab/>
        <w:t xml:space="preserve">kritérií pre </w:t>
      </w:r>
      <w:r>
        <w:rPr>
          <w:noProof/>
        </w:rPr>
        <w:t>hodnotenie interného systému inštitúcie pre riziká uvedené v odseku 1;</w:t>
      </w:r>
    </w:p>
    <w:p w:rsidR="001B4D52" w:rsidRDefault="002815F0">
      <w:pPr>
        <w:pStyle w:val="Point1"/>
        <w:rPr>
          <w:noProof/>
        </w:rPr>
      </w:pPr>
      <w:r>
        <w:rPr>
          <w:noProof/>
        </w:rPr>
        <w:t>b)</w:t>
      </w:r>
      <w:r>
        <w:rPr>
          <w:noProof/>
        </w:rPr>
        <w:tab/>
        <w:t>kritérií pre identifikáciu, riadenie a zmierňovanie rizík inštitúcií uvedených v odseku 1;</w:t>
      </w:r>
    </w:p>
    <w:p w:rsidR="001B4D52" w:rsidRDefault="002815F0">
      <w:pPr>
        <w:pStyle w:val="Point1"/>
        <w:rPr>
          <w:noProof/>
        </w:rPr>
      </w:pPr>
      <w:r>
        <w:rPr>
          <w:noProof/>
        </w:rPr>
        <w:t>c)</w:t>
      </w:r>
      <w:r>
        <w:rPr>
          <w:noProof/>
        </w:rPr>
        <w:tab/>
        <w:t>kritérií pre posúdenie a monitorovanie rizík uvedených v odseku 2 inštitúciami;</w:t>
      </w:r>
    </w:p>
    <w:p w:rsidR="001B4D52" w:rsidRDefault="002815F0">
      <w:pPr>
        <w:pStyle w:val="Point1"/>
        <w:rPr>
          <w:noProof/>
        </w:rPr>
      </w:pPr>
      <w:r>
        <w:rPr>
          <w:noProof/>
        </w:rPr>
        <w:t>d)</w:t>
      </w:r>
      <w:r>
        <w:rPr>
          <w:noProof/>
        </w:rPr>
        <w:tab/>
        <w:t>krité</w:t>
      </w:r>
      <w:r>
        <w:rPr>
          <w:noProof/>
        </w:rPr>
        <w:t>rií pre určenie, ktoré interné systémy zavedené inštitúciami na účely odseku 1 nie sú uspokojivé, ako je uvedené v odseku 3;</w:t>
      </w:r>
    </w:p>
    <w:p w:rsidR="001B4D52" w:rsidRDefault="002815F0">
      <w:pPr>
        <w:pStyle w:val="Text1"/>
        <w:rPr>
          <w:noProof/>
        </w:rPr>
      </w:pPr>
      <w:r>
        <w:rPr>
          <w:noProof/>
        </w:rPr>
        <w:t>Orgán EBA vydá tieto usmernenia do [jeden rok po nadobudnutí účinnosti].“</w:t>
      </w:r>
    </w:p>
    <w:p w:rsidR="001B4D52" w:rsidRDefault="002815F0">
      <w:pPr>
        <w:pStyle w:val="Point0"/>
        <w:rPr>
          <w:noProof/>
        </w:rPr>
      </w:pPr>
      <w:r>
        <w:rPr>
          <w:noProof/>
        </w:rPr>
        <w:t>14.</w:t>
      </w:r>
      <w:r>
        <w:rPr>
          <w:noProof/>
        </w:rPr>
        <w:tab/>
        <w:t>V článku 85 sa odsek 1 nahrádza takto:</w:t>
      </w:r>
    </w:p>
    <w:p w:rsidR="001B4D52" w:rsidRDefault="002815F0">
      <w:pPr>
        <w:pStyle w:val="Text1"/>
        <w:rPr>
          <w:noProof/>
        </w:rPr>
      </w:pPr>
      <w:r>
        <w:rPr>
          <w:noProof/>
        </w:rPr>
        <w:t xml:space="preserve">„1. Príslušné </w:t>
      </w:r>
      <w:r>
        <w:rPr>
          <w:noProof/>
        </w:rPr>
        <w:t>orgány zabezpečia, aby inštitúcie zaviedli politiky a postupy na hodnotenie a riadenie expozície voči operačnému riziku vrátane rizika modelu a rizík vyplývajúcich z externého zabezpečovania, ako aj zriedkavo sa vyskytujúcich udalostí, ktoré majú veľmi váž</w:t>
      </w:r>
      <w:r>
        <w:rPr>
          <w:noProof/>
        </w:rPr>
        <w:t>ne následky. Na účely týchto politík a postupov inštitúcie stanovia, v čom spočíva operačné riziko.“.</w:t>
      </w:r>
    </w:p>
    <w:p w:rsidR="001B4D52" w:rsidRDefault="002815F0">
      <w:pPr>
        <w:pStyle w:val="Point0"/>
        <w:rPr>
          <w:noProof/>
        </w:rPr>
      </w:pPr>
      <w:r>
        <w:rPr>
          <w:noProof/>
        </w:rPr>
        <w:t>15.</w:t>
      </w:r>
      <w:r>
        <w:rPr>
          <w:noProof/>
        </w:rPr>
        <w:tab/>
        <w:t>Článok 92 sa mení takto:</w:t>
      </w:r>
    </w:p>
    <w:p w:rsidR="001B4D52" w:rsidRDefault="002815F0">
      <w:pPr>
        <w:pStyle w:val="Point1"/>
        <w:rPr>
          <w:noProof/>
        </w:rPr>
      </w:pPr>
      <w:r>
        <w:rPr>
          <w:noProof/>
        </w:rPr>
        <w:t>a)</w:t>
      </w:r>
      <w:r>
        <w:rPr>
          <w:noProof/>
        </w:rPr>
        <w:tab/>
        <w:t>odsek 1 sa vypúšťa.</w:t>
      </w:r>
    </w:p>
    <w:p w:rsidR="001B4D52" w:rsidRDefault="002815F0">
      <w:pPr>
        <w:pStyle w:val="Point1"/>
        <w:rPr>
          <w:noProof/>
        </w:rPr>
      </w:pPr>
      <w:r>
        <w:rPr>
          <w:noProof/>
        </w:rPr>
        <w:t>b)</w:t>
      </w:r>
      <w:r>
        <w:rPr>
          <w:noProof/>
        </w:rPr>
        <w:tab/>
        <w:t>v odseku 2 sa úvodná veta nahrádza takto:</w:t>
      </w:r>
    </w:p>
    <w:p w:rsidR="001B4D52" w:rsidRDefault="002815F0">
      <w:pPr>
        <w:pStyle w:val="Text1"/>
        <w:rPr>
          <w:noProof/>
        </w:rPr>
      </w:pPr>
      <w:r>
        <w:rPr>
          <w:noProof/>
        </w:rPr>
        <w:t>„Príslušné orgány zabezpečia, aby inštitúcie pri zavádzan</w:t>
      </w:r>
      <w:r>
        <w:rPr>
          <w:noProof/>
        </w:rPr>
        <w:t>í a uplatňovaní politík celkového odmeňovania zahŕňajúcich mzdy a dobrovoľné platby dôchodkového zabezpečenia pre kategórie zamestnancov vrátane vrcholového manažmentu, osôb zodpovedných za podstupovanie rizík, zamestnancov s kontrolnými funkciami a všetký</w:t>
      </w:r>
      <w:r>
        <w:rPr>
          <w:noProof/>
        </w:rPr>
        <w:t>ch zamestnancov, ktorí dostávajú celkovú odmenu, na základe ktorej patria do rovnakej skupiny odmeňovania ako vrcholový manažment a osoby zodpovedné za podstupovanie rizík, ktorých profesionálne činnosti majú významný vplyv na ich rizikový profil, dodržiav</w:t>
      </w:r>
      <w:r>
        <w:rPr>
          <w:noProof/>
        </w:rPr>
        <w:t>ali nasledujúce zásady, a to spôsobom, ktorý je primeraný ich veľkosti, vnútornej organizácii a povahe, rozsahu a zložitosti ich činností.“.</w:t>
      </w:r>
    </w:p>
    <w:p w:rsidR="001B4D52" w:rsidRDefault="002815F0">
      <w:pPr>
        <w:pStyle w:val="Point0"/>
        <w:rPr>
          <w:noProof/>
        </w:rPr>
      </w:pPr>
      <w:r>
        <w:rPr>
          <w:noProof/>
        </w:rPr>
        <w:t>16.</w:t>
      </w:r>
      <w:r>
        <w:rPr>
          <w:noProof/>
        </w:rPr>
        <w:tab/>
        <w:t>Článok 94 sa mení takto:</w:t>
      </w:r>
    </w:p>
    <w:p w:rsidR="001B4D52" w:rsidRDefault="002815F0">
      <w:pPr>
        <w:pStyle w:val="Point1"/>
        <w:rPr>
          <w:noProof/>
        </w:rPr>
      </w:pPr>
      <w:r>
        <w:rPr>
          <w:noProof/>
        </w:rPr>
        <w:t>a)</w:t>
      </w:r>
      <w:r>
        <w:rPr>
          <w:noProof/>
        </w:rPr>
        <w:tab/>
        <w:t>v odseku 1 písm. l) sa bod i) sa nahrádza takto:</w:t>
      </w:r>
    </w:p>
    <w:p w:rsidR="001B4D52" w:rsidRDefault="002815F0">
      <w:pPr>
        <w:pStyle w:val="Text1"/>
        <w:rPr>
          <w:noProof/>
        </w:rPr>
      </w:pPr>
      <w:r>
        <w:rPr>
          <w:noProof/>
        </w:rPr>
        <w:t>„i) akcií alebo, v závislosti od p</w:t>
      </w:r>
      <w:r>
        <w:rPr>
          <w:noProof/>
        </w:rPr>
        <w:t>rávnej štruktúry dotknutej inštitúcie, rovnocenných majetkových podielov; alebo nástrojov súvisiacich s akciami alebo, v závislosti od právnej štruktúry dotknutej inštitúcie, rovnocenných bezhotovostných nástrojov;“.</w:t>
      </w:r>
    </w:p>
    <w:p w:rsidR="001B4D52" w:rsidRDefault="002815F0">
      <w:pPr>
        <w:pStyle w:val="Point1"/>
        <w:rPr>
          <w:noProof/>
        </w:rPr>
      </w:pPr>
      <w:r>
        <w:rPr>
          <w:noProof/>
        </w:rPr>
        <w:t>b)</w:t>
      </w:r>
      <w:r>
        <w:rPr>
          <w:noProof/>
        </w:rPr>
        <w:tab/>
        <w:t>dopĺňajú sa tieto odseky:</w:t>
      </w:r>
    </w:p>
    <w:p w:rsidR="001B4D52" w:rsidRDefault="002815F0">
      <w:pPr>
        <w:pStyle w:val="Text1"/>
        <w:rPr>
          <w:noProof/>
        </w:rPr>
      </w:pPr>
      <w:r>
        <w:rPr>
          <w:noProof/>
        </w:rPr>
        <w:t>„3. Odchyl</w:t>
      </w:r>
      <w:r>
        <w:rPr>
          <w:noProof/>
        </w:rPr>
        <w:t>ne od odseku 1 zásady stanovené v písmenách l), m) a v písmene o) druhom pododseku sa neuplatňujú na:</w:t>
      </w:r>
    </w:p>
    <w:p w:rsidR="001B4D52" w:rsidRDefault="002815F0">
      <w:pPr>
        <w:pStyle w:val="Point1"/>
        <w:rPr>
          <w:noProof/>
        </w:rPr>
      </w:pPr>
      <w:r>
        <w:rPr>
          <w:noProof/>
        </w:rPr>
        <w:t>a)</w:t>
      </w:r>
      <w:r>
        <w:rPr>
          <w:noProof/>
        </w:rPr>
        <w:tab/>
        <w:t>inštitúciu, ktorej hodnota aktív sa v priemere rovná alebo je nižšia ako 5 miliárd EUR počas štvorročného obdobia bezprostredne predchádzajúceho bežném</w:t>
      </w:r>
      <w:r>
        <w:rPr>
          <w:noProof/>
        </w:rPr>
        <w:t>u rozpočtovému roku;</w:t>
      </w:r>
    </w:p>
    <w:p w:rsidR="001B4D52" w:rsidRDefault="002815F0">
      <w:pPr>
        <w:pStyle w:val="Point1"/>
        <w:rPr>
          <w:noProof/>
        </w:rPr>
      </w:pPr>
      <w:r>
        <w:rPr>
          <w:noProof/>
        </w:rPr>
        <w:t>b)</w:t>
      </w:r>
      <w:r>
        <w:rPr>
          <w:noProof/>
        </w:rPr>
        <w:tab/>
        <w:t>zamestnanca, ktorého ročná pohyblivá odmena nepresahuje 50 000 EUR a nepredstavuje viac než jednu štvrtinu celkovej ročnej odmeny zamestnanca.</w:t>
      </w:r>
    </w:p>
    <w:p w:rsidR="001B4D52" w:rsidRDefault="002815F0">
      <w:pPr>
        <w:pStyle w:val="Text1"/>
        <w:rPr>
          <w:noProof/>
        </w:rPr>
      </w:pPr>
      <w:r>
        <w:rPr>
          <w:noProof/>
        </w:rPr>
        <w:t>Odchylne od písmena a) môže príslušný orgán rozhodnúť, že inštitúcie, ktorých celková hod</w:t>
      </w:r>
      <w:r>
        <w:rPr>
          <w:noProof/>
        </w:rPr>
        <w:t>nota aktív je nižšia ako prahová hodnota uvedená v písmene a), nepodliehajú odchýlke vzhľadom na povahu a rozsah ich činností, ich internú organizáciu alebo prípadne vlastnosti skupiny, do ktorej patria.</w:t>
      </w:r>
    </w:p>
    <w:p w:rsidR="001B4D52" w:rsidRDefault="002815F0">
      <w:pPr>
        <w:pStyle w:val="Text1"/>
        <w:rPr>
          <w:noProof/>
        </w:rPr>
      </w:pPr>
      <w:r>
        <w:rPr>
          <w:noProof/>
        </w:rPr>
        <w:t>Odchylne od písmena b) môže príslušný orgán rozhodnú</w:t>
      </w:r>
      <w:r>
        <w:rPr>
          <w:noProof/>
        </w:rPr>
        <w:t>ť, že na zamestnancov, ktorých ročná pohyblivá odmena je nižšia ako prahová hodnota, a na podiel uvedený v písmene b) sa nevzťahuje odchýlka z dôvodu vnútroštátnych špecifík trhu z hľadiska postupov odmeňovania alebo z dôvodu povahy zodpovednosti a pracovn</w:t>
      </w:r>
      <w:r>
        <w:rPr>
          <w:noProof/>
        </w:rPr>
        <w:t>ého profilu týchto zamestnancov.</w:t>
      </w:r>
    </w:p>
    <w:p w:rsidR="001B4D52" w:rsidRDefault="002815F0">
      <w:pPr>
        <w:pStyle w:val="Text1"/>
        <w:rPr>
          <w:noProof/>
        </w:rPr>
      </w:pPr>
      <w:r>
        <w:rPr>
          <w:noProof/>
        </w:rPr>
        <w:t>4. Komisia do [štyri roky po nadobudnutí účinnosti tejto smernice] v úzkej spolupráci s orgánom EBA preskúma uplatňovanie odseku 3 a podá o ňom správu, ktorú prípadne s legislatívnym návrhom predloží Európskemu parlamentu a</w:t>
      </w:r>
      <w:r>
        <w:rPr>
          <w:noProof/>
        </w:rPr>
        <w:t> Rade.</w:t>
      </w:r>
    </w:p>
    <w:p w:rsidR="001B4D52" w:rsidRDefault="002815F0">
      <w:pPr>
        <w:pStyle w:val="Text1"/>
        <w:rPr>
          <w:noProof/>
        </w:rPr>
      </w:pPr>
      <w:r>
        <w:rPr>
          <w:noProof/>
        </w:rPr>
        <w:t>5. Orgán EBA prijme usmernenia uľahčujúce vykonávanie odseku 3 a zabezpečujúce jeho jednotné uplatňovanie.“</w:t>
      </w:r>
    </w:p>
    <w:p w:rsidR="001B4D52" w:rsidRDefault="002815F0">
      <w:pPr>
        <w:pStyle w:val="Point0"/>
        <w:rPr>
          <w:noProof/>
        </w:rPr>
      </w:pPr>
      <w:r>
        <w:rPr>
          <w:noProof/>
        </w:rPr>
        <w:t>17.</w:t>
      </w:r>
      <w:r>
        <w:rPr>
          <w:noProof/>
        </w:rPr>
        <w:tab/>
        <w:t>V článku 97 ods. 1 sa vypúšťa písmeno b).</w:t>
      </w:r>
    </w:p>
    <w:p w:rsidR="001B4D52" w:rsidRDefault="002815F0">
      <w:pPr>
        <w:pStyle w:val="Point0"/>
        <w:rPr>
          <w:noProof/>
        </w:rPr>
      </w:pPr>
      <w:r>
        <w:rPr>
          <w:noProof/>
        </w:rPr>
        <w:t>18.</w:t>
      </w:r>
      <w:r>
        <w:rPr>
          <w:noProof/>
        </w:rPr>
        <w:tab/>
        <w:t>Článok 98 sa mení takto:</w:t>
      </w:r>
    </w:p>
    <w:p w:rsidR="001B4D52" w:rsidRDefault="002815F0">
      <w:pPr>
        <w:pStyle w:val="Point1"/>
        <w:rPr>
          <w:noProof/>
        </w:rPr>
      </w:pPr>
      <w:r>
        <w:rPr>
          <w:noProof/>
        </w:rPr>
        <w:t>a)</w:t>
      </w:r>
      <w:r>
        <w:rPr>
          <w:noProof/>
        </w:rPr>
        <w:tab/>
        <w:t>v odseku 1 sa vypúšťa písmeno j);</w:t>
      </w:r>
    </w:p>
    <w:p w:rsidR="001B4D52" w:rsidRDefault="002815F0">
      <w:pPr>
        <w:pStyle w:val="Point1"/>
        <w:rPr>
          <w:noProof/>
        </w:rPr>
      </w:pPr>
      <w:r>
        <w:rPr>
          <w:noProof/>
        </w:rPr>
        <w:t>b)</w:t>
      </w:r>
      <w:r>
        <w:rPr>
          <w:noProof/>
        </w:rPr>
        <w:tab/>
        <w:t>odsek 5 sa nahrádza takto:</w:t>
      </w:r>
    </w:p>
    <w:p w:rsidR="001B4D52" w:rsidRDefault="002815F0">
      <w:pPr>
        <w:pStyle w:val="Text1"/>
        <w:rPr>
          <w:noProof/>
        </w:rPr>
      </w:pPr>
      <w:r>
        <w:rPr>
          <w:noProof/>
        </w:rPr>
        <w:t>„5. Preskúmaniu a hodnoteniu vykonanému príslušnými orgánmi podlieha expozícia inštitúcií voči úrokovému riziku vyplývajúcemu z činností mimo obchodnej knihy. Opatrenia dohľadu sa vyžadujú aspoň v prípade inštitúcií, ktorých ekonomická hodnota vlastného i</w:t>
      </w:r>
      <w:r>
        <w:rPr>
          <w:noProof/>
        </w:rPr>
        <w:t>mania uvedená v článku 84 ods. 1 klesne o viac ako 15 % ich kapitálu Tier 1 následkom náhlej a neočakávanej zmeny úrokových sadzieb, ako sa stanovuje v každom zo šiestich šokových scenárov dohľadu uplatňovaných na úrokové sadzby.“.</w:t>
      </w:r>
    </w:p>
    <w:p w:rsidR="001B4D52" w:rsidRDefault="002815F0">
      <w:pPr>
        <w:pStyle w:val="Point1"/>
        <w:rPr>
          <w:noProof/>
        </w:rPr>
      </w:pPr>
      <w:r>
        <w:rPr>
          <w:noProof/>
        </w:rPr>
        <w:t>c)</w:t>
      </w:r>
      <w:r>
        <w:rPr>
          <w:noProof/>
        </w:rPr>
        <w:tab/>
        <w:t>vkladá sa tento odsek</w:t>
      </w:r>
      <w:r>
        <w:rPr>
          <w:noProof/>
        </w:rPr>
        <w:t> 5a:</w:t>
      </w:r>
    </w:p>
    <w:p w:rsidR="001B4D52" w:rsidRDefault="002815F0">
      <w:pPr>
        <w:pStyle w:val="Text1"/>
        <w:rPr>
          <w:noProof/>
        </w:rPr>
      </w:pPr>
      <w:r>
        <w:rPr>
          <w:noProof/>
        </w:rPr>
        <w:t>„5a. Orgán EBA vypracuje návrh regulačných technických predpisov s cieľom spresniť na účely odseku 5 tieto skutočnosti:</w:t>
      </w:r>
    </w:p>
    <w:p w:rsidR="001B4D52" w:rsidRDefault="002815F0">
      <w:pPr>
        <w:pStyle w:val="Point1"/>
        <w:rPr>
          <w:noProof/>
        </w:rPr>
      </w:pPr>
      <w:r>
        <w:rPr>
          <w:noProof/>
        </w:rPr>
        <w:t>a)</w:t>
      </w:r>
      <w:r>
        <w:rPr>
          <w:noProof/>
        </w:rPr>
        <w:tab/>
        <w:t>šesť šokových scenárov dohľadu, ktoré sa majú uplatňovať na úrokové sadzby pre každú menu;</w:t>
      </w:r>
    </w:p>
    <w:p w:rsidR="001B4D52" w:rsidRDefault="002815F0">
      <w:pPr>
        <w:pStyle w:val="Point1"/>
        <w:rPr>
          <w:noProof/>
        </w:rPr>
      </w:pPr>
      <w:r>
        <w:rPr>
          <w:noProof/>
        </w:rPr>
        <w:t>b)</w:t>
      </w:r>
      <w:r>
        <w:rPr>
          <w:noProof/>
        </w:rPr>
        <w:tab/>
        <w:t xml:space="preserve">spoločné modelovanie </w:t>
      </w:r>
      <w:r>
        <w:rPr>
          <w:noProof/>
        </w:rPr>
        <w:t>a parametrické predpoklady, ktoré inštitúcie zohľadnia pri svojom výpočte ekonomickej hodnoty vlastného imania podľa odseku 5;</w:t>
      </w:r>
    </w:p>
    <w:p w:rsidR="001B4D52" w:rsidRDefault="002815F0">
      <w:pPr>
        <w:pStyle w:val="Point1"/>
        <w:rPr>
          <w:noProof/>
        </w:rPr>
      </w:pPr>
      <w:r>
        <w:rPr>
          <w:noProof/>
        </w:rPr>
        <w:t>c)</w:t>
      </w:r>
      <w:r>
        <w:rPr>
          <w:noProof/>
        </w:rPr>
        <w:tab/>
        <w:t>či opatrenia dohľadu sú takisto potrebné v prípade poklesu čistých úrokových príjmov inštitúcií uvedených v článku 84 ods. 1 v</w:t>
      </w:r>
      <w:r>
        <w:rPr>
          <w:noProof/>
        </w:rPr>
        <w:t> dôsledku možných zmien úrokových sadzieb.</w:t>
      </w:r>
    </w:p>
    <w:p w:rsidR="001B4D52" w:rsidRDefault="002815F0">
      <w:pPr>
        <w:pStyle w:val="Text1"/>
        <w:rPr>
          <w:noProof/>
        </w:rPr>
      </w:pPr>
      <w:r>
        <w:rPr>
          <w:noProof/>
        </w:rPr>
        <w:t>Orgán EBA predloží Komisii tento návrh regulačných technických predpisov do [jeden rok po nadobudnutí účinnosti].</w:t>
      </w:r>
    </w:p>
    <w:p w:rsidR="001B4D52" w:rsidRDefault="002815F0">
      <w:pPr>
        <w:pStyle w:val="Text1"/>
        <w:rPr>
          <w:noProof/>
        </w:rPr>
      </w:pPr>
      <w:r>
        <w:rPr>
          <w:noProof/>
        </w:rPr>
        <w:t xml:space="preserve">Komisii sa udeľuje právomoc prijať regulačné technické predpisy uvedené v prvom pododseku v súlade </w:t>
      </w:r>
      <w:r>
        <w:rPr>
          <w:noProof/>
        </w:rPr>
        <w:t>s článkami 10 až 14 nariadenia (EÚ) č. 1093/2010.“.</w:t>
      </w:r>
    </w:p>
    <w:p w:rsidR="001B4D52" w:rsidRDefault="002815F0">
      <w:pPr>
        <w:pStyle w:val="Point0"/>
        <w:rPr>
          <w:noProof/>
        </w:rPr>
      </w:pPr>
      <w:r>
        <w:rPr>
          <w:noProof/>
        </w:rPr>
        <w:t>19.</w:t>
      </w:r>
      <w:r>
        <w:rPr>
          <w:noProof/>
        </w:rPr>
        <w:tab/>
        <w:t>V článku 99 ods. 2 sa vypúšťa písmeno b).</w:t>
      </w:r>
    </w:p>
    <w:p w:rsidR="001B4D52" w:rsidRDefault="002815F0">
      <w:pPr>
        <w:pStyle w:val="Point0"/>
        <w:rPr>
          <w:noProof/>
        </w:rPr>
      </w:pPr>
      <w:r>
        <w:rPr>
          <w:noProof/>
        </w:rPr>
        <w:t>20.</w:t>
      </w:r>
      <w:r>
        <w:rPr>
          <w:noProof/>
        </w:rPr>
        <w:tab/>
        <w:t>Článok 103 sa vypúšťa.</w:t>
      </w:r>
    </w:p>
    <w:p w:rsidR="001B4D52" w:rsidRDefault="002815F0">
      <w:pPr>
        <w:pStyle w:val="Point0"/>
        <w:rPr>
          <w:noProof/>
        </w:rPr>
      </w:pPr>
      <w:r>
        <w:rPr>
          <w:noProof/>
        </w:rPr>
        <w:t>21.</w:t>
      </w:r>
      <w:r>
        <w:rPr>
          <w:noProof/>
        </w:rPr>
        <w:tab/>
        <w:t>Článok 104 sa mení takto:</w:t>
      </w:r>
    </w:p>
    <w:p w:rsidR="001B4D52" w:rsidRDefault="002815F0">
      <w:pPr>
        <w:pStyle w:val="Point1"/>
        <w:rPr>
          <w:noProof/>
        </w:rPr>
      </w:pPr>
      <w:r>
        <w:rPr>
          <w:noProof/>
        </w:rPr>
        <w:t>a)</w:t>
      </w:r>
      <w:r>
        <w:rPr>
          <w:noProof/>
        </w:rPr>
        <w:tab/>
        <w:t>odseky 1 a 2 sa nahrádzajú takto:</w:t>
      </w:r>
    </w:p>
    <w:p w:rsidR="001B4D52" w:rsidRDefault="002815F0">
      <w:pPr>
        <w:pStyle w:val="Text1"/>
        <w:rPr>
          <w:noProof/>
        </w:rPr>
      </w:pPr>
      <w:r>
        <w:rPr>
          <w:noProof/>
        </w:rPr>
        <w:t>„1. Na účely článku 97, článku 98 ods. 4, článku 101 ods. 4 a čl</w:t>
      </w:r>
      <w:r>
        <w:rPr>
          <w:noProof/>
        </w:rPr>
        <w:t>ánku 102 a na účely uplatňovania nariadenia (EÚ) č. 575/2013 majú príslušné orgány aspoň tieto právomoci:</w:t>
      </w:r>
    </w:p>
    <w:p w:rsidR="001B4D52" w:rsidRDefault="002815F0">
      <w:pPr>
        <w:pStyle w:val="Point2"/>
        <w:rPr>
          <w:noProof/>
        </w:rPr>
      </w:pPr>
      <w:r>
        <w:rPr>
          <w:noProof/>
        </w:rPr>
        <w:t>a)</w:t>
      </w:r>
      <w:r>
        <w:rPr>
          <w:noProof/>
        </w:rPr>
        <w:tab/>
        <w:t xml:space="preserve">požadovať od inštitúcií, aby mali dodatočné vlastné zdroje vo výške presahujúcej požiadavky stanovené v nariadení (EÚ) č. 575/2013 podľa podmienok </w:t>
      </w:r>
      <w:r>
        <w:rPr>
          <w:noProof/>
        </w:rPr>
        <w:t>stanovených v článku 104a;</w:t>
      </w:r>
    </w:p>
    <w:p w:rsidR="001B4D52" w:rsidRDefault="002815F0">
      <w:pPr>
        <w:pStyle w:val="Point2"/>
        <w:rPr>
          <w:noProof/>
        </w:rPr>
      </w:pPr>
      <w:r>
        <w:rPr>
          <w:noProof/>
        </w:rPr>
        <w:t>b)</w:t>
      </w:r>
      <w:r>
        <w:rPr>
          <w:noProof/>
        </w:rPr>
        <w:tab/>
        <w:t>požadovať posilnenie opatrení, postupov, mechanizmov a stratégií vykonávaných v súlade s článkami 73 a 74;</w:t>
      </w:r>
    </w:p>
    <w:p w:rsidR="001B4D52" w:rsidRDefault="002815F0">
      <w:pPr>
        <w:pStyle w:val="Point2"/>
        <w:rPr>
          <w:noProof/>
        </w:rPr>
      </w:pPr>
      <w:r>
        <w:rPr>
          <w:noProof/>
        </w:rPr>
        <w:t>c)</w:t>
      </w:r>
      <w:r>
        <w:rPr>
          <w:noProof/>
        </w:rPr>
        <w:tab/>
        <w:t>požadovať od inštitúcií, aby predložili plán na obnovenie súladu s požiadavkami dohľadu podľa tejto smernice a naria</w:t>
      </w:r>
      <w:r>
        <w:rPr>
          <w:noProof/>
        </w:rPr>
        <w:t>denia (EÚ) č. 575/2013 a stanovili lehotu na jeho realizáciu vrátane jeho vylepšení, pokiaľ ide o rozsah a lehotu;</w:t>
      </w:r>
    </w:p>
    <w:p w:rsidR="001B4D52" w:rsidRDefault="002815F0">
      <w:pPr>
        <w:pStyle w:val="Point2"/>
        <w:rPr>
          <w:noProof/>
        </w:rPr>
      </w:pPr>
      <w:r>
        <w:rPr>
          <w:noProof/>
        </w:rPr>
        <w:t>d)</w:t>
      </w:r>
      <w:r>
        <w:rPr>
          <w:noProof/>
        </w:rPr>
        <w:tab/>
        <w:t>požadovať od inštitúcií, aby uplatňovali špecifickú politiku tvorby rezerv alebo zaobchádzania s aktívami, pokiaľ ide o požiadavky na vlas</w:t>
      </w:r>
      <w:r>
        <w:rPr>
          <w:noProof/>
        </w:rPr>
        <w:t>tné zdroje;</w:t>
      </w:r>
    </w:p>
    <w:p w:rsidR="001B4D52" w:rsidRDefault="002815F0">
      <w:pPr>
        <w:pStyle w:val="Point2"/>
        <w:rPr>
          <w:noProof/>
        </w:rPr>
      </w:pPr>
      <w:r>
        <w:rPr>
          <w:noProof/>
        </w:rPr>
        <w:t>e)</w:t>
      </w:r>
      <w:r>
        <w:rPr>
          <w:noProof/>
        </w:rPr>
        <w:tab/>
        <w:t>obmedziť alebo limitovať obchodnú činnosť, operácie alebo siete inštitúcií alebo požadovať zastavenie činností, ktoré pre zdravie inštitúcie predstavujú nadmerné riziko;</w:t>
      </w:r>
    </w:p>
    <w:p w:rsidR="001B4D52" w:rsidRDefault="002815F0">
      <w:pPr>
        <w:pStyle w:val="Point2"/>
        <w:rPr>
          <w:noProof/>
        </w:rPr>
      </w:pPr>
      <w:r>
        <w:rPr>
          <w:noProof/>
        </w:rPr>
        <w:t>f)</w:t>
      </w:r>
      <w:r>
        <w:rPr>
          <w:noProof/>
        </w:rPr>
        <w:tab/>
        <w:t>požadovať zníženie rizika spojeného s činnosťami, produktmi a systém</w:t>
      </w:r>
      <w:r>
        <w:rPr>
          <w:noProof/>
        </w:rPr>
        <w:t>ami inštitúcií vrátane externe zabezpečovaných činností;</w:t>
      </w:r>
    </w:p>
    <w:p w:rsidR="001B4D52" w:rsidRDefault="002815F0">
      <w:pPr>
        <w:pStyle w:val="Point2"/>
        <w:rPr>
          <w:noProof/>
        </w:rPr>
      </w:pPr>
      <w:r>
        <w:rPr>
          <w:noProof/>
        </w:rPr>
        <w:t>g)</w:t>
      </w:r>
      <w:r>
        <w:rPr>
          <w:noProof/>
        </w:rPr>
        <w:tab/>
        <w:t>požadovať od inštitúcií, aby obmedzili pohyblivú odmenu vyjadrenú ako percentuálny podiel z čistých príjmov, ak nie je v súlade s udržiavaním zdravej kapitálovej základne;</w:t>
      </w:r>
    </w:p>
    <w:p w:rsidR="001B4D52" w:rsidRDefault="002815F0">
      <w:pPr>
        <w:pStyle w:val="Point2"/>
        <w:rPr>
          <w:noProof/>
        </w:rPr>
      </w:pPr>
      <w:r>
        <w:rPr>
          <w:noProof/>
        </w:rPr>
        <w:t>h)</w:t>
      </w:r>
      <w:r>
        <w:rPr>
          <w:noProof/>
        </w:rPr>
        <w:tab/>
        <w:t>požadovať od inštitúc</w:t>
      </w:r>
      <w:r>
        <w:rPr>
          <w:noProof/>
        </w:rPr>
        <w:t>ií, aby využívali čisté zisky na posilnenie vlastných zdrojov;</w:t>
      </w:r>
    </w:p>
    <w:p w:rsidR="001B4D52" w:rsidRDefault="002815F0">
      <w:pPr>
        <w:pStyle w:val="Point2"/>
        <w:rPr>
          <w:noProof/>
        </w:rPr>
      </w:pPr>
      <w:r>
        <w:rPr>
          <w:noProof/>
        </w:rPr>
        <w:t>i)</w:t>
      </w:r>
      <w:r>
        <w:rPr>
          <w:noProof/>
        </w:rPr>
        <w:tab/>
        <w:t>obmedziť alebo zakázať, aby inštitúcia rozdeľovala výnosy alebo vyplácala úroky akcionárom, spoločníkom alebo držiteľom nástrojov dodatočného kapitálu Tier 1, ak tento zákaz nepredstavuje pr</w:t>
      </w:r>
      <w:r>
        <w:rPr>
          <w:noProof/>
        </w:rPr>
        <w:t>ípad zlyhania inštitúcie;</w:t>
      </w:r>
    </w:p>
    <w:p w:rsidR="001B4D52" w:rsidRDefault="002815F0">
      <w:pPr>
        <w:pStyle w:val="Point2"/>
        <w:rPr>
          <w:noProof/>
        </w:rPr>
      </w:pPr>
      <w:r>
        <w:rPr>
          <w:noProof/>
        </w:rPr>
        <w:t>j)</w:t>
      </w:r>
      <w:r>
        <w:rPr>
          <w:noProof/>
        </w:rPr>
        <w:tab/>
        <w:t>uložiť požiadavky na dodatočné alebo častejšie podávanie správ vrátane podávania správ o pozíciách týkajúcich sa kapitálu a likvidity;</w:t>
      </w:r>
    </w:p>
    <w:p w:rsidR="001B4D52" w:rsidRDefault="002815F0">
      <w:pPr>
        <w:pStyle w:val="Point2"/>
        <w:rPr>
          <w:noProof/>
        </w:rPr>
      </w:pPr>
      <w:r>
        <w:rPr>
          <w:noProof/>
        </w:rPr>
        <w:t>k)</w:t>
      </w:r>
      <w:r>
        <w:rPr>
          <w:noProof/>
        </w:rPr>
        <w:tab/>
        <w:t>uložiť osobitné požiadavky na likviditu vrátane obmedzení nesúladu splatnosti medzi aktív</w:t>
      </w:r>
      <w:r>
        <w:rPr>
          <w:noProof/>
        </w:rPr>
        <w:t>ami a záväzkami;</w:t>
      </w:r>
    </w:p>
    <w:p w:rsidR="001B4D52" w:rsidRDefault="002815F0">
      <w:pPr>
        <w:pStyle w:val="Point2"/>
        <w:rPr>
          <w:noProof/>
        </w:rPr>
      </w:pPr>
      <w:r>
        <w:rPr>
          <w:noProof/>
        </w:rPr>
        <w:t>l)</w:t>
      </w:r>
      <w:r>
        <w:rPr>
          <w:noProof/>
        </w:rPr>
        <w:tab/>
        <w:t xml:space="preserve">požadovať dodatočné zverejnenie iba na </w:t>
      </w:r>
      <w:r>
        <w:rPr>
          <w:i/>
          <w:noProof/>
        </w:rPr>
        <w:t>ad hoc</w:t>
      </w:r>
      <w:r>
        <w:rPr>
          <w:noProof/>
        </w:rPr>
        <w:t xml:space="preserve"> základe.</w:t>
      </w:r>
    </w:p>
    <w:p w:rsidR="001B4D52" w:rsidRDefault="002815F0">
      <w:pPr>
        <w:pStyle w:val="Text1"/>
        <w:rPr>
          <w:noProof/>
        </w:rPr>
      </w:pPr>
      <w:r>
        <w:rPr>
          <w:noProof/>
        </w:rPr>
        <w:t>2. Na účely odseku 1 písm. j) príslušné orgány môžu uložiť požiadavky na dodatočné alebo častejšie podávanie správ týkajúce sa inštitúcií len v prípade, ak informácie, ktoré sa majú</w:t>
      </w:r>
      <w:r>
        <w:rPr>
          <w:noProof/>
        </w:rPr>
        <w:t xml:space="preserve"> podávať, nie sú duplicitné a je splnená jedna z týchto podmienok:</w:t>
      </w:r>
    </w:p>
    <w:p w:rsidR="001B4D52" w:rsidRDefault="002815F0">
      <w:pPr>
        <w:pStyle w:val="Point2"/>
        <w:rPr>
          <w:noProof/>
        </w:rPr>
      </w:pPr>
      <w:r>
        <w:rPr>
          <w:noProof/>
        </w:rPr>
        <w:t>a)</w:t>
      </w:r>
      <w:r>
        <w:rPr>
          <w:noProof/>
        </w:rPr>
        <w:tab/>
        <w:t>ktorákoľvek z podmienok uvedených v článku 102 ods. 1 písm. a) a b) je splnená;</w:t>
      </w:r>
    </w:p>
    <w:p w:rsidR="001B4D52" w:rsidRDefault="002815F0">
      <w:pPr>
        <w:pStyle w:val="Point2"/>
        <w:rPr>
          <w:noProof/>
        </w:rPr>
      </w:pPr>
      <w:r>
        <w:rPr>
          <w:noProof/>
        </w:rPr>
        <w:t>b)</w:t>
      </w:r>
      <w:r>
        <w:rPr>
          <w:noProof/>
        </w:rPr>
        <w:tab/>
        <w:t xml:space="preserve">príslušný orgán považuje za primerané uložiť tieto požiadavky na účely zhromaždenia dôkazov uvedených </w:t>
      </w:r>
      <w:r>
        <w:rPr>
          <w:noProof/>
        </w:rPr>
        <w:t>v článku 102 ods. 1 písm. b):</w:t>
      </w:r>
    </w:p>
    <w:p w:rsidR="001B4D52" w:rsidRDefault="002815F0">
      <w:pPr>
        <w:pStyle w:val="Point2"/>
        <w:rPr>
          <w:noProof/>
        </w:rPr>
      </w:pPr>
      <w:r>
        <w:rPr>
          <w:noProof/>
        </w:rPr>
        <w:t>c)</w:t>
      </w:r>
      <w:r>
        <w:rPr>
          <w:noProof/>
        </w:rPr>
        <w:tab/>
        <w:t>dodatočné informácie sa požadujú počas trvania programu previerok v oblasti dohľadu inštitúcie v súlade s článkom 99.</w:t>
      </w:r>
    </w:p>
    <w:p w:rsidR="001B4D52" w:rsidRDefault="002815F0">
      <w:pPr>
        <w:pStyle w:val="Text1"/>
        <w:rPr>
          <w:noProof/>
        </w:rPr>
      </w:pPr>
      <w:r>
        <w:rPr>
          <w:noProof/>
        </w:rPr>
        <w:t>Informácie, ktoré sa môžu požadovať od inštitúcií, sa považujú za duplicitné podľa prvého pododseku, ak p</w:t>
      </w:r>
      <w:r>
        <w:rPr>
          <w:noProof/>
        </w:rPr>
        <w:t>ríslušný orgán už má k dispozícii rovnaké alebo v podstate tie isté informácie, ak ich príslušný orgán môže vypracovať alebo získať inak, ako vyžadovať od inštitúcie ich oznámenie. Ak má príslušný orgán informácie k dispozícii v inom formáte alebo stupni p</w:t>
      </w:r>
      <w:r>
        <w:rPr>
          <w:noProof/>
        </w:rPr>
        <w:t>odrobnosti než dodatočné informácie, ktoré sa oznamujú, príslušný orgán nepožaduje dodatočné informácie, ak tento iný formát alebo stupeň podrobnosti nebránia vo vypracovaní v podstate podobných informácií.“</w:t>
      </w:r>
    </w:p>
    <w:p w:rsidR="001B4D52" w:rsidRDefault="002815F0">
      <w:pPr>
        <w:pStyle w:val="Point1"/>
        <w:rPr>
          <w:noProof/>
        </w:rPr>
      </w:pPr>
      <w:r>
        <w:rPr>
          <w:noProof/>
        </w:rPr>
        <w:t>b)</w:t>
      </w:r>
      <w:r>
        <w:rPr>
          <w:noProof/>
        </w:rPr>
        <w:tab/>
        <w:t>odsek 3 sa vypúšťa.</w:t>
      </w:r>
    </w:p>
    <w:p w:rsidR="001B4D52" w:rsidRDefault="002815F0">
      <w:pPr>
        <w:pStyle w:val="Point0"/>
        <w:rPr>
          <w:noProof/>
        </w:rPr>
      </w:pPr>
      <w:r>
        <w:rPr>
          <w:noProof/>
        </w:rPr>
        <w:t>22.</w:t>
      </w:r>
      <w:r>
        <w:rPr>
          <w:noProof/>
        </w:rPr>
        <w:tab/>
        <w:t xml:space="preserve">Vkladajú sa tieto </w:t>
      </w:r>
      <w:r>
        <w:rPr>
          <w:noProof/>
        </w:rPr>
        <w:t>články 104a, 104b a 104c:</w:t>
      </w:r>
    </w:p>
    <w:p w:rsidR="001B4D52" w:rsidRDefault="002815F0">
      <w:pPr>
        <w:pStyle w:val="Titrearticle"/>
        <w:rPr>
          <w:noProof/>
        </w:rPr>
      </w:pPr>
      <w:r>
        <w:rPr>
          <w:noProof/>
        </w:rPr>
        <w:t>„Článok 104a</w:t>
      </w:r>
      <w:r>
        <w:rPr>
          <w:noProof/>
        </w:rPr>
        <w:br/>
        <w:t>Dodatočná požiadavka na vlastné zdroje</w:t>
      </w:r>
    </w:p>
    <w:p w:rsidR="001B4D52" w:rsidRDefault="002815F0">
      <w:pPr>
        <w:pStyle w:val="ManualNumPar1"/>
        <w:rPr>
          <w:noProof/>
        </w:rPr>
      </w:pPr>
      <w:r>
        <w:t>1.</w:t>
      </w:r>
      <w:r>
        <w:tab/>
      </w:r>
      <w:r>
        <w:rPr>
          <w:noProof/>
        </w:rPr>
        <w:t>Príslušné orgány ukladajú dodatočnú požiadavku na vlastné zdroje uvedenú v článku 104 ods. 1 písm. a) iba v prípade, ak na základe preskúmaní vykonaných v súlade s článkami 97</w:t>
      </w:r>
      <w:r>
        <w:rPr>
          <w:noProof/>
        </w:rPr>
        <w:t xml:space="preserve"> a 101 zistia v jednej z inštitúcií ktorúkoľvek z týchto situácií:</w:t>
      </w:r>
    </w:p>
    <w:p w:rsidR="001B4D52" w:rsidRDefault="002815F0">
      <w:pPr>
        <w:pStyle w:val="Point1"/>
        <w:rPr>
          <w:noProof/>
        </w:rPr>
      </w:pPr>
      <w:r>
        <w:rPr>
          <w:noProof/>
        </w:rPr>
        <w:t>a)</w:t>
      </w:r>
      <w:r>
        <w:rPr>
          <w:noProof/>
        </w:rPr>
        <w:tab/>
        <w:t>inštitúcia je vystavená rizikám alebo prvkom rizík, na ktoré sa nevzťahujú alebo sa nedostatočne vzťahujú požiadavky na vlastné zdroje stanovené v tretej, štvrtej, piatej a siedmej časti</w:t>
      </w:r>
      <w:r>
        <w:rPr>
          <w:noProof/>
        </w:rPr>
        <w:t xml:space="preserve"> nariadenia (EÚ) č. 575/2013, ako sa spresňuje v odseku 2;</w:t>
      </w:r>
    </w:p>
    <w:p w:rsidR="001B4D52" w:rsidRDefault="002815F0">
      <w:pPr>
        <w:pStyle w:val="Point1"/>
        <w:rPr>
          <w:noProof/>
        </w:rPr>
      </w:pPr>
      <w:r>
        <w:rPr>
          <w:noProof/>
        </w:rPr>
        <w:t>b)</w:t>
      </w:r>
      <w:r>
        <w:rPr>
          <w:noProof/>
        </w:rPr>
        <w:tab/>
        <w:t>inštitúcia nespĺňa požiadavky stanovené v článkoch 73 a 74 tejto smernice alebo v článku 393 nariadenia (EÚ) č. 575/2013 a nie je pravdepodobné, že samotné uplatnenie iných správnych opatrení do</w:t>
      </w:r>
      <w:r>
        <w:rPr>
          <w:noProof/>
        </w:rPr>
        <w:t>statočne zlepší opatrenia, postupy, mechanizmy a stratégie v primeranom čase;</w:t>
      </w:r>
    </w:p>
    <w:p w:rsidR="001B4D52" w:rsidRDefault="002815F0">
      <w:pPr>
        <w:pStyle w:val="Point1"/>
        <w:rPr>
          <w:noProof/>
        </w:rPr>
      </w:pPr>
      <w:r>
        <w:rPr>
          <w:noProof/>
        </w:rPr>
        <w:t>c)</w:t>
      </w:r>
      <w:r>
        <w:rPr>
          <w:noProof/>
        </w:rPr>
        <w:tab/>
        <w:t>úpravy uvedené v článku 98 ods. 4 sa považujú za nedostatočné na to, aby umožnili inštitúcii za normálnych trhových podmienok predať alebo hedžovať svoje pozície v krátkom čas</w:t>
      </w:r>
      <w:r>
        <w:rPr>
          <w:noProof/>
        </w:rPr>
        <w:t>e bez privodenia si významných strát;</w:t>
      </w:r>
    </w:p>
    <w:p w:rsidR="001B4D52" w:rsidRDefault="002815F0">
      <w:pPr>
        <w:pStyle w:val="Point1"/>
        <w:rPr>
          <w:noProof/>
        </w:rPr>
      </w:pPr>
      <w:r>
        <w:rPr>
          <w:noProof/>
        </w:rPr>
        <w:t>d)</w:t>
      </w:r>
      <w:r>
        <w:rPr>
          <w:noProof/>
        </w:rPr>
        <w:tab/>
        <w:t>z hodnotenia vykonaného v súlade s článkom 101 ods. 4 vyplýva, že nesplnenie požiadaviek, ktoré sa týkajú uplatňovania povoleného prístupu, bude mať pravdepodobne za následok nedostatočné požiadavky na vlastné zdroj</w:t>
      </w:r>
      <w:r>
        <w:rPr>
          <w:noProof/>
        </w:rPr>
        <w:t>e;</w:t>
      </w:r>
    </w:p>
    <w:p w:rsidR="001B4D52" w:rsidRDefault="002815F0">
      <w:pPr>
        <w:pStyle w:val="Point1"/>
        <w:rPr>
          <w:noProof/>
        </w:rPr>
      </w:pPr>
      <w:r>
        <w:rPr>
          <w:noProof/>
        </w:rPr>
        <w:t>e)</w:t>
      </w:r>
      <w:r>
        <w:rPr>
          <w:noProof/>
        </w:rPr>
        <w:tab/>
        <w:t>inštitúcia opakovane nezavedie alebo nezachová primeranú úroveň dodatočných vlastných zdrojov stanovenú v článku 104b ods. 1.</w:t>
      </w:r>
    </w:p>
    <w:p w:rsidR="001B4D52" w:rsidRDefault="002815F0">
      <w:pPr>
        <w:pStyle w:val="Text1"/>
        <w:rPr>
          <w:noProof/>
        </w:rPr>
      </w:pPr>
      <w:r>
        <w:rPr>
          <w:noProof/>
        </w:rPr>
        <w:t>Príslušné orgány nesmú uložiť dodatočnú požiadavku na vlastné zdroje uvedenú v článku 104 ods. 1 písm. a) na krytie makropru</w:t>
      </w:r>
      <w:r>
        <w:rPr>
          <w:noProof/>
        </w:rPr>
        <w:t>denciálnych alebo systémových rizík.</w:t>
      </w:r>
    </w:p>
    <w:p w:rsidR="001B4D52" w:rsidRDefault="002815F0">
      <w:pPr>
        <w:pStyle w:val="ManualNumPar1"/>
        <w:rPr>
          <w:noProof/>
        </w:rPr>
      </w:pPr>
      <w:r>
        <w:t>2.</w:t>
      </w:r>
      <w:r>
        <w:tab/>
      </w:r>
      <w:r>
        <w:rPr>
          <w:noProof/>
        </w:rPr>
        <w:t>Na účely odseku 1 písm. a) sa riziká alebo prvky rizika považujú za také, ktoré nie sú kryté alebo sú nedostatočne kryté požiadavkami na vlastné zdroje stanovenými v tretej, štvrtej, piatej a siedmej časti nariadenia</w:t>
      </w:r>
      <w:r>
        <w:rPr>
          <w:noProof/>
        </w:rPr>
        <w:t xml:space="preserve"> (EÚ) č. 575/2013 iba vtedy, ak sú výška, druhy a rozmiestnenie kapitálu, ktoré príslušný orgán považuje za primerané na základe preskúmania posúdenia orgánom dohľadu, ktoré vykonali inštitúcie v súlade s článkom 73 prvým odsekom, vyššie ako požiadavky na </w:t>
      </w:r>
      <w:r>
        <w:rPr>
          <w:noProof/>
        </w:rPr>
        <w:t>vlastné zdroje inštitúcie stanovené v tretej, štvrtej, piatej a siedmej časti nariadenia (EÚ) č. 575/2013.</w:t>
      </w:r>
    </w:p>
    <w:p w:rsidR="001B4D52" w:rsidRDefault="002815F0">
      <w:pPr>
        <w:pStyle w:val="Text1"/>
        <w:rPr>
          <w:noProof/>
        </w:rPr>
      </w:pPr>
      <w:r>
        <w:rPr>
          <w:noProof/>
        </w:rPr>
        <w:t>Na účely prvého pododseku kapitál, ktorý sa považuje za primeraný, kryje všetky závažné riziká alebo prvky takýchto rizík, ktoré nepodliehajú osobitn</w:t>
      </w:r>
      <w:r>
        <w:rPr>
          <w:noProof/>
        </w:rPr>
        <w:t>ej požiadavke na vlastné zdroje. Toto môže zahŕňať riziká alebo prvky rizík, ktoré sú výslovne vyňaté z požiadaviek na vlastné zdroje stanovených v tretej, štvrtej, piatej a siedmej časti nariadenia (EÚ) č. 575/2013.</w:t>
      </w:r>
    </w:p>
    <w:p w:rsidR="001B4D52" w:rsidRDefault="002815F0">
      <w:pPr>
        <w:pStyle w:val="Text1"/>
        <w:rPr>
          <w:noProof/>
        </w:rPr>
      </w:pPr>
      <w:r>
        <w:rPr>
          <w:noProof/>
        </w:rPr>
        <w:t>Úrokové riziko vyplývajúce z neobchodný</w:t>
      </w:r>
      <w:r>
        <w:rPr>
          <w:noProof/>
        </w:rPr>
        <w:t>ch pozícií sa považuje za závažné iba vtedy, ak ekonomická hodnota vlastného imania klesne o viac než 15 % kapitálu Tier 1 inštitúcie v dôsledku ktoréhokoľvek zo šiestich šokových scenárov dohľadu podľa článku 98 ods. 5, ktoré sa uplatňujú na úrokové sadzb</w:t>
      </w:r>
      <w:r>
        <w:rPr>
          <w:noProof/>
        </w:rPr>
        <w:t>y alebo akýkoľvek iný prípad identifikovaný orgánom EBA podľa článku 98 ods. 5 písm. c).</w:t>
      </w:r>
    </w:p>
    <w:p w:rsidR="001B4D52" w:rsidRDefault="002815F0">
      <w:pPr>
        <w:pStyle w:val="Text1"/>
        <w:rPr>
          <w:noProof/>
        </w:rPr>
      </w:pPr>
      <w:r>
        <w:rPr>
          <w:noProof/>
        </w:rPr>
        <w:t xml:space="preserve">Riziká uvedené v odseku 1 písm. a) nezahŕňajú riziká, pre ktoré táto smernica alebo nariadenie (EÚ) č. 575/2013 stanovujú prechodné zaobchádzanie, alebo riziká, ktoré </w:t>
      </w:r>
      <w:r>
        <w:rPr>
          <w:noProof/>
        </w:rPr>
        <w:t>podliehajú prechodným ustanoveniam.</w:t>
      </w:r>
    </w:p>
    <w:p w:rsidR="001B4D52" w:rsidRDefault="002815F0">
      <w:pPr>
        <w:pStyle w:val="ManualNumPar1"/>
        <w:rPr>
          <w:noProof/>
        </w:rPr>
      </w:pPr>
      <w:r>
        <w:t>3.</w:t>
      </w:r>
      <w:r>
        <w:tab/>
      </w:r>
      <w:r>
        <w:rPr>
          <w:noProof/>
        </w:rPr>
        <w:t>Príslušné orgány určia výšku dodatočných vlastných zdrojov požadovaných podľa článku 104 ods. 1 písm. a) ako rozdiel medzi kapitálom považovaným za primeraný podľa odseku 2 a požiadavkami na vlastné zdroje stanovenými</w:t>
      </w:r>
      <w:r>
        <w:rPr>
          <w:noProof/>
        </w:rPr>
        <w:t xml:space="preserve"> v tretej, štvrtej, piatej a siedmej časti nariadenia (EÚ) č. 575/2013.</w:t>
      </w:r>
    </w:p>
    <w:p w:rsidR="001B4D52" w:rsidRDefault="002815F0">
      <w:pPr>
        <w:pStyle w:val="ManualNumPar1"/>
        <w:rPr>
          <w:noProof/>
        </w:rPr>
      </w:pPr>
      <w:r>
        <w:t>4.</w:t>
      </w:r>
      <w:r>
        <w:tab/>
      </w:r>
      <w:r>
        <w:rPr>
          <w:noProof/>
        </w:rPr>
        <w:t>Inštitúcia spĺňa dodatočnú požiadavku na vlastné zdroje uvedenú v článku 104 ods. 1 písm. a) nástrojmi vlastných zdrojov, ak sú splnené tieto podmienky:</w:t>
      </w:r>
    </w:p>
    <w:p w:rsidR="001B4D52" w:rsidRDefault="002815F0">
      <w:pPr>
        <w:pStyle w:val="Point1"/>
        <w:rPr>
          <w:noProof/>
        </w:rPr>
      </w:pPr>
      <w:r>
        <w:rPr>
          <w:noProof/>
        </w:rPr>
        <w:t>a)</w:t>
      </w:r>
      <w:r>
        <w:rPr>
          <w:noProof/>
        </w:rPr>
        <w:tab/>
        <w:t>najmenej tri štvrtiny dod</w:t>
      </w:r>
      <w:r>
        <w:rPr>
          <w:noProof/>
        </w:rPr>
        <w:t>atočnej požiadavky na vlastné zdroje sú splnené kapitálom Tier 1;</w:t>
      </w:r>
    </w:p>
    <w:p w:rsidR="001B4D52" w:rsidRDefault="002815F0">
      <w:pPr>
        <w:pStyle w:val="Point1"/>
        <w:rPr>
          <w:noProof/>
        </w:rPr>
      </w:pPr>
      <w:r>
        <w:rPr>
          <w:noProof/>
        </w:rPr>
        <w:t>b)</w:t>
      </w:r>
      <w:r>
        <w:rPr>
          <w:noProof/>
        </w:rPr>
        <w:tab/>
        <w:t>najmenej tri štvrtiny kapitálu Tier 1 sa skladajú z kapitálu CET 1.</w:t>
      </w:r>
    </w:p>
    <w:p w:rsidR="001B4D52" w:rsidRDefault="002815F0">
      <w:pPr>
        <w:pStyle w:val="Text1"/>
        <w:rPr>
          <w:noProof/>
        </w:rPr>
      </w:pPr>
      <w:r>
        <w:rPr>
          <w:noProof/>
        </w:rPr>
        <w:t>Vlastné zdroje používané na splnenie dodatočnej požiadavky na vlastné zdroje uvedenej v článku 104 ods. 1 písm. a) sa n</w:t>
      </w:r>
      <w:r>
        <w:rPr>
          <w:noProof/>
        </w:rPr>
        <w:t>epoužívajú na splnenie akejkoľvek z požiadaviek na vlastné zdroje stanovených v článku 92 ods. 1 písm. a), b) a c) nariadenia (EÚ) č. 575/2013 alebo požiadavky na kombinovaný vankúš podľa vymedzenia v článku 128 ods. 6 tejto smernice.</w:t>
      </w:r>
    </w:p>
    <w:p w:rsidR="001B4D52" w:rsidRDefault="002815F0">
      <w:pPr>
        <w:pStyle w:val="Text1"/>
        <w:rPr>
          <w:noProof/>
        </w:rPr>
      </w:pPr>
      <w:r>
        <w:rPr>
          <w:noProof/>
        </w:rPr>
        <w:t>Odchylne od druhého p</w:t>
      </w:r>
      <w:r>
        <w:rPr>
          <w:noProof/>
        </w:rPr>
        <w:t>ododseku vlastné zdroje použité na splnenie dodatočnej požiadavky na vlastné zdroje uvedenej v článku 104 ods. 1 písm. a) uloženej príslušnými orgánmi na riešenie rizík alebo prvkov rizík, na ktoré sa dostatočne nevzťahuje článok 92 ods. 1 písm. d) nariade</w:t>
      </w:r>
      <w:r>
        <w:rPr>
          <w:noProof/>
        </w:rPr>
        <w:t>nia (EÚ) č. 575/2013, sa môžu použiť na splnenie požiadavky na kombinovaný vankúš uvedenej v článku 128 ods. 6 tejto smernice.</w:t>
      </w:r>
    </w:p>
    <w:p w:rsidR="001B4D52" w:rsidRDefault="002815F0">
      <w:pPr>
        <w:pStyle w:val="ManualNumPar1"/>
        <w:rPr>
          <w:noProof/>
        </w:rPr>
      </w:pPr>
      <w:r>
        <w:t>5.</w:t>
      </w:r>
      <w:r>
        <w:tab/>
      </w:r>
      <w:r>
        <w:rPr>
          <w:noProof/>
        </w:rPr>
        <w:t>Príslušný orgán riadne písomne odôvodní pre každú inštitúciu rozhodnutie uložiť dodatočnú požiadavku na vlastné zdroje podľa č</w:t>
      </w:r>
      <w:r>
        <w:rPr>
          <w:noProof/>
        </w:rPr>
        <w:t>lánku 104 ods. 1 písm. a) prinajmenej poskytnutím jasného obrazu o úplnom posúdení prvkov uvedených v odsekoch 1 až 4. Toto zahŕňa v prípade stanovenom v odseku 1 písm. d) osobitné odôvodnené stanoviská, pre ktoré sa uloženie kapitálových usmernení už nepo</w:t>
      </w:r>
      <w:r>
        <w:rPr>
          <w:noProof/>
        </w:rPr>
        <w:t>važuje za dostatočné.</w:t>
      </w:r>
    </w:p>
    <w:p w:rsidR="001B4D52" w:rsidRDefault="002815F0">
      <w:pPr>
        <w:pStyle w:val="ManualNumPar1"/>
        <w:rPr>
          <w:noProof/>
        </w:rPr>
      </w:pPr>
      <w:r>
        <w:t>6.</w:t>
      </w:r>
      <w:r>
        <w:tab/>
      </w:r>
      <w:r>
        <w:rPr>
          <w:noProof/>
        </w:rPr>
        <w:t>Orgán EBA vypracuje návrh regulačných technických predpisov, ktorými sa spresní spôsob merania rizík a prvkov rizík uvedených v odseku 2.</w:t>
      </w:r>
    </w:p>
    <w:p w:rsidR="001B4D52" w:rsidRDefault="002815F0">
      <w:pPr>
        <w:pStyle w:val="Text1"/>
        <w:rPr>
          <w:noProof/>
        </w:rPr>
      </w:pPr>
      <w:r>
        <w:rPr>
          <w:noProof/>
        </w:rPr>
        <w:t>Orgán EBA zabezpečí, aby tento návrh regulačných technických predpisov bol primeraný vzhľadom</w:t>
      </w:r>
      <w:r>
        <w:rPr>
          <w:noProof/>
        </w:rPr>
        <w:t xml:space="preserve"> na:</w:t>
      </w:r>
    </w:p>
    <w:p w:rsidR="001B4D52" w:rsidRDefault="002815F0">
      <w:pPr>
        <w:pStyle w:val="Point1"/>
        <w:rPr>
          <w:noProof/>
        </w:rPr>
      </w:pPr>
      <w:r>
        <w:rPr>
          <w:noProof/>
        </w:rPr>
        <w:t>a)</w:t>
      </w:r>
      <w:r>
        <w:rPr>
          <w:noProof/>
        </w:rPr>
        <w:tab/>
        <w:t>vykonávaciu záťaž inštitúcií a príslušných orgánov; a</w:t>
      </w:r>
    </w:p>
    <w:p w:rsidR="001B4D52" w:rsidRDefault="002815F0">
      <w:pPr>
        <w:pStyle w:val="Point1"/>
        <w:rPr>
          <w:noProof/>
        </w:rPr>
      </w:pPr>
      <w:r>
        <w:rPr>
          <w:noProof/>
        </w:rPr>
        <w:t>b)</w:t>
      </w:r>
      <w:r>
        <w:rPr>
          <w:noProof/>
        </w:rPr>
        <w:tab/>
        <w:t>možnosť, že všeobecne vyššia úroveň uplatňovaných kapitálových požiadaviek, ak inštitúcie nevyužívajú interné modely, môže odôvodniť uloženie nižších kapitálových požiadaviek, keď sa posudzuj</w:t>
      </w:r>
      <w:r>
        <w:rPr>
          <w:noProof/>
        </w:rPr>
        <w:t>ú riziká a prvky rizík v súlade s odsekom 2.</w:t>
      </w:r>
    </w:p>
    <w:p w:rsidR="001B4D52" w:rsidRDefault="002815F0">
      <w:pPr>
        <w:pStyle w:val="Text1"/>
        <w:rPr>
          <w:noProof/>
        </w:rPr>
      </w:pPr>
      <w:r>
        <w:rPr>
          <w:noProof/>
        </w:rPr>
        <w:t>Orgán EBA predloží Komisii tento návrh regulačných technických predpisov do [jeden rok po nadobudnutí účinnosti].</w:t>
      </w:r>
    </w:p>
    <w:p w:rsidR="001B4D52" w:rsidRDefault="002815F0">
      <w:pPr>
        <w:pStyle w:val="Text1"/>
        <w:rPr>
          <w:noProof/>
        </w:rPr>
      </w:pPr>
      <w:r>
        <w:rPr>
          <w:noProof/>
        </w:rPr>
        <w:t>Komisii sa udeľuje právomoc prijať regulačné technické predpisy uvedené v odseku 6 v súlade s člá</w:t>
      </w:r>
      <w:r>
        <w:rPr>
          <w:noProof/>
        </w:rPr>
        <w:t>nkami 10 až 14 nariadenia (EÚ) č. 1093/2010.</w:t>
      </w:r>
    </w:p>
    <w:p w:rsidR="001B4D52" w:rsidRDefault="002815F0">
      <w:pPr>
        <w:pStyle w:val="Titrearticle"/>
        <w:rPr>
          <w:noProof/>
        </w:rPr>
      </w:pPr>
      <w:r>
        <w:rPr>
          <w:noProof/>
        </w:rPr>
        <w:t>Článok 104b</w:t>
      </w:r>
      <w:r>
        <w:rPr>
          <w:noProof/>
        </w:rPr>
        <w:br/>
        <w:t>Usmernenie o dodatočných vlastných zdrojoch</w:t>
      </w:r>
    </w:p>
    <w:p w:rsidR="001B4D52" w:rsidRDefault="002815F0">
      <w:pPr>
        <w:pStyle w:val="ManualNumPar1"/>
        <w:rPr>
          <w:noProof/>
        </w:rPr>
      </w:pPr>
      <w:r>
        <w:t>1.</w:t>
      </w:r>
      <w:r>
        <w:tab/>
      </w:r>
      <w:r>
        <w:rPr>
          <w:noProof/>
        </w:rPr>
        <w:t>Podľa stratégií a postupov uvedených v článku 73 a po porade s príslušným orgánom inštitúcie určia primeranú úroveň vlastných zdrojov, ktorá je dostatoč</w:t>
      </w:r>
      <w:r>
        <w:rPr>
          <w:noProof/>
        </w:rPr>
        <w:t>ne vysoko nad požiadavkami stanovenými v tretej, štvrtej piatej a siedmej časti nariadenia (EÚ) č. 575/2013 a v tejto smernici, vrátane dodatočných požiadaviek na vlastné zdroje uložených príslušnými orgánmi v súlade s článkom 104 ods. 1 písm. a), aby sa z</w:t>
      </w:r>
      <w:r>
        <w:rPr>
          <w:noProof/>
        </w:rPr>
        <w:t>abezpečilo, že:</w:t>
      </w:r>
    </w:p>
    <w:p w:rsidR="001B4D52" w:rsidRDefault="002815F0">
      <w:pPr>
        <w:pStyle w:val="Point1"/>
        <w:rPr>
          <w:noProof/>
        </w:rPr>
      </w:pPr>
      <w:r>
        <w:rPr>
          <w:noProof/>
        </w:rPr>
        <w:t>a)</w:t>
      </w:r>
      <w:r>
        <w:rPr>
          <w:noProof/>
        </w:rPr>
        <w:tab/>
        <w:t>cyklické hospodárske fluktuácie nevedú k porušeniu týchto požiadaviek; a</w:t>
      </w:r>
    </w:p>
    <w:p w:rsidR="001B4D52" w:rsidRDefault="002815F0">
      <w:pPr>
        <w:pStyle w:val="Point1"/>
        <w:rPr>
          <w:noProof/>
        </w:rPr>
      </w:pPr>
      <w:r>
        <w:rPr>
          <w:noProof/>
        </w:rPr>
        <w:t>b)</w:t>
      </w:r>
      <w:r>
        <w:rPr>
          <w:noProof/>
        </w:rPr>
        <w:tab/>
        <w:t xml:space="preserve">vlastné zdroje inštitúcie môžu absorbovať bez toho, aby došlo k porušeniu požiadaviek na vlastné zdroje stanovených v tretej, štvrtej, piatej a siedmej časti </w:t>
      </w:r>
      <w:r>
        <w:rPr>
          <w:noProof/>
        </w:rPr>
        <w:t>nariadenia (EÚ) č. 575/2013 a dodatočných požiadaviek na vlastné zdroje uložených príslušnými orgánmi v súlade s článkom 104 ods. 1 písm. a), potenciálne straty identifikované podľa stresového testovania orgánom dohľadu uvedeného v článku 100.</w:t>
      </w:r>
    </w:p>
    <w:p w:rsidR="001B4D52" w:rsidRDefault="002815F0">
      <w:pPr>
        <w:pStyle w:val="ManualNumPar1"/>
        <w:rPr>
          <w:noProof/>
        </w:rPr>
      </w:pPr>
      <w:r>
        <w:t>2.</w:t>
      </w:r>
      <w:r>
        <w:tab/>
      </w:r>
      <w:r>
        <w:rPr>
          <w:noProof/>
        </w:rPr>
        <w:t>Príslušné</w:t>
      </w:r>
      <w:r>
        <w:rPr>
          <w:noProof/>
        </w:rPr>
        <w:t xml:space="preserve"> orgány pravidelne preskúmavajú úroveň vlastných zdrojov stanovených každou inštitúciou v súlade s odsekom 1, pričom zohľadňujú výsledok preskúmaní a hodnotení vykonaných v súlade s článkami 97 a 101 vrátane výsledkov stresových testov uvedených v článku 1</w:t>
      </w:r>
      <w:r>
        <w:rPr>
          <w:noProof/>
        </w:rPr>
        <w:t>00.</w:t>
      </w:r>
    </w:p>
    <w:p w:rsidR="001B4D52" w:rsidRDefault="002815F0">
      <w:pPr>
        <w:pStyle w:val="ManualNumPar1"/>
        <w:rPr>
          <w:noProof/>
        </w:rPr>
      </w:pPr>
      <w:r>
        <w:t>3.</w:t>
      </w:r>
      <w:r>
        <w:tab/>
      </w:r>
      <w:r>
        <w:rPr>
          <w:noProof/>
        </w:rPr>
        <w:t>Príslušné orgány oznamujú inštitúciám výsledok preskúmania stanoveného v odseku 2. Príslušné orgány môžu prípadne oznámiť inštitúciám každé očakávanie úpravy úrovne vlastných zdrojov určenej v súlade s odsekom 1.</w:t>
      </w:r>
    </w:p>
    <w:p w:rsidR="001B4D52" w:rsidRDefault="002815F0">
      <w:pPr>
        <w:pStyle w:val="ManualNumPar1"/>
        <w:rPr>
          <w:noProof/>
        </w:rPr>
      </w:pPr>
      <w:r>
        <w:t>4.</w:t>
      </w:r>
      <w:r>
        <w:tab/>
      </w:r>
      <w:r>
        <w:rPr>
          <w:noProof/>
        </w:rPr>
        <w:t>Príslušné orgány neoznamujú inšti</w:t>
      </w:r>
      <w:r>
        <w:rPr>
          <w:noProof/>
        </w:rPr>
        <w:t>túciám žiadne očakávania úpravy úrovne vlastných zdrojov podľa odseku 3 v prípadoch, ak sa dodatočná požiadavka na vlastné zdroje ukladá podľa článku 104a.</w:t>
      </w:r>
    </w:p>
    <w:p w:rsidR="001B4D52" w:rsidRDefault="002815F0">
      <w:pPr>
        <w:pStyle w:val="ManualNumPar1"/>
        <w:rPr>
          <w:noProof/>
        </w:rPr>
      </w:pPr>
      <w:r>
        <w:t>5.</w:t>
      </w:r>
      <w:r>
        <w:tab/>
      </w:r>
      <w:r>
        <w:rPr>
          <w:noProof/>
        </w:rPr>
        <w:t>Inštitúcia, ktorá nesplní očakávania stanovené v odseku 3, nepodlieha obmedzeniam uvedeným v člán</w:t>
      </w:r>
      <w:r>
        <w:rPr>
          <w:noProof/>
        </w:rPr>
        <w:t>ku 141.</w:t>
      </w:r>
    </w:p>
    <w:p w:rsidR="001B4D52" w:rsidRDefault="002815F0">
      <w:pPr>
        <w:pStyle w:val="Titrearticle"/>
        <w:rPr>
          <w:noProof/>
        </w:rPr>
      </w:pPr>
      <w:r>
        <w:rPr>
          <w:noProof/>
        </w:rPr>
        <w:t>Článok 104c</w:t>
      </w:r>
      <w:r>
        <w:rPr>
          <w:noProof/>
        </w:rPr>
        <w:br/>
        <w:t>Spolupráca s orgánmi pre riešenie krízových situácií</w:t>
      </w:r>
    </w:p>
    <w:p w:rsidR="001B4D52" w:rsidRDefault="002815F0">
      <w:pPr>
        <w:pStyle w:val="ManualNumPar1"/>
        <w:rPr>
          <w:noProof/>
        </w:rPr>
      </w:pPr>
      <w:r>
        <w:t>1.</w:t>
      </w:r>
      <w:r>
        <w:tab/>
      </w:r>
      <w:r>
        <w:rPr>
          <w:noProof/>
        </w:rPr>
        <w:t>Príslušné orgány konzultujú orgány pre riešenie krízových situácií pred určením každej dodatočnej požiadavky na vlastné zdroje uvedenej v článku 104 ods. 1 písm. a), a to pred tým,</w:t>
      </w:r>
      <w:r>
        <w:rPr>
          <w:noProof/>
        </w:rPr>
        <w:t xml:space="preserve"> než sa inštitúciám oznámi prípadné očakávanie úprav úrovne vlastných zdrojov v súlade s článkom 104b. Príslušné orgány poskytujú na tieto účely orgánom pre riešenie krízových situácií všetky dostupné informácie.</w:t>
      </w:r>
    </w:p>
    <w:p w:rsidR="001B4D52" w:rsidRDefault="002815F0">
      <w:pPr>
        <w:pStyle w:val="ManualNumPar1"/>
        <w:rPr>
          <w:noProof/>
        </w:rPr>
      </w:pPr>
      <w:r>
        <w:t>2.</w:t>
      </w:r>
      <w:r>
        <w:tab/>
      </w:r>
      <w:r>
        <w:rPr>
          <w:noProof/>
        </w:rPr>
        <w:t xml:space="preserve">Príslušné orgány informujú príslušné </w:t>
      </w:r>
      <w:r>
        <w:rPr>
          <w:noProof/>
        </w:rPr>
        <w:t>orgány pre riešenie krízových situácií o dodatočnej požiadavke na vlastné zdroje uloženej inštitúciám podľa článku 104 ods. 1 písm. a) a o prípadnom očakávaní úpravy úrovne vlastných zdrojov oznámenom inštitúciám v súlade s článkom 104b.“.</w:t>
      </w:r>
    </w:p>
    <w:p w:rsidR="001B4D52" w:rsidRDefault="002815F0">
      <w:pPr>
        <w:pStyle w:val="Point0"/>
        <w:rPr>
          <w:noProof/>
        </w:rPr>
      </w:pPr>
      <w:r>
        <w:rPr>
          <w:noProof/>
        </w:rPr>
        <w:t>23.</w:t>
      </w:r>
      <w:r>
        <w:rPr>
          <w:noProof/>
        </w:rPr>
        <w:tab/>
        <w:t>V článku 105</w:t>
      </w:r>
      <w:r>
        <w:rPr>
          <w:noProof/>
        </w:rPr>
        <w:t xml:space="preserve"> sa vypúšťa písmeno d).</w:t>
      </w:r>
    </w:p>
    <w:p w:rsidR="001B4D52" w:rsidRDefault="002815F0">
      <w:pPr>
        <w:pStyle w:val="Point0"/>
        <w:rPr>
          <w:noProof/>
        </w:rPr>
      </w:pPr>
      <w:r>
        <w:rPr>
          <w:noProof/>
        </w:rPr>
        <w:t>24.</w:t>
      </w:r>
      <w:r>
        <w:rPr>
          <w:noProof/>
        </w:rPr>
        <w:tab/>
        <w:t>V článku 108 sa vypúšťa odsek 3.</w:t>
      </w:r>
    </w:p>
    <w:p w:rsidR="001B4D52" w:rsidRDefault="002815F0">
      <w:pPr>
        <w:pStyle w:val="Point0"/>
        <w:rPr>
          <w:noProof/>
        </w:rPr>
      </w:pPr>
      <w:r>
        <w:rPr>
          <w:noProof/>
        </w:rPr>
        <w:t>25.</w:t>
      </w:r>
      <w:r>
        <w:rPr>
          <w:noProof/>
        </w:rPr>
        <w:tab/>
        <w:t>V článku 109 sa odseky 2 a 3 nahrádzajú takto:</w:t>
      </w:r>
    </w:p>
    <w:p w:rsidR="001B4D52" w:rsidRDefault="002815F0">
      <w:pPr>
        <w:pStyle w:val="Text1"/>
        <w:rPr>
          <w:noProof/>
        </w:rPr>
      </w:pPr>
      <w:r>
        <w:rPr>
          <w:noProof/>
        </w:rPr>
        <w:t>„2. Príslušné orgány požadujú od materských spoločností a dcérskych spoločností, na ktoré sa vzťahuje táto smernica, aby spĺňali povinnosti stan</w:t>
      </w:r>
      <w:r>
        <w:rPr>
          <w:noProof/>
        </w:rPr>
        <w:t>ovené v oddiele II tejto kapitoly na konsolidovanom alebo na subkonsolidovanom základe, aby sa zabezpečilo, že opatrenia, postupy a mechanizmy požadované v oddiele II tejto kapitoly sú konzistentné a dobre integrované a že je možné poskytovať akékoľvek úda</w:t>
      </w:r>
      <w:r>
        <w:rPr>
          <w:noProof/>
        </w:rPr>
        <w:t>je a informácie, ktoré sú relevantné na účely dohľadu. Musí sa nimi zabezpečiť najmä to, aby materské spoločnosti a dcérske spoločnosti, na ktoré sa vzťahuje táto smernica, uplatňovali tieto opatrenia, postupy a mechanizmy vo svojich dcérskych spoločnostia</w:t>
      </w:r>
      <w:r>
        <w:rPr>
          <w:noProof/>
        </w:rPr>
        <w:t>ch, na ktoré sa táto smernica nevzťahuje vrátane tých, ktoré sú zriadené v offshore finančných centrách. Tieto opatrenia, postupy a mechanizmy sú takisto konzistentné a dobre integrované a tieto dcérske spoločnosti sú schopné poskytovať akékoľvek údaje a i</w:t>
      </w:r>
      <w:r>
        <w:rPr>
          <w:noProof/>
        </w:rPr>
        <w:t>nformácie, ktoré sú relevantné na účely dohľadu.</w:t>
      </w:r>
    </w:p>
    <w:p w:rsidR="001B4D52" w:rsidRDefault="002815F0">
      <w:pPr>
        <w:pStyle w:val="Text1"/>
        <w:rPr>
          <w:noProof/>
        </w:rPr>
      </w:pPr>
      <w:r>
        <w:rPr>
          <w:noProof/>
        </w:rPr>
        <w:t>3. Povinnosti vyplývajúce z oddielu II tejto kapitoly týkajúce sa dcérskych spoločností, na ktoré sa nevzťahuje táto smernica, sa neuplatňujú, ak materská inštitúcia v EÚ môže príslušným orgánom preukázať, ž</w:t>
      </w:r>
      <w:r>
        <w:rPr>
          <w:noProof/>
        </w:rPr>
        <w:t>e uplatňovanie oddielu II je podľa zákonov tretej krajiny, v ktorej je zriadená dcérska spoločnosť, nezákonné.“</w:t>
      </w:r>
    </w:p>
    <w:p w:rsidR="001B4D52" w:rsidRDefault="002815F0">
      <w:pPr>
        <w:pStyle w:val="Point0"/>
        <w:rPr>
          <w:noProof/>
        </w:rPr>
      </w:pPr>
      <w:r>
        <w:rPr>
          <w:noProof/>
        </w:rPr>
        <w:t>26.</w:t>
      </w:r>
      <w:r>
        <w:rPr>
          <w:noProof/>
        </w:rPr>
        <w:tab/>
        <w:t>Článok 113 sa nahrádza takto:</w:t>
      </w:r>
    </w:p>
    <w:p w:rsidR="001B4D52" w:rsidRDefault="002815F0">
      <w:pPr>
        <w:pStyle w:val="Titrearticle"/>
        <w:rPr>
          <w:noProof/>
        </w:rPr>
      </w:pPr>
      <w:r>
        <w:rPr>
          <w:noProof/>
        </w:rPr>
        <w:t>„Článok 113</w:t>
      </w:r>
      <w:r>
        <w:rPr>
          <w:noProof/>
        </w:rPr>
        <w:br/>
        <w:t>Spoločné rozhodnutia o prudenciálnych požiadavkách špecifických pre inštitúcie</w:t>
      </w:r>
    </w:p>
    <w:p w:rsidR="001B4D52" w:rsidRDefault="002815F0">
      <w:pPr>
        <w:pStyle w:val="ManualNumPar1"/>
        <w:rPr>
          <w:noProof/>
        </w:rPr>
      </w:pPr>
      <w:r>
        <w:t>1.</w:t>
      </w:r>
      <w:r>
        <w:tab/>
      </w:r>
      <w:r>
        <w:rPr>
          <w:noProof/>
        </w:rPr>
        <w:t>Orgán konsolidov</w:t>
      </w:r>
      <w:r>
        <w:rPr>
          <w:noProof/>
        </w:rPr>
        <w:t>aného dohľadu a príslušné orgány zodpovedné za dohľad nad dcérskymi spoločnosťami materskej inštitúcie v EÚ alebo materskej finančnej holdingovej spoločnosti v EÚ alebo materskej zmiešanej finančnej holdingovej spoločnosti v EÚ v členskom štáte vyvinú v rá</w:t>
      </w:r>
      <w:r>
        <w:rPr>
          <w:noProof/>
        </w:rPr>
        <w:t>mci svojich právomocí maximálne úsilie na prijatie spoločného rozhodnutia:</w:t>
      </w:r>
    </w:p>
    <w:p w:rsidR="001B4D52" w:rsidRDefault="002815F0">
      <w:pPr>
        <w:pStyle w:val="Point1"/>
        <w:rPr>
          <w:noProof/>
        </w:rPr>
      </w:pPr>
      <w:r>
        <w:rPr>
          <w:noProof/>
        </w:rPr>
        <w:t>a)</w:t>
      </w:r>
      <w:r>
        <w:rPr>
          <w:noProof/>
        </w:rPr>
        <w:tab/>
        <w:t>o uplatnení článkov 73 a 97 na určenie primeranosti konsolidovanej úrovne vlastných zdrojov držaných skupinou inštitúcií so zreteľom na jej finančnú situáciu a rizikový profil a </w:t>
      </w:r>
      <w:r>
        <w:rPr>
          <w:noProof/>
        </w:rPr>
        <w:t>požadovanej úrovne vlastných zdrojov na uplatnenie článku 104 ods. 1 písm. a) na každý subjekt v skupine inštitúcií a na konsolidovanom základe;</w:t>
      </w:r>
    </w:p>
    <w:p w:rsidR="001B4D52" w:rsidRDefault="002815F0">
      <w:pPr>
        <w:pStyle w:val="Point1"/>
        <w:rPr>
          <w:noProof/>
        </w:rPr>
      </w:pPr>
      <w:r>
        <w:rPr>
          <w:noProof/>
        </w:rPr>
        <w:t>b)</w:t>
      </w:r>
      <w:r>
        <w:rPr>
          <w:noProof/>
        </w:rPr>
        <w:tab/>
        <w:t>o opatreniach na riešenie akýchkoľvek podstatných záležitostí a podstatných zistení týkajúcich sa dohľadu na</w:t>
      </w:r>
      <w:r>
        <w:rPr>
          <w:noProof/>
        </w:rPr>
        <w:t>d likviditou vrátane tých, ktoré sa týkajú primeranosti organizácie a zaobchádzania s rizikami podľa požiadaviek článku 86, a ktoré sa týkajú potreby požiadaviek na likviditu pre jednotlivé inštitúcie v súlade s článkom 105 tejto smernice;</w:t>
      </w:r>
    </w:p>
    <w:p w:rsidR="001B4D52" w:rsidRDefault="002815F0">
      <w:pPr>
        <w:pStyle w:val="Point1"/>
        <w:rPr>
          <w:noProof/>
        </w:rPr>
      </w:pPr>
      <w:r>
        <w:rPr>
          <w:noProof/>
        </w:rPr>
        <w:t>c)</w:t>
      </w:r>
      <w:r>
        <w:rPr>
          <w:noProof/>
        </w:rPr>
        <w:tab/>
        <w:t>o prípadnom o</w:t>
      </w:r>
      <w:r>
        <w:rPr>
          <w:noProof/>
        </w:rPr>
        <w:t>čakávaní úprav konsolidovanej úrovne vlastných zdrojov v súlade s článkom 104b ods. 3.</w:t>
      </w:r>
    </w:p>
    <w:p w:rsidR="001B4D52" w:rsidRDefault="002815F0">
      <w:pPr>
        <w:pStyle w:val="ManualNumPar1"/>
        <w:rPr>
          <w:noProof/>
        </w:rPr>
      </w:pPr>
      <w:r>
        <w:t>2.</w:t>
      </w:r>
      <w:r>
        <w:tab/>
      </w:r>
      <w:r>
        <w:rPr>
          <w:noProof/>
        </w:rPr>
        <w:t>Spoločné rozhodnutia uvedené v odseku 1 sa dosiahnu:</w:t>
      </w:r>
    </w:p>
    <w:p w:rsidR="001B4D52" w:rsidRDefault="002815F0">
      <w:pPr>
        <w:pStyle w:val="Point1"/>
        <w:keepNext/>
        <w:keepLines/>
        <w:rPr>
          <w:noProof/>
        </w:rPr>
      </w:pPr>
      <w:r>
        <w:rPr>
          <w:noProof/>
        </w:rPr>
        <w:t>a)</w:t>
      </w:r>
      <w:r>
        <w:rPr>
          <w:noProof/>
        </w:rPr>
        <w:tab/>
        <w:t>na účely odseku 1 písm. a) do štyroch mesiacov po tom, čo orgán konsolidovaného dohľadu predloží správu obsahu</w:t>
      </w:r>
      <w:r>
        <w:rPr>
          <w:noProof/>
        </w:rPr>
        <w:t>júcu posúdenie rizika skupiny inštitúcií v súlade s článkom 104a ostatným dotknutým príslušným orgánom;</w:t>
      </w:r>
    </w:p>
    <w:p w:rsidR="001B4D52" w:rsidRDefault="002815F0">
      <w:pPr>
        <w:pStyle w:val="Point1"/>
        <w:rPr>
          <w:noProof/>
        </w:rPr>
      </w:pPr>
      <w:r>
        <w:rPr>
          <w:noProof/>
        </w:rPr>
        <w:t>b)</w:t>
      </w:r>
      <w:r>
        <w:rPr>
          <w:noProof/>
        </w:rPr>
        <w:tab/>
        <w:t>na účely odseku 1 písm. b) do štyroch mesiacov po tom, čo orgán konsolidovaného dohľadu predloží správu obsahujúcu hodnotenie profilu rizika likvidit</w:t>
      </w:r>
      <w:r>
        <w:rPr>
          <w:noProof/>
        </w:rPr>
        <w:t>y skupiny inštitúcií v súlade s článkami 86 a 105;</w:t>
      </w:r>
    </w:p>
    <w:p w:rsidR="001B4D52" w:rsidRDefault="002815F0">
      <w:pPr>
        <w:pStyle w:val="Point1"/>
        <w:rPr>
          <w:noProof/>
        </w:rPr>
      </w:pPr>
      <w:r>
        <w:rPr>
          <w:noProof/>
        </w:rPr>
        <w:t>c)</w:t>
      </w:r>
      <w:r>
        <w:rPr>
          <w:noProof/>
        </w:rPr>
        <w:tab/>
        <w:t>na účely odseku 1 písm. c) do štyroch mesiacov po tom, čo orgán konsolidovaného dohľadu predloží správu obsahujúcu posúdenie rizika skupiny inštitúcií v súlade s článkom 104b.</w:t>
      </w:r>
    </w:p>
    <w:p w:rsidR="001B4D52" w:rsidRDefault="002815F0">
      <w:pPr>
        <w:pStyle w:val="Text1"/>
        <w:rPr>
          <w:noProof/>
        </w:rPr>
      </w:pPr>
      <w:r>
        <w:rPr>
          <w:noProof/>
        </w:rPr>
        <w:t>V spoločných rozhodnutiach</w:t>
      </w:r>
      <w:r>
        <w:rPr>
          <w:noProof/>
        </w:rPr>
        <w:t xml:space="preserve"> sa takisto náležite uváži posúdenie rizika dcérskych spoločností, ktoré vykonajú dotknuté príslušné orgány v súlade s článkami 73, 97, 104a a 104b.</w:t>
      </w:r>
    </w:p>
    <w:p w:rsidR="001B4D52" w:rsidRDefault="002815F0">
      <w:pPr>
        <w:pStyle w:val="Text1"/>
        <w:rPr>
          <w:noProof/>
        </w:rPr>
      </w:pPr>
      <w:r>
        <w:rPr>
          <w:noProof/>
        </w:rPr>
        <w:t>Spoločné rozhodnutia uvedené v odseku 1 písm. a) a b) sú uvedené v dokumentoch, ktoré obsahujú ich plné odô</w:t>
      </w:r>
      <w:r>
        <w:rPr>
          <w:noProof/>
        </w:rPr>
        <w:t>vodnenie, a orgán konsolidovaného dohľadu ich poskytne materskej inštitúcii v EÚ. V prípade nezhody sa orgán konsolidovaného dohľadu na žiadosť ktoréhokoľvek z ostatných dotknutých príslušných orgánov poradí s EBA. Orgán konsolidovaného dohľadu sa môže rad</w:t>
      </w:r>
      <w:r>
        <w:rPr>
          <w:noProof/>
        </w:rPr>
        <w:t>iť s EBA z vlastného podnetu.</w:t>
      </w:r>
    </w:p>
    <w:p w:rsidR="001B4D52" w:rsidRDefault="002815F0">
      <w:pPr>
        <w:pStyle w:val="ManualNumPar1"/>
        <w:rPr>
          <w:noProof/>
        </w:rPr>
      </w:pPr>
      <w:r>
        <w:t>3.</w:t>
      </w:r>
      <w:r>
        <w:tab/>
      </w:r>
      <w:r>
        <w:rPr>
          <w:noProof/>
        </w:rPr>
        <w:t>V prípade, ak sa spoločné rozhodnutie príslušných orgánov neprijme v lehotách uvedených v odseku 2, rozhodnutie o uplatňovaní článkov 73, 86 a 97, článku 104 ods. 1 písm. a), článku 104b a článku 105 prijme orgán konsolidov</w:t>
      </w:r>
      <w:r>
        <w:rPr>
          <w:noProof/>
        </w:rPr>
        <w:t>aného dohľadu na konsolidovanom základe po dôkladnom zvážení posúdenia rizík dcérskych spoločností, ktoré vykonali dotknuté príslušné orgány. Ak na konci obdobia uvedeného v odseku 2 ktorýkoľvek z dotknutých príslušných orgánov postúpi vec orgánu EBA v súl</w:t>
      </w:r>
      <w:r>
        <w:rPr>
          <w:noProof/>
        </w:rPr>
        <w:t>ade s článkom 19 nariadenia (EÚ) č. 1093/2010, orgán konsolidovaného dohľadu odloží prijatie svojho rozhodnutia a počká na akékoľvek rozhodnutie, ktoré môže EBA prijať v súlade s článkom 19 ods. 3 uvedeného nariadenia, a svoje rozhodnutie prijme v súlade s</w:t>
      </w:r>
      <w:r>
        <w:rPr>
          <w:noProof/>
        </w:rPr>
        <w:t> rozhodnutím EBA. Lehoty uvedené v odseku 2 sa považujú v zmysle nariadenia (EÚ) č. 1093/2010 za lehoty na zmierenie. Orgán EBA prijme rozhodnutie v lehote jedného mesiaca. Vec sa nepostúpi orgánu EBA po uplynutí tohto štvormesačného obdobia alebo po dosia</w:t>
      </w:r>
      <w:r>
        <w:rPr>
          <w:noProof/>
        </w:rPr>
        <w:t>hnutí spoločného rozhodnutia.</w:t>
      </w:r>
    </w:p>
    <w:p w:rsidR="001B4D52" w:rsidRDefault="002815F0">
      <w:pPr>
        <w:pStyle w:val="Text1"/>
        <w:rPr>
          <w:noProof/>
        </w:rPr>
      </w:pPr>
      <w:r>
        <w:rPr>
          <w:noProof/>
        </w:rPr>
        <w:t>Rozhodnutie o uplatnení článkov 73, 86 a 97, článku 104 ods. 1 písm. a), článku 104b a článku 105 prijímajú dotknuté príslušné orgány zodpovedné za dohľad nad dcérskymi spoločnosťami materskej úverovej inštitúcie v EÚ alebo ma</w:t>
      </w:r>
      <w:r>
        <w:rPr>
          <w:noProof/>
        </w:rPr>
        <w:t>terskej finančnej holdingovej spoločnosti v EÚ alebo materskej zmiešanej finančnej holdingovej spoločnosti v EÚ na individuálnom alebo subkonsolidovanom základe po náležitom uvážení stanovísk a výhrad, ktoré vyjadril orgán konsolidovaného dohľadu. Ak na ko</w:t>
      </w:r>
      <w:r>
        <w:rPr>
          <w:noProof/>
        </w:rPr>
        <w:t>nci niektorej z lehôt uvedených v odseku 2 ktorýkoľvek z dotknutých príslušných orgánov predložil vec orgánu EBA v súlade s článkom 19 nariadenia (EÚ) č. 1093/2010, príslušné orgány odložia prijatie rozhodnutia a počkajú na akékoľvek rozhodnutie, ktoré pri</w:t>
      </w:r>
      <w:r>
        <w:rPr>
          <w:noProof/>
        </w:rPr>
        <w:t xml:space="preserve">jme EBA v súlade s článkom 19 ods. 3 uvedeného nariadenia, pričom rozhodnutie, ktoré prijmú, bude v súlade s rozhodnutím EBA. Lehoty uvedené v odseku 2 sa v zmysle uvedeného nariadenia považujú za lehoty na zmierenie. Orgán EBA prijme rozhodnutie v lehote </w:t>
      </w:r>
      <w:r>
        <w:rPr>
          <w:noProof/>
        </w:rPr>
        <w:t>jedného mesiaca. Vec sa nepostúpi orgánu EBA po uplynutí tohto štvormesačného obdobia alebo po dosiahnutí spoločného rozhodnutia.</w:t>
      </w:r>
    </w:p>
    <w:p w:rsidR="001B4D52" w:rsidRDefault="002815F0">
      <w:pPr>
        <w:pStyle w:val="Text1"/>
        <w:rPr>
          <w:noProof/>
          <w:szCs w:val="24"/>
        </w:rPr>
      </w:pPr>
      <w:r>
        <w:rPr>
          <w:noProof/>
        </w:rPr>
        <w:t xml:space="preserve">Rozhodnutia sú uvedené v dokumente, ktorý obsahuje ich plné odôvodnenie a v ktorom je zohľadnené posúdenie rizika, stanoviská </w:t>
      </w:r>
      <w:r>
        <w:rPr>
          <w:noProof/>
        </w:rPr>
        <w:t>a výhrady ostatných príslušných orgánov vyjadrené v lehote uvedenej v odseku 2. Tento dokument poskytne orgán konsolidovaného dohľadu všetkým dotknutým príslušným orgánom a materskej inštitúcii v EÚ.</w:t>
      </w:r>
    </w:p>
    <w:p w:rsidR="001B4D52" w:rsidRDefault="002815F0">
      <w:pPr>
        <w:pStyle w:val="Text1"/>
        <w:rPr>
          <w:noProof/>
        </w:rPr>
      </w:pPr>
      <w:r>
        <w:rPr>
          <w:noProof/>
        </w:rPr>
        <w:t>Ak sa uskutočnili konzultácie s EBA, všetky príslušné or</w:t>
      </w:r>
      <w:r>
        <w:rPr>
          <w:noProof/>
        </w:rPr>
        <w:t>gány zvážia jeho odporúčania a vysvetlia akékoľvek významné odchýlky od týchto odporúčaní.</w:t>
      </w:r>
    </w:p>
    <w:p w:rsidR="001B4D52" w:rsidRDefault="002815F0">
      <w:pPr>
        <w:pStyle w:val="ManualNumPar1"/>
        <w:rPr>
          <w:noProof/>
        </w:rPr>
      </w:pPr>
      <w:r>
        <w:t>4.</w:t>
      </w:r>
      <w:r>
        <w:tab/>
      </w:r>
      <w:r>
        <w:rPr>
          <w:noProof/>
        </w:rPr>
        <w:t>Spoločné rozhodnutia uvedené v odseku 1 a rozhodnutia, ktoré príslušné orgány prijali v prípade neexistencie spoločného rozhodnutia podľa odseku 3, uznávajú prísl</w:t>
      </w:r>
      <w:r>
        <w:rPr>
          <w:noProof/>
        </w:rPr>
        <w:t>ušné orgány v dotknutých členských štátoch za rozhodujúce a uplatňujú ich.</w:t>
      </w:r>
    </w:p>
    <w:p w:rsidR="001B4D52" w:rsidRDefault="002815F0">
      <w:pPr>
        <w:pStyle w:val="Text1"/>
        <w:rPr>
          <w:noProof/>
        </w:rPr>
      </w:pPr>
      <w:r>
        <w:rPr>
          <w:noProof/>
        </w:rPr>
        <w:t>Spoločné rozhodnutia uvedené v odseku 1 a akékoľvek rozhodnutie prijaté v prípade, ak neexistuje spoločné rozhodnutie v súlade s odsekom 3, sa aktualizujú každoročne alebo vo výnimo</w:t>
      </w:r>
      <w:r>
        <w:rPr>
          <w:noProof/>
        </w:rPr>
        <w:t>čných prípadoch, keď príslušný orgán zodpovedný za dohľad nad dcérskymi spoločnosťami materskej inštitúcie v EÚ, materskej finančnej holdingovej spoločnosti v EÚ alebo materskej zmiešanej finančnej holdingovej spoločnosti v EÚ predloží orgánu konsolidované</w:t>
      </w:r>
      <w:r>
        <w:rPr>
          <w:noProof/>
        </w:rPr>
        <w:t xml:space="preserve">ho dohľadu písomnú a náležite odôvodnenú žiadosť o aktualizáciu rozhodnutia o uplatnení článku 104 ods. 1 písm. a), článku 104b a článku 105. V druhom uvedenom prípade môže k aktualizácii dôjsť na dvojstrannom základe medzi orgánom konsolidovaného dohľadu </w:t>
      </w:r>
      <w:r>
        <w:rPr>
          <w:noProof/>
        </w:rPr>
        <w:t>a príslušným orgánom, ktorý predložil žiadosť.</w:t>
      </w:r>
    </w:p>
    <w:p w:rsidR="001B4D52" w:rsidRDefault="002815F0">
      <w:pPr>
        <w:pStyle w:val="ManualNumPar1"/>
        <w:rPr>
          <w:noProof/>
        </w:rPr>
      </w:pPr>
      <w:r>
        <w:t>5.</w:t>
      </w:r>
      <w:r>
        <w:tab/>
      </w:r>
      <w:r>
        <w:rPr>
          <w:noProof/>
        </w:rPr>
        <w:t>S cieľom zabezpečiť jednotné podmienky uplatňovania spoločného rozhodovania uvedeného v tomto článku orgán EBA vypracuje návrh vykonávacích technických predpisov so zreteľom na uplatňovanie článkov 73, 86 a</w:t>
      </w:r>
      <w:r>
        <w:rPr>
          <w:noProof/>
        </w:rPr>
        <w:t> 97, článku 104 ods. 1 písm. a), článku 104b a článku 105, aby sa uľahčilo prijímanie spoločných rozhodnutí.</w:t>
      </w:r>
    </w:p>
    <w:p w:rsidR="001B4D52" w:rsidRDefault="002815F0">
      <w:pPr>
        <w:pStyle w:val="Text1"/>
        <w:rPr>
          <w:noProof/>
        </w:rPr>
      </w:pPr>
      <w:r>
        <w:rPr>
          <w:noProof/>
        </w:rPr>
        <w:t>Orgán EBA predloží Komisii tento návrh vykonávacích technických predpisov do 1. júla 2014.</w:t>
      </w:r>
    </w:p>
    <w:p w:rsidR="001B4D52" w:rsidRDefault="002815F0">
      <w:pPr>
        <w:pStyle w:val="Text1"/>
        <w:rPr>
          <w:noProof/>
        </w:rPr>
      </w:pPr>
      <w:r>
        <w:rPr>
          <w:noProof/>
        </w:rPr>
        <w:t>Komisii sa udeľuje právomoc prijať vykonávacie technické</w:t>
      </w:r>
      <w:r>
        <w:rPr>
          <w:noProof/>
        </w:rPr>
        <w:t xml:space="preserve"> predpisy uvedené v prvom pododseku v súlade s článkom 15 nariadenia (EÚ) č. 1093/2010.“.</w:t>
      </w:r>
    </w:p>
    <w:p w:rsidR="001B4D52" w:rsidRDefault="002815F0">
      <w:pPr>
        <w:pStyle w:val="Point0"/>
        <w:rPr>
          <w:noProof/>
        </w:rPr>
      </w:pPr>
      <w:r>
        <w:rPr>
          <w:noProof/>
        </w:rPr>
        <w:t>27.</w:t>
      </w:r>
      <w:r>
        <w:rPr>
          <w:noProof/>
        </w:rPr>
        <w:tab/>
        <w:t>V prvom pododseku článku 116 sa pridáva táto veta:</w:t>
      </w:r>
    </w:p>
    <w:p w:rsidR="001B4D52" w:rsidRDefault="002815F0">
      <w:pPr>
        <w:pStyle w:val="Text1"/>
        <w:rPr>
          <w:noProof/>
        </w:rPr>
      </w:pPr>
      <w:r>
        <w:rPr>
          <w:noProof/>
        </w:rPr>
        <w:t>„Kolégiá orgánov dohľadu sa takisto zriadia, ak všetky dcérske spoločnosti materskej inštitúcie v EÚ, materskej</w:t>
      </w:r>
      <w:r>
        <w:rPr>
          <w:noProof/>
        </w:rPr>
        <w:t xml:space="preserve"> finančnej holdingovej spoločnosti v EÚ alebo materskej zmiešanej finančnej holdingovej spoločnosti v EÚ sa nachádzajú v tretej krajine.“</w:t>
      </w:r>
    </w:p>
    <w:p w:rsidR="001B4D52" w:rsidRDefault="002815F0">
      <w:pPr>
        <w:pStyle w:val="Point0"/>
        <w:rPr>
          <w:noProof/>
        </w:rPr>
      </w:pPr>
      <w:r>
        <w:rPr>
          <w:noProof/>
        </w:rPr>
        <w:t>28.</w:t>
      </w:r>
      <w:r>
        <w:rPr>
          <w:noProof/>
        </w:rPr>
        <w:tab/>
        <w:t>V článku 119 sa odsek 1 nahrádza takto:</w:t>
      </w:r>
    </w:p>
    <w:p w:rsidR="001B4D52" w:rsidRDefault="002815F0">
      <w:pPr>
        <w:pStyle w:val="Text1"/>
        <w:rPr>
          <w:noProof/>
        </w:rPr>
      </w:pPr>
      <w:r>
        <w:rPr>
          <w:noProof/>
        </w:rPr>
        <w:t>„1. S výhradou článku 21a členské štáty prijmú všetky potrebné opatrenia n</w:t>
      </w:r>
      <w:r>
        <w:rPr>
          <w:noProof/>
        </w:rPr>
        <w:t>a zahrnutie finančných holdingových spoločností a zmiešaných finančných holdingových spoločností do konsolidovaného dohľadu.“</w:t>
      </w:r>
    </w:p>
    <w:p w:rsidR="001B4D52" w:rsidRDefault="002815F0">
      <w:pPr>
        <w:pStyle w:val="Point0"/>
        <w:rPr>
          <w:noProof/>
        </w:rPr>
      </w:pPr>
      <w:r>
        <w:rPr>
          <w:noProof/>
        </w:rPr>
        <w:t>29.</w:t>
      </w:r>
      <w:r>
        <w:rPr>
          <w:noProof/>
        </w:rPr>
        <w:tab/>
        <w:t>V článku 120 sa odsek 2 nahrádza takto:</w:t>
      </w:r>
    </w:p>
    <w:p w:rsidR="001B4D52" w:rsidRDefault="002815F0">
      <w:pPr>
        <w:pStyle w:val="Text1"/>
        <w:tabs>
          <w:tab w:val="left" w:pos="851"/>
        </w:tabs>
        <w:rPr>
          <w:noProof/>
        </w:rPr>
      </w:pPr>
      <w:r>
        <w:rPr>
          <w:noProof/>
        </w:rPr>
        <w:t>„2. V prípade, že sa na zmiešanú finančnú holdingovú spoločnosť vzťahujú rovnocenné us</w:t>
      </w:r>
      <w:r>
        <w:rPr>
          <w:noProof/>
        </w:rPr>
        <w:t>tanovenia podľa tejto smernice a smernice 2009/138/ES, najmä so zreteľom na rizikovo orientovaný dohľad, orgán konsolidovaného dohľadu môže po dohode s orgánom dohľadu nad skupinou v sektore poisťovníctva uplatniť vo vzťahu k tejto zmiešanej finančnej hold</w:t>
      </w:r>
      <w:r>
        <w:rPr>
          <w:noProof/>
        </w:rPr>
        <w:t>ingovej spoločnosti len ustanovenia tejto smernice týkajúce sa najvýznamnejšieho finančného sektora podľa vymedzenia v článku 3 ods. 2 smernice 2002/87/ES.“.</w:t>
      </w:r>
    </w:p>
    <w:p w:rsidR="001B4D52" w:rsidRDefault="002815F0">
      <w:pPr>
        <w:pStyle w:val="Point0"/>
        <w:rPr>
          <w:noProof/>
        </w:rPr>
      </w:pPr>
      <w:r>
        <w:rPr>
          <w:noProof/>
        </w:rPr>
        <w:t>30.</w:t>
      </w:r>
      <w:r>
        <w:rPr>
          <w:noProof/>
        </w:rPr>
        <w:tab/>
        <w:t>V článku 131 sa odsek 1 nahrádza takto:</w:t>
      </w:r>
    </w:p>
    <w:p w:rsidR="001B4D52" w:rsidRDefault="002815F0">
      <w:pPr>
        <w:pStyle w:val="Text1"/>
        <w:rPr>
          <w:noProof/>
        </w:rPr>
      </w:pPr>
      <w:r>
        <w:rPr>
          <w:noProof/>
        </w:rPr>
        <w:t>„1. Členské štáty určia orgán poverený určovaním na ko</w:t>
      </w:r>
      <w:r>
        <w:rPr>
          <w:noProof/>
        </w:rPr>
        <w:t>nsolidovanom základe globálne systémovo významných inštitúcií (G-SII) a na individuálnom, subkonsolidovanom, prípadne konsolidovanom základe inak systémovo významných inštitúcií (O-SII), ktorým bolo udelené povolenie v ich vlastnej jurisdikcii. Uvedeným or</w:t>
      </w:r>
      <w:r>
        <w:rPr>
          <w:noProof/>
        </w:rPr>
        <w:t>gánom je príslušný orgán alebo určený orgán. Členské štáty môžu určiť viac ako jeden orgán.</w:t>
      </w:r>
    </w:p>
    <w:p w:rsidR="001B4D52" w:rsidRDefault="002815F0">
      <w:pPr>
        <w:pStyle w:val="Text1"/>
        <w:rPr>
          <w:noProof/>
        </w:rPr>
      </w:pPr>
      <w:r>
        <w:rPr>
          <w:noProof/>
        </w:rPr>
        <w:t>G-SII je:</w:t>
      </w:r>
    </w:p>
    <w:p w:rsidR="001B4D52" w:rsidRDefault="002815F0">
      <w:pPr>
        <w:pStyle w:val="Point1"/>
        <w:rPr>
          <w:noProof/>
        </w:rPr>
      </w:pPr>
      <w:r>
        <w:rPr>
          <w:noProof/>
        </w:rPr>
        <w:t>a)</w:t>
      </w:r>
      <w:r>
        <w:rPr>
          <w:noProof/>
        </w:rPr>
        <w:tab/>
        <w:t>skupina vedená materskou inštitúciou v EÚ, materskou finančnou holdingovou spoločnosťou v EÚ alebo materskou zmiešanou finančnou holdingovou spoločnosť</w:t>
      </w:r>
      <w:r>
        <w:rPr>
          <w:noProof/>
        </w:rPr>
        <w:t>ou v EÚ; alebo</w:t>
      </w:r>
    </w:p>
    <w:p w:rsidR="001B4D52" w:rsidRDefault="002815F0">
      <w:pPr>
        <w:pStyle w:val="Point1"/>
        <w:rPr>
          <w:noProof/>
        </w:rPr>
      </w:pPr>
      <w:r>
        <w:rPr>
          <w:noProof/>
        </w:rPr>
        <w:t>b)</w:t>
      </w:r>
      <w:r>
        <w:rPr>
          <w:noProof/>
        </w:rPr>
        <w:tab/>
        <w:t>inštitúcia, ktorá nie je dcérskou spoločnosťou materskej inštitúcie v EÚ, materskej finančnej holdingovej spoločnosti v EÚ alebo materskej zmiešanej finančnej holdingovej spoločnosti v EÚ.</w:t>
      </w:r>
    </w:p>
    <w:p w:rsidR="001B4D52" w:rsidRDefault="002815F0">
      <w:pPr>
        <w:pStyle w:val="Text1"/>
        <w:rPr>
          <w:noProof/>
        </w:rPr>
      </w:pPr>
      <w:r>
        <w:rPr>
          <w:noProof/>
        </w:rPr>
        <w:t>O-SII môže byť buď skupina vedená materskou inšti</w:t>
      </w:r>
      <w:r>
        <w:rPr>
          <w:noProof/>
        </w:rPr>
        <w:t>túciou v EÚ, materskou finančnou holdingovou spoločnosťou v EÚ, alebo materská zmiešaná finančná holdingová spoločnosť v EÚ alebo inštitúcia.“.</w:t>
      </w:r>
    </w:p>
    <w:p w:rsidR="001B4D52" w:rsidRDefault="002815F0">
      <w:pPr>
        <w:pStyle w:val="Point0"/>
        <w:rPr>
          <w:noProof/>
        </w:rPr>
      </w:pPr>
      <w:r>
        <w:rPr>
          <w:noProof/>
        </w:rPr>
        <w:t>31.</w:t>
      </w:r>
      <w:r>
        <w:rPr>
          <w:noProof/>
        </w:rPr>
        <w:tab/>
        <w:t>V článku 141 sa odseky 1 až 6 nahrádzajú takto:</w:t>
      </w:r>
    </w:p>
    <w:p w:rsidR="001B4D52" w:rsidRDefault="002815F0">
      <w:pPr>
        <w:pStyle w:val="Text1"/>
        <w:rPr>
          <w:noProof/>
        </w:rPr>
      </w:pPr>
      <w:r>
        <w:rPr>
          <w:noProof/>
        </w:rPr>
        <w:t xml:space="preserve">„1. Každá inštitúcia, ktorá spĺňa požiadavku na kombinovaný </w:t>
      </w:r>
      <w:r>
        <w:rPr>
          <w:noProof/>
        </w:rPr>
        <w:t>vankúš, nevykonáva rozdeľovanie v súvislosti s vlastným kapitálom Tier 1 do tej miery, do akej by došlo k zníženiu jej vlastného kapitálu Tier 1 na úroveň, na ktorej už požiadavka kombinovaného vankúša nie je splnená.</w:t>
      </w:r>
    </w:p>
    <w:p w:rsidR="001B4D52" w:rsidRDefault="002815F0">
      <w:pPr>
        <w:pStyle w:val="Text1"/>
        <w:rPr>
          <w:noProof/>
        </w:rPr>
      </w:pPr>
      <w:r>
        <w:rPr>
          <w:noProof/>
        </w:rPr>
        <w:t>2. Inštitúcia, ktorá nespĺňa požiadavk</w:t>
      </w:r>
      <w:r>
        <w:rPr>
          <w:noProof/>
        </w:rPr>
        <w:t>u na kombinovaný vankúš, vypočíta maximálnu rozdeliteľnú sumu („MRS“) podľa odseku 4 a oznámi uvedenú MRS príslušnému orgánu.</w:t>
      </w:r>
    </w:p>
    <w:p w:rsidR="001B4D52" w:rsidRDefault="002815F0">
      <w:pPr>
        <w:pStyle w:val="Text1"/>
        <w:rPr>
          <w:noProof/>
        </w:rPr>
      </w:pPr>
      <w:r>
        <w:rPr>
          <w:noProof/>
        </w:rPr>
        <w:t>V prípade, že sa uplatňuje prvý pododsek, inštitúcia nepodniká žiadny z týchto opatrení pred tým, ako vypočíta MRS:</w:t>
      </w:r>
    </w:p>
    <w:p w:rsidR="001B4D52" w:rsidRDefault="002815F0">
      <w:pPr>
        <w:pStyle w:val="Point1"/>
        <w:rPr>
          <w:noProof/>
        </w:rPr>
      </w:pPr>
      <w:r>
        <w:rPr>
          <w:noProof/>
        </w:rPr>
        <w:t>a)</w:t>
      </w:r>
      <w:r>
        <w:rPr>
          <w:noProof/>
        </w:rPr>
        <w:tab/>
        <w:t>vykonávať r</w:t>
      </w:r>
      <w:r>
        <w:rPr>
          <w:noProof/>
        </w:rPr>
        <w:t>ozdeľovanie v súvislosti s vlastným kapitálom Tier 1;</w:t>
      </w:r>
    </w:p>
    <w:p w:rsidR="001B4D52" w:rsidRDefault="002815F0">
      <w:pPr>
        <w:pStyle w:val="Point1"/>
        <w:rPr>
          <w:noProof/>
        </w:rPr>
      </w:pPr>
      <w:r>
        <w:rPr>
          <w:noProof/>
        </w:rPr>
        <w:t>b)</w:t>
      </w:r>
      <w:r>
        <w:rPr>
          <w:noProof/>
        </w:rPr>
        <w:tab/>
        <w:t xml:space="preserve">vytvoriť povinnosť uhradiť pohyblivú odmenu alebo dobrovoľné platby dôchodkového zabezpečenia alebo uhradiť pohyblivú odmenu, ak povinnosť úhrady vznikla v čase, keď inštitúcia nespĺňala požiadavky </w:t>
      </w:r>
      <w:r>
        <w:rPr>
          <w:noProof/>
        </w:rPr>
        <w:t>na kombinovaný vankúš;</w:t>
      </w:r>
    </w:p>
    <w:p w:rsidR="001B4D52" w:rsidRDefault="002815F0">
      <w:pPr>
        <w:pStyle w:val="Point1"/>
        <w:rPr>
          <w:noProof/>
        </w:rPr>
      </w:pPr>
      <w:r>
        <w:rPr>
          <w:noProof/>
        </w:rPr>
        <w:t>c)</w:t>
      </w:r>
      <w:r>
        <w:rPr>
          <w:noProof/>
        </w:rPr>
        <w:tab/>
        <w:t>uskutočňovať platby v súvislosti s nástrojmi dodatočného kapitálu Tier 1.</w:t>
      </w:r>
    </w:p>
    <w:p w:rsidR="001B4D52" w:rsidRDefault="002815F0">
      <w:pPr>
        <w:pStyle w:val="Text1"/>
        <w:rPr>
          <w:noProof/>
        </w:rPr>
      </w:pPr>
      <w:r>
        <w:rPr>
          <w:noProof/>
        </w:rPr>
        <w:t>3. Ak inštitúcia nespĺňa alebo prekračuje svoju požiadavku na kombinovaný vankúš, nerozdelí vyššiu sumu ako MRS vypočítanú podľa odseku 4 pomocou niektorého</w:t>
      </w:r>
      <w:r>
        <w:rPr>
          <w:noProof/>
        </w:rPr>
        <w:t xml:space="preserve"> z opatrení uvedených v odseku 2 druhom pododseku písm. a), b) a c). Inštitúcia neprijme žiadne z opatrení uvedených v odseku 2 druhom pododseku písm. a) alebo b) pred vykonaním splatných platieb v súvislosti s nástrojmi dodatočného kapitálu Tier 1.</w:t>
      </w:r>
    </w:p>
    <w:p w:rsidR="001B4D52" w:rsidRDefault="002815F0">
      <w:pPr>
        <w:pStyle w:val="Text1"/>
        <w:rPr>
          <w:noProof/>
        </w:rPr>
      </w:pPr>
      <w:r>
        <w:rPr>
          <w:noProof/>
        </w:rPr>
        <w:t>4. Inš</w:t>
      </w:r>
      <w:r>
        <w:rPr>
          <w:noProof/>
        </w:rPr>
        <w:t>titúcie vypočítajú MRS vynásobením sumy vypočítanej v súlade s odsekom 5 koeficientom určeným podľa odseku 6. Vykonanie ktoréhokoľvek z opatrení uvedených v odseku 2 druhom pododseku písm. a), b) alebo c) má za následok zníženie MRS.</w:t>
      </w:r>
    </w:p>
    <w:p w:rsidR="001B4D52" w:rsidRDefault="002815F0">
      <w:pPr>
        <w:pStyle w:val="Text1"/>
        <w:rPr>
          <w:noProof/>
        </w:rPr>
      </w:pPr>
      <w:r>
        <w:rPr>
          <w:noProof/>
        </w:rPr>
        <w:t xml:space="preserve">5. Suma, ktorá sa má </w:t>
      </w:r>
      <w:r>
        <w:rPr>
          <w:noProof/>
        </w:rPr>
        <w:t>v súlade s odsekom 4 násobiť, je zložená z:</w:t>
      </w:r>
    </w:p>
    <w:p w:rsidR="001B4D52" w:rsidRDefault="002815F0">
      <w:pPr>
        <w:pStyle w:val="Point1"/>
        <w:rPr>
          <w:noProof/>
        </w:rPr>
      </w:pPr>
      <w:r>
        <w:rPr>
          <w:noProof/>
        </w:rPr>
        <w:t>a)</w:t>
      </w:r>
      <w:r>
        <w:rPr>
          <w:noProof/>
        </w:rPr>
        <w:tab/>
        <w:t>predbežných ziskov nezahrnutých do vlastného kapitálu Tier 1 podľa článku 26 ods. 2 nariadenia (EÚ) č. 575/2013, ktoré boli vytvorené od najnovšieho rozhodnutia o rozdelení ziskov alebo od vykonania ktoréhokoľ</w:t>
      </w:r>
      <w:r>
        <w:rPr>
          <w:noProof/>
        </w:rPr>
        <w:t>vek z opatrení uvedených v odseku 2 druhom pododseku písm. a), b) alebo c) tohto článku;</w:t>
      </w:r>
    </w:p>
    <w:p w:rsidR="001B4D52" w:rsidRDefault="002815F0">
      <w:pPr>
        <w:pStyle w:val="Text1"/>
        <w:rPr>
          <w:noProof/>
        </w:rPr>
      </w:pPr>
      <w:r>
        <w:rPr>
          <w:noProof/>
        </w:rPr>
        <w:t>plus</w:t>
      </w:r>
    </w:p>
    <w:p w:rsidR="001B4D52" w:rsidRDefault="002815F0">
      <w:pPr>
        <w:pStyle w:val="Point1"/>
        <w:rPr>
          <w:noProof/>
        </w:rPr>
      </w:pPr>
      <w:r>
        <w:rPr>
          <w:noProof/>
        </w:rPr>
        <w:t>a)</w:t>
      </w:r>
      <w:r>
        <w:rPr>
          <w:noProof/>
        </w:rPr>
        <w:tab/>
        <w:t>koncoročných ziskov nezahrnutých do vlastného kapitálu Tier 1 podľa článku 26 ods. 2 nariadenia (EÚ) č. 575/2013, ktoré boli vytvorené od najnovšieho rozhodnut</w:t>
      </w:r>
      <w:r>
        <w:rPr>
          <w:noProof/>
        </w:rPr>
        <w:t>ia o rozdelení ziskov alebo od vykonania ktoréhokoľvek z opatrení uvedených v odseku 2 druhom pododseku písm. a), b) alebo c) tohto článku;</w:t>
      </w:r>
    </w:p>
    <w:p w:rsidR="001B4D52" w:rsidRDefault="002815F0">
      <w:pPr>
        <w:pStyle w:val="Text1"/>
        <w:rPr>
          <w:noProof/>
        </w:rPr>
      </w:pPr>
      <w:r>
        <w:rPr>
          <w:noProof/>
        </w:rPr>
        <w:t>mínus</w:t>
      </w:r>
    </w:p>
    <w:p w:rsidR="001B4D52" w:rsidRDefault="002815F0">
      <w:pPr>
        <w:pStyle w:val="Point1"/>
        <w:rPr>
          <w:noProof/>
        </w:rPr>
      </w:pPr>
      <w:r>
        <w:rPr>
          <w:noProof/>
        </w:rPr>
        <w:t>b)</w:t>
      </w:r>
      <w:r>
        <w:rPr>
          <w:noProof/>
        </w:rPr>
        <w:tab/>
        <w:t>súm, ktoré by boli splatné formou dane, ak by sa položky uvedené v písmenách a) a b) tohto odseku nerozdeli</w:t>
      </w:r>
      <w:r>
        <w:rPr>
          <w:noProof/>
        </w:rPr>
        <w:t>li.</w:t>
      </w:r>
    </w:p>
    <w:p w:rsidR="001B4D52" w:rsidRDefault="002815F0">
      <w:pPr>
        <w:pStyle w:val="Text1"/>
        <w:rPr>
          <w:noProof/>
        </w:rPr>
      </w:pPr>
      <w:r>
        <w:rPr>
          <w:noProof/>
        </w:rPr>
        <w:t>6. Koeficient sa určuje takto:</w:t>
      </w:r>
    </w:p>
    <w:p w:rsidR="001B4D52" w:rsidRDefault="002815F0">
      <w:pPr>
        <w:pStyle w:val="Point1"/>
        <w:rPr>
          <w:noProof/>
        </w:rPr>
      </w:pPr>
      <w:r>
        <w:rPr>
          <w:noProof/>
        </w:rPr>
        <w:t>a)</w:t>
      </w:r>
      <w:r>
        <w:rPr>
          <w:noProof/>
        </w:rPr>
        <w:tab/>
        <w:t>v prípade, že vlastný kapitál Tier 1 držaný inštitúciou, ktorý sa nepoužije na splnenie ktorejkoľvek z požiadaviek na vlastné zdroje podľa článku 92a a článku 92 ods. 1 písm. a), b) a c) nariadenia (EÚ) č. 575/2013, po</w:t>
      </w:r>
      <w:r>
        <w:rPr>
          <w:noProof/>
        </w:rPr>
        <w:t>dľa článkov 45c a 45d smernice 2014/59/EÚ a podľa článku 104 ods. 1 písm. a) tejto smernice, vyjadrený ako percentuálny podiel celkovej rizikovej expozície vypočítanej v súlade s článkom 92 ods. 3 nariadenia (EÚ) č. 575/2013, je v prvom (t. j. najnižšom) k</w:t>
      </w:r>
      <w:r>
        <w:rPr>
          <w:noProof/>
        </w:rPr>
        <w:t>vartile požiadavky na kombinovaný vankúš, koeficient je 0;</w:t>
      </w:r>
    </w:p>
    <w:p w:rsidR="001B4D52" w:rsidRDefault="002815F0">
      <w:pPr>
        <w:pStyle w:val="Point1"/>
        <w:rPr>
          <w:noProof/>
        </w:rPr>
      </w:pPr>
      <w:r>
        <w:rPr>
          <w:noProof/>
        </w:rPr>
        <w:t>b)</w:t>
      </w:r>
      <w:r>
        <w:rPr>
          <w:noProof/>
        </w:rPr>
        <w:tab/>
        <w:t>v prípade, že vlastný kapitál Tier 1 držaný inštitúciou, ktorý sa nepoužije na splnenie ktorejkoľvek z požiadaviek na vlastné zdroje podľa článku 92a a článku 92 ods. 1 písm. a), b) a c) nariade</w:t>
      </w:r>
      <w:r>
        <w:rPr>
          <w:noProof/>
        </w:rPr>
        <w:t>nia (EÚ) č. 575/2013, podľa článkov 45c a 45d smernice 2014/59/EÚ a podľa článku 104 ods. 1 písm. a) tejto smernice, vyjadrený ako percentuálny podiel celkovej rizikovej expozície vypočítanej v súlade s článkom 92 ods. 3 nariadenia (EÚ) č. 575/2013, je v d</w:t>
      </w:r>
      <w:r>
        <w:rPr>
          <w:noProof/>
        </w:rPr>
        <w:t>ruhom kvartile požiadavky na kombinovaný vankúš, koeficient je 0,2;</w:t>
      </w:r>
    </w:p>
    <w:p w:rsidR="001B4D52" w:rsidRDefault="002815F0">
      <w:pPr>
        <w:pStyle w:val="Point1"/>
        <w:rPr>
          <w:noProof/>
        </w:rPr>
      </w:pPr>
      <w:r>
        <w:rPr>
          <w:noProof/>
        </w:rPr>
        <w:t>c)</w:t>
      </w:r>
      <w:r>
        <w:rPr>
          <w:noProof/>
        </w:rPr>
        <w:tab/>
        <w:t>v prípade, že vlastný kapitál Tier 1 držaný inštitúciou, ktorý sa nepoužije na splnenie požiadaviek na vlastné zdroje podľa článku 92a a článku 92 ods. 1 písm. a), b) a c) nariadenia (E</w:t>
      </w:r>
      <w:r>
        <w:rPr>
          <w:noProof/>
        </w:rPr>
        <w:t xml:space="preserve">Ú) č. 575/2013, podľa článkov 45c a 45d smernice 2014/59/EÚ a podľa článku 104 ods. 1 písm. a) tejto smernice, vyjadrený ako percentuálny podiel celkovej rizikovej expozície vypočítanej v súlade s článkom 92 ods. 3 nariadenia (EÚ) č. 575/2013, je v treťom </w:t>
      </w:r>
      <w:r>
        <w:rPr>
          <w:noProof/>
        </w:rPr>
        <w:t>kvartile požiadavky na kombinovaný vankúš, koeficient je 0,4;</w:t>
      </w:r>
    </w:p>
    <w:p w:rsidR="001B4D52" w:rsidRDefault="002815F0">
      <w:pPr>
        <w:pStyle w:val="Point1"/>
        <w:rPr>
          <w:noProof/>
        </w:rPr>
      </w:pPr>
      <w:r>
        <w:rPr>
          <w:noProof/>
        </w:rPr>
        <w:t>d)</w:t>
      </w:r>
      <w:r>
        <w:rPr>
          <w:noProof/>
        </w:rPr>
        <w:tab/>
        <w:t>v prípade, že vlastný kapitál Tier 1 držaný inštitúciou, ktorý sa nepoužije na splnenie požiadaviek na vlastné zdroje podľa článku 92a a článku 92 ods. 1 písm. a), b) a c) nariadenia (EÚ) č. </w:t>
      </w:r>
      <w:r>
        <w:rPr>
          <w:noProof/>
        </w:rPr>
        <w:t>575/2013, podľa článkov 45c a 45d smernice 2014/59/EÚ a podľa článku 104 ods. 1 písm. a) tejto smernice, vyjadrený ako percentuálny podiel celkovej rizikovej expozície vypočítanej v súlade s článkom 92 ods. 3 nariadenia (EÚ) č. 575/2013, je v štvrtom (t. j</w:t>
      </w:r>
      <w:r>
        <w:rPr>
          <w:noProof/>
        </w:rPr>
        <w:t>. najvyššom) kvartile požiadavky na kombinovaný vankúš, koeficient je 0,6;</w:t>
      </w:r>
    </w:p>
    <w:p w:rsidR="001B4D52" w:rsidRDefault="002815F0">
      <w:pPr>
        <w:pStyle w:val="Point2"/>
        <w:rPr>
          <w:noProof/>
        </w:rPr>
      </w:pPr>
      <w:r>
        <w:rPr>
          <w:noProof/>
        </w:rPr>
        <w:t>Dolná a horná hranica každého kvartilu požiadavky na kombinovaný vankúš sa vypočítava takto:</w:t>
      </w:r>
    </w:p>
    <w:p w:rsidR="001B4D52" w:rsidRDefault="002815F0">
      <w:pPr>
        <w:pStyle w:val="Text1"/>
        <w:rPr>
          <w:rFonts w:eastAsia="Times New Roman"/>
          <w:noProof/>
        </w:rPr>
      </w:pPr>
      <w:r>
        <w:rPr>
          <w:noProof/>
        </w:rPr>
        <w:pict>
          <v:shape id="_x0000_i1026" type="#_x0000_t75" style="width:453.75pt;height:36.75pt">
            <v:imagedata r:id="rId21" o:title=""/>
          </v:shape>
        </w:pict>
      </w:r>
    </w:p>
    <w:p w:rsidR="001B4D52" w:rsidRDefault="002815F0">
      <w:pPr>
        <w:pStyle w:val="Text1"/>
        <w:rPr>
          <w:noProof/>
        </w:rPr>
      </w:pPr>
      <w:r>
        <w:rPr>
          <w:noProof/>
        </w:rPr>
        <w:pict>
          <v:shape id="_x0000_i1027" type="#_x0000_t75" style="width:453.75pt;height:36.75pt">
            <v:imagedata r:id="rId22" o:title=""/>
          </v:shape>
        </w:pict>
      </w:r>
    </w:p>
    <w:p w:rsidR="001B4D52" w:rsidRDefault="002815F0">
      <w:pPr>
        <w:pStyle w:val="Text2"/>
        <w:rPr>
          <w:noProof/>
        </w:rPr>
      </w:pPr>
      <w:r>
        <w:rPr>
          <w:noProof/>
        </w:rPr>
        <w:t>„Q</w:t>
      </w:r>
      <w:r>
        <w:rPr>
          <w:noProof/>
          <w:vertAlign w:val="subscript"/>
        </w:rPr>
        <w:t>n</w:t>
      </w:r>
      <w:r>
        <w:rPr>
          <w:noProof/>
        </w:rPr>
        <w:t>“ označuje radovú číslovku príslušného kvartilu.“</w:t>
      </w:r>
    </w:p>
    <w:p w:rsidR="001B4D52" w:rsidRDefault="002815F0">
      <w:pPr>
        <w:pStyle w:val="Point0"/>
        <w:rPr>
          <w:noProof/>
        </w:rPr>
      </w:pPr>
      <w:r>
        <w:rPr>
          <w:noProof/>
        </w:rPr>
        <w:t>32.</w:t>
      </w:r>
      <w:r>
        <w:rPr>
          <w:noProof/>
        </w:rPr>
        <w:tab/>
        <w:t>Vkladá sa tento článok 141a</w:t>
      </w:r>
      <w:r>
        <w:rPr>
          <w:noProof/>
        </w:rPr>
        <w:t>:</w:t>
      </w:r>
    </w:p>
    <w:p w:rsidR="001B4D52" w:rsidRDefault="002815F0">
      <w:pPr>
        <w:pStyle w:val="Titrearticle"/>
        <w:rPr>
          <w:b/>
          <w:noProof/>
        </w:rPr>
      </w:pPr>
      <w:r>
        <w:rPr>
          <w:noProof/>
        </w:rPr>
        <w:t>„Článok 141a</w:t>
      </w:r>
      <w:r>
        <w:rPr>
          <w:noProof/>
        </w:rPr>
        <w:br/>
        <w:t>Nesplnenie požiadavky na kombinovaný vankúš</w:t>
      </w:r>
    </w:p>
    <w:p w:rsidR="001B4D52" w:rsidRDefault="002815F0">
      <w:pPr>
        <w:pStyle w:val="ManualNumPar1"/>
        <w:rPr>
          <w:noProof/>
        </w:rPr>
      </w:pPr>
      <w:r>
        <w:t>1.</w:t>
      </w:r>
      <w:r>
        <w:tab/>
      </w:r>
      <w:r>
        <w:rPr>
          <w:noProof/>
        </w:rPr>
        <w:t>Inštitúcia sa považuje za nespĺňajúcu požiadavku na kombinovaný vankúš na účely článku 141, ak nemá vlastné zdroje a oprávnené záväzky vo výške a kvalite potrebnej splniť súčasne požiadavku podľ</w:t>
      </w:r>
      <w:r>
        <w:rPr>
          <w:noProof/>
        </w:rPr>
        <w:t>a vymedzenia v článku 128 ods. 6 a každú z nasledujúcich požiadaviek v:</w:t>
      </w:r>
    </w:p>
    <w:p w:rsidR="001B4D52" w:rsidRDefault="002815F0">
      <w:pPr>
        <w:pStyle w:val="Point1"/>
        <w:rPr>
          <w:noProof/>
        </w:rPr>
      </w:pPr>
      <w:r>
        <w:rPr>
          <w:noProof/>
        </w:rPr>
        <w:t>a)</w:t>
      </w:r>
      <w:r>
        <w:rPr>
          <w:noProof/>
        </w:rPr>
        <w:tab/>
        <w:t>článku 92 ods. 1 písm. a) nariadenia (EÚ) č. 575/2013 a požiadavku v článku 104 ods. 1 písm. a) tejto smernice;</w:t>
      </w:r>
    </w:p>
    <w:p w:rsidR="001B4D52" w:rsidRDefault="002815F0">
      <w:pPr>
        <w:pStyle w:val="Point1"/>
        <w:rPr>
          <w:noProof/>
        </w:rPr>
      </w:pPr>
      <w:r>
        <w:rPr>
          <w:noProof/>
        </w:rPr>
        <w:t>b)</w:t>
      </w:r>
      <w:r>
        <w:rPr>
          <w:noProof/>
        </w:rPr>
        <w:tab/>
        <w:t>článku 92 ods. 1 písm. b) nariadenia (EÚ) č. 575/2013 a požiadavku</w:t>
      </w:r>
      <w:r>
        <w:rPr>
          <w:noProof/>
        </w:rPr>
        <w:t xml:space="preserve"> v článku 104 ods. 1 písm. a) tejto smernice;</w:t>
      </w:r>
    </w:p>
    <w:p w:rsidR="001B4D52" w:rsidRDefault="002815F0">
      <w:pPr>
        <w:pStyle w:val="Point1"/>
        <w:rPr>
          <w:noProof/>
        </w:rPr>
      </w:pPr>
      <w:r>
        <w:rPr>
          <w:noProof/>
        </w:rPr>
        <w:t>c)</w:t>
      </w:r>
      <w:r>
        <w:rPr>
          <w:noProof/>
        </w:rPr>
        <w:tab/>
        <w:t>článku 92 ods. 1 písm. c) nariadenia (EÚ) č. 575/2013 a požiadavku v článku 104 ods. 1 písm. a) tejto smernice;</w:t>
      </w:r>
    </w:p>
    <w:p w:rsidR="001B4D52" w:rsidRDefault="002815F0">
      <w:pPr>
        <w:pStyle w:val="Point1"/>
        <w:rPr>
          <w:noProof/>
        </w:rPr>
      </w:pPr>
      <w:r>
        <w:rPr>
          <w:noProof/>
        </w:rPr>
        <w:t>d)</w:t>
      </w:r>
      <w:r>
        <w:rPr>
          <w:noProof/>
        </w:rPr>
        <w:tab/>
        <w:t>článku 92a nariadenia (EÚ) č. 575/2013 a článkoch 45c a 45d smernice 2014/59/EÚ.</w:t>
      </w:r>
    </w:p>
    <w:p w:rsidR="001B4D52" w:rsidRDefault="002815F0">
      <w:pPr>
        <w:pStyle w:val="ManualNumPar1"/>
        <w:rPr>
          <w:noProof/>
        </w:rPr>
      </w:pPr>
      <w:r>
        <w:t>2.</w:t>
      </w:r>
      <w:r>
        <w:tab/>
      </w:r>
      <w:r>
        <w:rPr>
          <w:noProof/>
        </w:rPr>
        <w:t>Odchylne</w:t>
      </w:r>
      <w:r>
        <w:rPr>
          <w:noProof/>
        </w:rPr>
        <w:t xml:space="preserve"> od odseku 1 sa inštitúcia nepovažuje za nespĺňajúcu požiadavku na kombinovaný vankúš na účely článku 141, ak sú splnené všetky tieto podmienky:</w:t>
      </w:r>
    </w:p>
    <w:p w:rsidR="001B4D52" w:rsidRDefault="002815F0">
      <w:pPr>
        <w:pStyle w:val="Point1"/>
        <w:rPr>
          <w:noProof/>
        </w:rPr>
      </w:pPr>
      <w:r>
        <w:rPr>
          <w:noProof/>
        </w:rPr>
        <w:t>a)</w:t>
      </w:r>
      <w:r>
        <w:rPr>
          <w:noProof/>
        </w:rPr>
        <w:tab/>
        <w:t>inštitúcia spĺňa požiadavku na kombinovaný vankúš vymedzenú v článku 128 ods. 6 a každú z požiadaviek uveden</w:t>
      </w:r>
      <w:r>
        <w:rPr>
          <w:noProof/>
        </w:rPr>
        <w:t>ých v odseku 1 písm. a), b) a c);</w:t>
      </w:r>
    </w:p>
    <w:p w:rsidR="001B4D52" w:rsidRDefault="002815F0">
      <w:pPr>
        <w:pStyle w:val="Point1"/>
        <w:rPr>
          <w:noProof/>
        </w:rPr>
      </w:pPr>
      <w:r>
        <w:rPr>
          <w:noProof/>
        </w:rPr>
        <w:t>b)</w:t>
      </w:r>
      <w:r>
        <w:rPr>
          <w:noProof/>
        </w:rPr>
        <w:tab/>
        <w:t>nesplnenie požiadaviek uvedených v odseku 1 písm. d) je výhradne dôsledkom neschopnosti inštitúcie nahradiť záväzky, ktoré už nespĺňajú kritériá oprávnenosti alebo splatnosti stanovené v článkoch 72b a 72c nariadenia (E</w:t>
      </w:r>
      <w:r>
        <w:rPr>
          <w:noProof/>
        </w:rPr>
        <w:t>Ú) č. 575/2013;</w:t>
      </w:r>
    </w:p>
    <w:p w:rsidR="001B4D52" w:rsidRDefault="002815F0">
      <w:pPr>
        <w:pStyle w:val="Point1"/>
        <w:rPr>
          <w:noProof/>
        </w:rPr>
      </w:pPr>
      <w:r>
        <w:rPr>
          <w:noProof/>
        </w:rPr>
        <w:t>c)</w:t>
      </w:r>
      <w:r>
        <w:rPr>
          <w:noProof/>
        </w:rPr>
        <w:tab/>
        <w:t>nesplnenie požiadaviek uvedených v odseku 1 písm. d) netrvá dlhšie ako 6 mesiacov.“.</w:t>
      </w:r>
    </w:p>
    <w:p w:rsidR="001B4D52" w:rsidRDefault="002815F0">
      <w:pPr>
        <w:pStyle w:val="Point0"/>
        <w:rPr>
          <w:noProof/>
        </w:rPr>
      </w:pPr>
      <w:r>
        <w:rPr>
          <w:noProof/>
        </w:rPr>
        <w:t>33.</w:t>
      </w:r>
      <w:r>
        <w:rPr>
          <w:noProof/>
        </w:rPr>
        <w:tab/>
        <w:t>V článku 145 sa dopĺňajú tieto písmená j) a k):</w:t>
      </w:r>
    </w:p>
    <w:p w:rsidR="001B4D52" w:rsidRDefault="002815F0">
      <w:pPr>
        <w:pStyle w:val="Text1"/>
        <w:rPr>
          <w:noProof/>
        </w:rPr>
      </w:pPr>
      <w:r>
        <w:rPr>
          <w:noProof/>
        </w:rPr>
        <w:t>„j) doplnenie článku 2 ods. 5a a článku 2 ods. 5b), aby sa určilo na základe informácií, ktoré má k </w:t>
      </w:r>
      <w:r>
        <w:rPr>
          <w:noProof/>
        </w:rPr>
        <w:t>dispozícii,</w:t>
      </w:r>
    </w:p>
    <w:p w:rsidR="001B4D52" w:rsidRDefault="002815F0">
      <w:pPr>
        <w:pStyle w:val="Point2"/>
        <w:rPr>
          <w:noProof/>
        </w:rPr>
      </w:pPr>
      <w:r>
        <w:rPr>
          <w:noProof/>
        </w:rPr>
        <w:t>i)</w:t>
      </w:r>
      <w:r>
        <w:rPr>
          <w:noProof/>
        </w:rPr>
        <w:tab/>
        <w:t>či inštitúcie alebo kategórie inštitúcií spĺňajú podmienky stanovené v uvedených článkoch; alebo</w:t>
      </w:r>
    </w:p>
    <w:p w:rsidR="001B4D52" w:rsidRDefault="002815F0">
      <w:pPr>
        <w:pStyle w:val="Point2"/>
        <w:rPr>
          <w:noProof/>
        </w:rPr>
      </w:pPr>
      <w:r>
        <w:rPr>
          <w:noProof/>
        </w:rPr>
        <w:t>ii)</w:t>
      </w:r>
      <w:r>
        <w:rPr>
          <w:noProof/>
        </w:rPr>
        <w:tab/>
        <w:t>či inštitúcie alebo kategórie inštitúcií prestali spĺňať podmienky stanovené v uvedených článkoch;</w:t>
      </w:r>
    </w:p>
    <w:p w:rsidR="001B4D52" w:rsidRDefault="002815F0">
      <w:pPr>
        <w:pStyle w:val="Text1"/>
        <w:rPr>
          <w:noProof/>
        </w:rPr>
      </w:pPr>
      <w:r>
        <w:rPr>
          <w:noProof/>
        </w:rPr>
        <w:t xml:space="preserve">k) zmenenie zoznamu stanoveného v článku </w:t>
      </w:r>
      <w:r>
        <w:rPr>
          <w:noProof/>
        </w:rPr>
        <w:t>2 ods. 5:</w:t>
      </w:r>
    </w:p>
    <w:p w:rsidR="001B4D52" w:rsidRDefault="002815F0">
      <w:pPr>
        <w:pStyle w:val="Point2"/>
        <w:rPr>
          <w:noProof/>
        </w:rPr>
      </w:pPr>
      <w:r>
        <w:rPr>
          <w:noProof/>
        </w:rPr>
        <w:t>i)</w:t>
      </w:r>
      <w:r>
        <w:rPr>
          <w:noProof/>
        </w:rPr>
        <w:tab/>
        <w:t>vypustením inštitúcií alebo kategórií inštitúcií, ak príslušná inštitúcia alebo kategória inštitúcií zanikli;</w:t>
      </w:r>
    </w:p>
    <w:p w:rsidR="001B4D52" w:rsidRDefault="002815F0">
      <w:pPr>
        <w:pStyle w:val="Point2"/>
        <w:rPr>
          <w:noProof/>
        </w:rPr>
      </w:pPr>
      <w:r>
        <w:rPr>
          <w:noProof/>
        </w:rPr>
        <w:t>ii)</w:t>
      </w:r>
      <w:r>
        <w:rPr>
          <w:noProof/>
        </w:rPr>
        <w:tab/>
        <w:t>vykonaním nevyhnutných zmien, ak sa zmenil názov príslušnej inštitúcie alebo skupiny inštitúcií.“.</w:t>
      </w:r>
    </w:p>
    <w:p w:rsidR="001B4D52" w:rsidRDefault="002815F0">
      <w:pPr>
        <w:pStyle w:val="Point0"/>
        <w:rPr>
          <w:noProof/>
        </w:rPr>
      </w:pPr>
      <w:r>
        <w:rPr>
          <w:noProof/>
        </w:rPr>
        <w:t>34.</w:t>
      </w:r>
      <w:r>
        <w:rPr>
          <w:noProof/>
        </w:rPr>
        <w:tab/>
        <w:t>V článku 146 sa vypúšťa pí</w:t>
      </w:r>
      <w:r>
        <w:rPr>
          <w:noProof/>
        </w:rPr>
        <w:t>smeno a).</w:t>
      </w:r>
    </w:p>
    <w:p w:rsidR="001B4D52" w:rsidRDefault="002815F0">
      <w:pPr>
        <w:pStyle w:val="Point0"/>
        <w:rPr>
          <w:noProof/>
        </w:rPr>
      </w:pPr>
      <w:r>
        <w:rPr>
          <w:noProof/>
        </w:rPr>
        <w:t>35.</w:t>
      </w:r>
      <w:r>
        <w:rPr>
          <w:noProof/>
        </w:rPr>
        <w:tab/>
        <w:t>V článku 161 sa vkladá tento odsek 10:</w:t>
      </w:r>
    </w:p>
    <w:p w:rsidR="001B4D52" w:rsidRDefault="002815F0">
      <w:pPr>
        <w:pStyle w:val="Text1"/>
        <w:rPr>
          <w:noProof/>
        </w:rPr>
      </w:pPr>
      <w:r>
        <w:rPr>
          <w:noProof/>
        </w:rPr>
        <w:t>„10. Komisia do 31. decembra 2023 preskúma a podá správu o vykonávaní a uplatňovaní právomocí dohľadu uvedených v článku 104 ods. 1 písm. j) a l) a predloží správu Európskemu parlamentu a Rade. “.</w:t>
      </w:r>
    </w:p>
    <w:p w:rsidR="001B4D52" w:rsidRDefault="002815F0">
      <w:pPr>
        <w:pStyle w:val="Titrearticle"/>
        <w:keepLines/>
        <w:rPr>
          <w:noProof/>
        </w:rPr>
      </w:pPr>
      <w:r>
        <w:rPr>
          <w:noProof/>
        </w:rPr>
        <w:t>Článok</w:t>
      </w:r>
      <w:r>
        <w:rPr>
          <w:noProof/>
        </w:rPr>
        <w:t xml:space="preserve"> 2</w:t>
      </w:r>
      <w:r>
        <w:rPr>
          <w:noProof/>
        </w:rPr>
        <w:br/>
        <w:t>Transpozícia</w:t>
      </w:r>
    </w:p>
    <w:p w:rsidR="001B4D52" w:rsidRDefault="002815F0">
      <w:pPr>
        <w:pStyle w:val="ManualNumPar1"/>
        <w:rPr>
          <w:noProof/>
        </w:rPr>
      </w:pPr>
      <w:r>
        <w:rPr>
          <w:noProof/>
        </w:rPr>
        <w:t>1.</w:t>
      </w:r>
      <w:r>
        <w:rPr>
          <w:noProof/>
        </w:rPr>
        <w:tab/>
        <w:t>Členské štáty prijmú a uverejnia najneskôr do [jeden rok od nadobudnutia účinnosti tejto smernice] zákony, iné právne predpisy a správne opatrenia potrebné na dosiahnutie súladu s touto smernicou. Komisii bezodkladne oznámia znenie týcht</w:t>
      </w:r>
      <w:r>
        <w:rPr>
          <w:noProof/>
        </w:rPr>
        <w:t>o ustanovení.</w:t>
      </w:r>
    </w:p>
    <w:p w:rsidR="001B4D52" w:rsidRDefault="002815F0">
      <w:pPr>
        <w:pStyle w:val="Text1"/>
        <w:rPr>
          <w:noProof/>
        </w:rPr>
      </w:pPr>
      <w:r>
        <w:rPr>
          <w:noProof/>
        </w:rPr>
        <w:t>Tieto ustanovenia uplatňujú od [jeden rok a jeden deň po nadobudnutí účinnosti tejto smernice]. Ustanovenia potrebné na dosiahnutie súladu so zmenami stanovenými v článku 1 bodoch 13 a 18 obsahujúce zmeny článku 84 a článku 98 smernice 2013/3</w:t>
      </w:r>
      <w:r>
        <w:rPr>
          <w:noProof/>
        </w:rPr>
        <w:t>6/EÚ sa však uplatňujú od [dva roky po nadobudnutí účinnosti tejto smernice].</w:t>
      </w:r>
    </w:p>
    <w:p w:rsidR="001B4D52" w:rsidRDefault="002815F0">
      <w:pPr>
        <w:pStyle w:val="Text1"/>
        <w:rPr>
          <w:noProof/>
        </w:rPr>
      </w:pPr>
      <w:r>
        <w:rPr>
          <w:noProof/>
        </w:rPr>
        <w:t>Členské štáty uvedú priamo v prijatých opatreniach alebo pri ich úradnom uverejnení odkaz na túto smernicu. Podrobnosti o odkaze upravia členské štáty.</w:t>
      </w:r>
    </w:p>
    <w:p w:rsidR="001B4D52" w:rsidRDefault="002815F0">
      <w:pPr>
        <w:pStyle w:val="ManualNumPar1"/>
        <w:rPr>
          <w:noProof/>
        </w:rPr>
      </w:pPr>
      <w:r>
        <w:rPr>
          <w:noProof/>
        </w:rPr>
        <w:t>2.</w:t>
      </w:r>
      <w:r>
        <w:rPr>
          <w:noProof/>
        </w:rPr>
        <w:tab/>
        <w:t>Členské štáty oznámia K</w:t>
      </w:r>
      <w:r>
        <w:rPr>
          <w:noProof/>
        </w:rPr>
        <w:t>omisii znenie hlavných ustanovení vnútroštátnych právnych predpisov, ktoré prijmú v oblasti pôsobnosti tejto smernice.</w:t>
      </w:r>
    </w:p>
    <w:p w:rsidR="001B4D52" w:rsidRDefault="002815F0">
      <w:pPr>
        <w:pStyle w:val="Titrearticle"/>
        <w:rPr>
          <w:noProof/>
        </w:rPr>
      </w:pPr>
      <w:r>
        <w:rPr>
          <w:noProof/>
        </w:rPr>
        <w:t>Článok 3</w:t>
      </w:r>
      <w:r>
        <w:rPr>
          <w:noProof/>
        </w:rPr>
        <w:br/>
        <w:t>Nadobudnutie účinnosti</w:t>
      </w:r>
    </w:p>
    <w:p w:rsidR="001B4D52" w:rsidRDefault="002815F0">
      <w:pPr>
        <w:rPr>
          <w:noProof/>
        </w:rPr>
      </w:pPr>
      <w:r>
        <w:rPr>
          <w:noProof/>
        </w:rPr>
        <w:t>Táto smernica nadobúda účinnosť dvadsiatym dňom nasledujúcim po jej uverejnení v </w:t>
      </w:r>
      <w:r>
        <w:rPr>
          <w:i/>
          <w:noProof/>
        </w:rPr>
        <w:t>Úradnom vestníku Európsk</w:t>
      </w:r>
      <w:r>
        <w:rPr>
          <w:i/>
          <w:noProof/>
        </w:rPr>
        <w:t>ej únie</w:t>
      </w:r>
      <w:r>
        <w:rPr>
          <w:noProof/>
        </w:rPr>
        <w:t>.</w:t>
      </w:r>
    </w:p>
    <w:p w:rsidR="001B4D52" w:rsidRDefault="002815F0">
      <w:pPr>
        <w:pStyle w:val="Titrearticle"/>
        <w:rPr>
          <w:noProof/>
        </w:rPr>
      </w:pPr>
      <w:r>
        <w:rPr>
          <w:noProof/>
        </w:rPr>
        <w:t>Článok 4</w:t>
      </w:r>
      <w:r>
        <w:rPr>
          <w:noProof/>
        </w:rPr>
        <w:br/>
        <w:t>Adresáti</w:t>
      </w:r>
    </w:p>
    <w:p w:rsidR="001B4D52" w:rsidRDefault="002815F0">
      <w:pPr>
        <w:keepNext/>
        <w:keepLines/>
        <w:rPr>
          <w:noProof/>
        </w:rPr>
      </w:pPr>
      <w:r>
        <w:rPr>
          <w:noProof/>
        </w:rPr>
        <w:t>Táto smernica je určená členským štátom.</w:t>
      </w:r>
    </w:p>
    <w:p w:rsidR="001B4D52" w:rsidRDefault="002815F0" w:rsidP="002815F0">
      <w:pPr>
        <w:pStyle w:val="Fait"/>
        <w:rPr>
          <w:noProof/>
        </w:rPr>
      </w:pPr>
      <w:r w:rsidRPr="002815F0">
        <w:t>V Bruseli</w:t>
      </w:r>
    </w:p>
    <w:p w:rsidR="001B4D52" w:rsidRDefault="002815F0">
      <w:pPr>
        <w:pStyle w:val="Institutionquisigne"/>
        <w:rPr>
          <w:noProof/>
        </w:rPr>
      </w:pPr>
      <w:r>
        <w:rPr>
          <w:noProof/>
        </w:rPr>
        <w:t>Za Európsky parlament</w:t>
      </w:r>
      <w:r>
        <w:rPr>
          <w:noProof/>
        </w:rPr>
        <w:tab/>
        <w:t>Za Radu</w:t>
      </w:r>
    </w:p>
    <w:p w:rsidR="001B4D52" w:rsidRDefault="002815F0">
      <w:pPr>
        <w:pStyle w:val="Personnequisigne"/>
        <w:rPr>
          <w:noProof/>
        </w:rPr>
      </w:pPr>
      <w:r>
        <w:rPr>
          <w:noProof/>
        </w:rPr>
        <w:t>predseda</w:t>
      </w:r>
      <w:r>
        <w:rPr>
          <w:noProof/>
        </w:rPr>
        <w:tab/>
        <w:t>predseda</w:t>
      </w:r>
    </w:p>
    <w:sectPr w:rsidR="001B4D52" w:rsidSect="002815F0">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D52" w:rsidRDefault="002815F0">
      <w:pPr>
        <w:spacing w:after="0"/>
      </w:pPr>
      <w:r>
        <w:separator/>
      </w:r>
    </w:p>
  </w:endnote>
  <w:endnote w:type="continuationSeparator" w:id="0">
    <w:p w:rsidR="001B4D52" w:rsidRDefault="002815F0">
      <w:pPr>
        <w:spacing w:after="0"/>
      </w:pPr>
      <w:r>
        <w:continuationSeparator/>
      </w:r>
    </w:p>
  </w:endnote>
  <w:endnote w:type="continuationNotice" w:id="1">
    <w:p w:rsidR="001B4D52" w:rsidRDefault="001B4D5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F0" w:rsidRPr="002815F0" w:rsidRDefault="002815F0" w:rsidP="00281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D52" w:rsidRPr="002815F0" w:rsidRDefault="002815F0" w:rsidP="002815F0">
    <w:pPr>
      <w:pStyle w:val="Footer"/>
      <w:rPr>
        <w:rFonts w:ascii="Arial" w:hAnsi="Arial" w:cs="Arial"/>
        <w:b/>
        <w:sz w:val="48"/>
      </w:rPr>
    </w:pPr>
    <w:r w:rsidRPr="002815F0">
      <w:rPr>
        <w:rFonts w:ascii="Arial" w:hAnsi="Arial" w:cs="Arial"/>
        <w:b/>
        <w:sz w:val="48"/>
      </w:rPr>
      <w:t>SK</w:t>
    </w:r>
    <w:r w:rsidRPr="002815F0">
      <w:rPr>
        <w:rFonts w:ascii="Arial" w:hAnsi="Arial" w:cs="Arial"/>
        <w:b/>
        <w:sz w:val="48"/>
      </w:rPr>
      <w:tab/>
    </w:r>
    <w:r w:rsidRPr="002815F0">
      <w:rPr>
        <w:rFonts w:ascii="Arial" w:hAnsi="Arial" w:cs="Arial"/>
        <w:b/>
        <w:sz w:val="48"/>
      </w:rPr>
      <w:tab/>
    </w:r>
    <w:fldSimple w:instr=" DOCVARIABLE &quot;LW_Confidence&quot; \* MERGEFORMAT ">
      <w:r>
        <w:t xml:space="preserve"> </w:t>
      </w:r>
    </w:fldSimple>
    <w:r w:rsidRPr="002815F0">
      <w:tab/>
    </w:r>
    <w:proofErr w:type="spellStart"/>
    <w:r w:rsidRPr="002815F0">
      <w:rPr>
        <w:rFonts w:ascii="Arial" w:hAnsi="Arial" w:cs="Arial"/>
        <w:b/>
        <w:sz w:val="48"/>
      </w:rPr>
      <w:t>SK</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F0" w:rsidRPr="002815F0" w:rsidRDefault="002815F0" w:rsidP="002815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F0" w:rsidRPr="002815F0" w:rsidRDefault="002815F0" w:rsidP="002815F0">
    <w:pPr>
      <w:pStyle w:val="Footer"/>
      <w:rPr>
        <w:rFonts w:ascii="Arial" w:hAnsi="Arial" w:cs="Arial"/>
        <w:b/>
        <w:sz w:val="48"/>
      </w:rPr>
    </w:pPr>
    <w:r w:rsidRPr="002815F0">
      <w:rPr>
        <w:rFonts w:ascii="Arial" w:hAnsi="Arial" w:cs="Arial"/>
        <w:b/>
        <w:sz w:val="48"/>
      </w:rPr>
      <w:t>SK</w:t>
    </w:r>
    <w:r w:rsidRPr="002815F0">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fldSimple w:instr=" DOCVARIABLE &quot;LW_Confidence&quot; \* MERGEFORMAT ">
      <w:r>
        <w:t xml:space="preserve"> </w:t>
      </w:r>
    </w:fldSimple>
    <w:r w:rsidRPr="002815F0">
      <w:tab/>
    </w:r>
    <w:r w:rsidRPr="002815F0">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F0" w:rsidRPr="002815F0" w:rsidRDefault="002815F0" w:rsidP="00281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D52" w:rsidRDefault="002815F0">
      <w:pPr>
        <w:spacing w:after="0"/>
      </w:pPr>
      <w:r>
        <w:separator/>
      </w:r>
    </w:p>
  </w:footnote>
  <w:footnote w:type="continuationSeparator" w:id="0">
    <w:p w:rsidR="001B4D52" w:rsidRDefault="002815F0">
      <w:pPr>
        <w:spacing w:after="0"/>
      </w:pPr>
      <w:r>
        <w:continuationSeparator/>
      </w:r>
    </w:p>
  </w:footnote>
  <w:footnote w:type="continuationNotice" w:id="1">
    <w:p w:rsidR="001B4D52" w:rsidRDefault="001B4D52">
      <w:pPr>
        <w:spacing w:before="0" w:after="0"/>
      </w:pPr>
    </w:p>
  </w:footnote>
  <w:footnote w:id="2">
    <w:p w:rsidR="001B4D52" w:rsidRDefault="002815F0">
      <w:pPr>
        <w:pStyle w:val="FootnoteText"/>
      </w:pPr>
      <w:r>
        <w:rPr>
          <w:rStyle w:val="FootnoteReference"/>
        </w:rPr>
        <w:footnoteRef/>
      </w:r>
      <w:r>
        <w:tab/>
        <w:t xml:space="preserve">Pozri </w:t>
      </w:r>
      <w:hyperlink r:id="rId1">
        <w:r>
          <w:rPr>
            <w:rStyle w:val="Hyperlink"/>
          </w:rPr>
          <w:t>http://ec.europa.eu/finance/consultations/2015/long-term-finance/docs/consultation-document_en.pdf</w:t>
        </w:r>
      </w:hyperlink>
      <w:r>
        <w:t xml:space="preserve"> a </w:t>
      </w:r>
      <w:hyperlink r:id="rId2">
        <w:r>
          <w:rPr>
            <w:rStyle w:val="Hyperlink"/>
          </w:rPr>
          <w:t>http://ec.europ</w:t>
        </w:r>
        <w:r>
          <w:rPr>
            <w:rStyle w:val="Hyperlink"/>
          </w:rPr>
          <w:t>a.eu/finance/consultations/2015/financial-regulatory-framework-review/docs/consultation-document_en.pdf</w:t>
        </w:r>
      </w:hyperlink>
      <w:r>
        <w:t xml:space="preserve"> Výzva na predloženie dôkazov sa mala vzťahovať na celú škálu predpisov upravujúcich oblasť finančných služieb. Posúdenie vplyvu sa zaoberalo otázkami vz</w:t>
      </w:r>
      <w:r>
        <w:t>ťahujúcimi sa len na oblasti bankovníctva. Ostatné otázky týkajúce sa iných oblastí v rámci finančných právnych predpisov EÚ sa budú riešiť samostatne.</w:t>
      </w:r>
    </w:p>
  </w:footnote>
  <w:footnote w:id="3">
    <w:p w:rsidR="001B4D52" w:rsidRDefault="002815F0">
      <w:pPr>
        <w:pStyle w:val="FootnoteText"/>
      </w:pPr>
      <w:r>
        <w:rPr>
          <w:rStyle w:val="FootnoteReference"/>
        </w:rPr>
        <w:footnoteRef/>
      </w:r>
      <w:r>
        <w:tab/>
      </w:r>
      <w:r>
        <w:t xml:space="preserve">Správa Komisie Európskemu parlamentu a Rade z 28. júla 2016, Posúdenie pravidiel odmeňovania podľa </w:t>
      </w:r>
      <w:r>
        <w:t xml:space="preserve">smernice 2013/36/EÚ a nariadenia (EÚ) č. 575/2013, COM(2016) 510 </w:t>
      </w:r>
      <w:proofErr w:type="spellStart"/>
      <w:r>
        <w:t>final</w:t>
      </w:r>
      <w:proofErr w:type="spellEnd"/>
      <w:r>
        <w:t>.</w:t>
      </w:r>
    </w:p>
  </w:footnote>
  <w:footnote w:id="4">
    <w:p w:rsidR="001B4D52" w:rsidRDefault="002815F0">
      <w:pPr>
        <w:pStyle w:val="FootnoteText"/>
      </w:pPr>
      <w:r>
        <w:rPr>
          <w:rStyle w:val="FootnoteReference"/>
        </w:rPr>
        <w:footnoteRef/>
      </w:r>
      <w:r>
        <w:tab/>
      </w:r>
      <w:r>
        <w:t>Verejná konzultácia je dostupná na http://ec.europa.eu/finance/consultations/2015/long-term-finance/index_en.htm.</w:t>
      </w:r>
    </w:p>
  </w:footnote>
  <w:footnote w:id="5">
    <w:p w:rsidR="001B4D52" w:rsidRDefault="002815F0">
      <w:pPr>
        <w:pStyle w:val="FootnoteText"/>
      </w:pPr>
      <w:r>
        <w:rPr>
          <w:rStyle w:val="FootnoteReference"/>
        </w:rPr>
        <w:footnoteRef/>
      </w:r>
      <w:r>
        <w:tab/>
      </w:r>
      <w:r>
        <w:t>Vložiť odkaz na posúdenie vplyvu.</w:t>
      </w:r>
    </w:p>
  </w:footnote>
  <w:footnote w:id="6">
    <w:p w:rsidR="001B4D52" w:rsidRDefault="002815F0">
      <w:pPr>
        <w:pStyle w:val="FootnoteText"/>
      </w:pPr>
      <w:r>
        <w:rPr>
          <w:rStyle w:val="FootnoteReference"/>
        </w:rPr>
        <w:footnoteRef/>
      </w:r>
      <w:r>
        <w:tab/>
      </w:r>
      <w:r>
        <w:t>Vložiť odkaz na stanovisko.</w:t>
      </w:r>
    </w:p>
  </w:footnote>
  <w:footnote w:id="7">
    <w:p w:rsidR="001B4D52" w:rsidRDefault="002815F0">
      <w:pPr>
        <w:pStyle w:val="FootnoteText"/>
      </w:pPr>
      <w:r>
        <w:rPr>
          <w:rStyle w:val="FootnoteReference"/>
        </w:rPr>
        <w:footnoteRef/>
      </w:r>
      <w:r>
        <w:tab/>
      </w:r>
      <w:r>
        <w:t>Ú. v. EÚ C […], […], s. […].</w:t>
      </w:r>
    </w:p>
  </w:footnote>
  <w:footnote w:id="8">
    <w:p w:rsidR="001B4D52" w:rsidRDefault="002815F0">
      <w:pPr>
        <w:pStyle w:val="FootnoteText"/>
      </w:pPr>
      <w:r>
        <w:rPr>
          <w:rStyle w:val="FootnoteReference"/>
        </w:rPr>
        <w:footnoteRef/>
      </w:r>
      <w:r>
        <w:tab/>
      </w:r>
      <w:r>
        <w:t>Ú. v. EÚ C …, …, s. ….</w:t>
      </w:r>
    </w:p>
  </w:footnote>
  <w:footnote w:id="9">
    <w:p w:rsidR="001B4D52" w:rsidRDefault="002815F0">
      <w:pPr>
        <w:pStyle w:val="FootnoteText"/>
      </w:pPr>
      <w:r>
        <w:rPr>
          <w:rStyle w:val="FootnoteReference"/>
        </w:rPr>
        <w:footnoteRef/>
      </w:r>
      <w:r>
        <w:tab/>
      </w:r>
      <w:r>
        <w:rPr>
          <w:spacing w:val="-2"/>
        </w:rPr>
        <w:t>Smernica Európskeho parlamentu a Rady 2013/36/EÚ z 26. júna 2013 o prístupe k činnosti úverových inštitúcií a </w:t>
      </w:r>
      <w:proofErr w:type="spellStart"/>
      <w:r>
        <w:rPr>
          <w:spacing w:val="-2"/>
        </w:rPr>
        <w:t>prudenciálnom</w:t>
      </w:r>
      <w:proofErr w:type="spellEnd"/>
      <w:r>
        <w:rPr>
          <w:spacing w:val="-2"/>
        </w:rPr>
        <w:t xml:space="preserve"> dohľade nad úverovými inštitúciami a investičnými spoločnosťami, o zmene sme</w:t>
      </w:r>
      <w:r>
        <w:rPr>
          <w:spacing w:val="-2"/>
        </w:rPr>
        <w:t>rnice 2002/87/ES a o zrušení smerníc 2006/48/ES a 2006/49/ES (Ú. v. EÚ L 176, 27.6.2013, s. 338).</w:t>
      </w:r>
    </w:p>
  </w:footnote>
  <w:footnote w:id="10">
    <w:p w:rsidR="001B4D52" w:rsidRDefault="002815F0">
      <w:pPr>
        <w:pStyle w:val="FootnoteText"/>
      </w:pPr>
      <w:r>
        <w:rPr>
          <w:rStyle w:val="FootnoteReference"/>
        </w:rPr>
        <w:footnoteRef/>
      </w:r>
      <w:r>
        <w:tab/>
      </w:r>
      <w:r>
        <w:t>Nariadenie Európskeho parlamentu a Rady (EÚ) č. 575/2013 z 26. júna 2013 o </w:t>
      </w:r>
      <w:proofErr w:type="spellStart"/>
      <w:r>
        <w:t>prudenciálnych</w:t>
      </w:r>
      <w:proofErr w:type="spellEnd"/>
      <w:r>
        <w:t xml:space="preserve"> požiadavkách na úverové inštitúcie a investičné spoločnosti a o zm</w:t>
      </w:r>
      <w:r>
        <w:t>ene nariadenia (EÚ) č. 648/2012 (Ú. v. EÚ L 176, 27.6.2013, s. 1).</w:t>
      </w:r>
    </w:p>
  </w:footnote>
  <w:footnote w:id="11">
    <w:p w:rsidR="001B4D52" w:rsidRDefault="002815F0">
      <w:pPr>
        <w:pStyle w:val="FootnoteText"/>
      </w:pPr>
      <w:r>
        <w:rPr>
          <w:rStyle w:val="FootnoteReference"/>
        </w:rPr>
        <w:footnoteRef/>
      </w:r>
      <w:r>
        <w:tab/>
      </w:r>
      <w:r>
        <w:rPr>
          <w:spacing w:val="-2"/>
        </w:rPr>
        <w:t>Smernica Európskeho parlamentu a Rady 2014/59/EÚ z 15. mája 2014, ktorou sa stanovuje rámec pre ozdravenie a riešenie krízových situácií úverových inštitúcií a investičných spoločností a </w:t>
      </w:r>
      <w:r>
        <w:rPr>
          <w:spacing w:val="-2"/>
        </w:rPr>
        <w:t>ktorou sa mení smernica Rady 82/891/EHS a smernice Európskeho parlamentu a Rady 2001/24/ES, 2002/47/ES, 2004/25/ES, 2005/56/ES, 2007/36/ES, 2011/35/EÚ, 2012/30/EÚ a 2013/36/EÚ a nariadenia Európskeho parlamentu a Rady (EÚ) č. 1093/2010 a (EÚ) č. 648/2012 (</w:t>
      </w:r>
      <w:r>
        <w:rPr>
          <w:spacing w:val="-2"/>
        </w:rPr>
        <w:t>Ú. v. EÚ L 173, 12.6.2014, s. 190).</w:t>
      </w:r>
    </w:p>
  </w:footnote>
  <w:footnote w:id="12">
    <w:p w:rsidR="001B4D52" w:rsidRDefault="002815F0">
      <w:pPr>
        <w:pStyle w:val="FootnoteText"/>
      </w:pPr>
      <w:r>
        <w:rPr>
          <w:rStyle w:val="FootnoteReference"/>
        </w:rPr>
        <w:footnoteRef/>
      </w:r>
      <w:r>
        <w:tab/>
      </w:r>
      <w:r>
        <w:t xml:space="preserve">Nariadenie Rady (EÚ) č. 1024/2013 z 15. októbra 2013, ktorým sa Európska centrálna banka poveruje osobitnými úlohami, pokiaľ ide o politiky týkajúce sa </w:t>
      </w:r>
      <w:proofErr w:type="spellStart"/>
      <w:r>
        <w:t>prudenciálneho</w:t>
      </w:r>
      <w:proofErr w:type="spellEnd"/>
      <w:r>
        <w:t xml:space="preserve"> dohľadu nad úverovými inštitúciami (Ú. v. EÚ L 287,</w:t>
      </w:r>
      <w:r>
        <w:t xml:space="preserve"> 29.10.2013, s. 63).</w:t>
      </w:r>
    </w:p>
  </w:footnote>
  <w:footnote w:id="13">
    <w:p w:rsidR="001B4D52" w:rsidRDefault="002815F0">
      <w:pPr>
        <w:pStyle w:val="FootnoteText"/>
      </w:pPr>
      <w:r>
        <w:rPr>
          <w:rStyle w:val="FootnoteReference"/>
        </w:rPr>
        <w:footnoteRef/>
      </w:r>
      <w:r>
        <w:tab/>
      </w:r>
      <w:r>
        <w:t>Smernica Európskeho parlamentu a Rady 2014/49/EÚ zo 16. apríla 2014 o systémoch ochrany vkladov (prepracované znenie) (Ú. v. EÚ L 173, 12.6.2014, s. 149).</w:t>
      </w:r>
    </w:p>
  </w:footnote>
  <w:footnote w:id="14">
    <w:p w:rsidR="001B4D52" w:rsidRDefault="002815F0">
      <w:pPr>
        <w:pStyle w:val="FootnoteText"/>
      </w:pPr>
      <w:r>
        <w:rPr>
          <w:rStyle w:val="FootnoteReference"/>
        </w:rPr>
        <w:footnoteRef/>
      </w:r>
      <w:r>
        <w:tab/>
      </w:r>
      <w:r>
        <w:rPr>
          <w:spacing w:val="-2"/>
        </w:rPr>
        <w:t xml:space="preserve">Smernica Európskeho parlamentu a Rady 2014/59/EÚ z 15. mája 2014, ktorou sa </w:t>
      </w:r>
      <w:r>
        <w:rPr>
          <w:spacing w:val="-2"/>
        </w:rPr>
        <w:t>stanovuje rámec pre ozdravenie a riešenie krízových situácií úverových inštitúcií a investičných spoločností a ktorou sa mení smernica Rady 82/891/EHS a smernice Európskeho parlamentu a Rady 2001/24/ES, 2002/47/ES, 2004/25/ES, 2005/56/ES, 2007/36/ES, 2011/</w:t>
      </w:r>
      <w:r>
        <w:rPr>
          <w:spacing w:val="-2"/>
        </w:rPr>
        <w:t>35/EÚ, 2012/30/EÚ a 2013/36/EÚ a nariadenia Európskeho parlamentu a Rady (EÚ) č. 1093/2010 a (EÚ) č. 648/2012 (Ú. v. EÚ L 173, 12.6.2014, s. 190).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F0" w:rsidRPr="002815F0" w:rsidRDefault="002815F0" w:rsidP="00281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F0" w:rsidRPr="002815F0" w:rsidRDefault="002815F0" w:rsidP="002815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F0" w:rsidRPr="002815F0" w:rsidRDefault="002815F0" w:rsidP="00281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490FD8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5CED0C"/>
    <w:lvl w:ilvl="0">
      <w:start w:val="1"/>
      <w:numFmt w:val="decimal"/>
      <w:pStyle w:val="ListNumber3"/>
      <w:lvlText w:val="%1."/>
      <w:lvlJc w:val="left"/>
      <w:pPr>
        <w:tabs>
          <w:tab w:val="num" w:pos="926"/>
        </w:tabs>
        <w:ind w:left="926" w:hanging="360"/>
      </w:pPr>
    </w:lvl>
  </w:abstractNum>
  <w:abstractNum w:abstractNumId="2">
    <w:nsid w:val="FFFFFF7F"/>
    <w:multiLevelType w:val="singleLevel"/>
    <w:tmpl w:val="28F23928"/>
    <w:lvl w:ilvl="0">
      <w:start w:val="1"/>
      <w:numFmt w:val="decimal"/>
      <w:pStyle w:val="ListNumber2"/>
      <w:lvlText w:val="%1."/>
      <w:lvlJc w:val="left"/>
      <w:pPr>
        <w:tabs>
          <w:tab w:val="num" w:pos="643"/>
        </w:tabs>
        <w:ind w:left="643" w:hanging="360"/>
      </w:pPr>
    </w:lvl>
  </w:abstractNum>
  <w:abstractNum w:abstractNumId="3">
    <w:nsid w:val="FFFFFF81"/>
    <w:multiLevelType w:val="singleLevel"/>
    <w:tmpl w:val="DF9869B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E8CD5A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E788C0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20A706C"/>
    <w:lvl w:ilvl="0">
      <w:start w:val="1"/>
      <w:numFmt w:val="decimal"/>
      <w:pStyle w:val="ListNumber"/>
      <w:lvlText w:val="%1."/>
      <w:lvlJc w:val="left"/>
      <w:pPr>
        <w:tabs>
          <w:tab w:val="num" w:pos="360"/>
        </w:tabs>
        <w:ind w:left="360" w:hanging="360"/>
      </w:pPr>
    </w:lvl>
  </w:abstractNum>
  <w:abstractNum w:abstractNumId="7">
    <w:nsid w:val="FFFFFF89"/>
    <w:multiLevelType w:val="singleLevel"/>
    <w:tmpl w:val="C26A13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C891118"/>
    <w:multiLevelType w:val="hybridMultilevel"/>
    <w:tmpl w:val="19483D9C"/>
    <w:lvl w:ilvl="0" w:tplc="5BD6A186">
      <w:start w:val="1"/>
      <w:numFmt w:val="lowerRoman"/>
      <w:lvlText w:val="(%1)"/>
      <w:lvlJc w:val="center"/>
      <w:pPr>
        <w:ind w:left="1570" w:hanging="360"/>
      </w:pPr>
      <w:rPr>
        <w:rFonts w:hint="default"/>
      </w:rPr>
    </w:lvl>
    <w:lvl w:ilvl="1" w:tplc="08090019" w:tentative="1">
      <w:start w:val="1"/>
      <w:numFmt w:val="lowerLetter"/>
      <w:lvlText w:val="%2."/>
      <w:lvlJc w:val="left"/>
      <w:pPr>
        <w:ind w:left="2290" w:hanging="360"/>
      </w:pPr>
    </w:lvl>
    <w:lvl w:ilvl="2" w:tplc="0809001B">
      <w:start w:val="1"/>
      <w:numFmt w:val="lowerRoman"/>
      <w:pStyle w:val="ManualPoint1number"/>
      <w:lvlText w:val="%3."/>
      <w:lvlJc w:val="right"/>
      <w:pPr>
        <w:ind w:left="3010" w:hanging="18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0"/>
  </w:num>
  <w:num w:numId="13">
    <w:abstractNumId w:val="8"/>
  </w:num>
  <w:num w:numId="14">
    <w:abstractNumId w:val="17"/>
  </w:num>
  <w:num w:numId="15">
    <w:abstractNumId w:val="1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1"/>
  </w:num>
  <w:num w:numId="24">
    <w:abstractNumId w:val="13"/>
  </w:num>
  <w:num w:numId="25">
    <w:abstractNumId w:val="23"/>
  </w:num>
  <w:num w:numId="26">
    <w:abstractNumId w:val="12"/>
  </w:num>
  <w:num w:numId="27">
    <w:abstractNumId w:val="14"/>
  </w:num>
  <w:num w:numId="28">
    <w:abstractNumId w:val="10"/>
  </w:num>
  <w:num w:numId="29">
    <w:abstractNumId w:val="22"/>
  </w:num>
  <w:num w:numId="30">
    <w:abstractNumId w:val="9"/>
  </w:num>
  <w:num w:numId="31">
    <w:abstractNumId w:val="15"/>
  </w:num>
  <w:num w:numId="32">
    <w:abstractNumId w:val="19"/>
  </w:num>
  <w:num w:numId="33">
    <w:abstractNumId w:val="20"/>
  </w:num>
  <w:num w:numId="34">
    <w:abstractNumId w:val="11"/>
  </w:num>
  <w:num w:numId="35">
    <w:abstractNumId w:val="18"/>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proofState w:spelling="clean" w:grammar="clean"/>
  <w:attachedTemplate r:id="rId1"/>
  <w:doNotTrackMoves/>
  <w:defaultTabStop w:val="720"/>
  <w:characterSpacingControl w:val="doNotCompress"/>
  <w:hdrShapeDefaults>
    <o:shapedefaults v:ext="edit" spidmax="1945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7-01-17 12:05:3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Yellow"/>
    <w:docVar w:name="DQCVersion" w:val="3"/>
    <w:docVar w:name="DQCWithWarnings" w:val="0"/>
    <w:docVar w:name="LW_CONFIDENCE" w:val=" "/>
    <w:docVar w:name="LW_CONST_RESTREINT_UE" w:val="RESTREINT UE/EU RESTRICTED"/>
    <w:docVar w:name="LW_CORRIGENDUM" w:val="&lt;UNUSED&gt;"/>
    <w:docVar w:name="LW_COVERPAGE_GUID" w:val="0F528A33698843B2BDC42A6999AB8CD9"/>
    <w:docVar w:name="LW_CROSSREFERENCE" w:val="&lt;UNUSED&gt;"/>
    <w:docVar w:name="LW_DocType" w:val="COM"/>
    <w:docVar w:name="LW_EMISSION" w:val="23. 11. 2016"/>
    <w:docVar w:name="LW_EMISSION_ISODATE" w:val="2016-11-23"/>
    <w:docVar w:name="LW_EMISSION_LOCATION" w:val="BRX"/>
    <w:docVar w:name="LW_EMISSION_PREFIX" w:val="V Bruseli"/>
    <w:docVar w:name="LW_EMISSION_SUFFIX" w:val=" "/>
    <w:docVar w:name="LW_ID_DOCMODEL" w:val="SJ-024"/>
    <w:docVar w:name="LW_ID_DOCSIGNATURE" w:val="SJ-024"/>
    <w:docVar w:name="LW_ID_DOCSTRUCTURE" w:val="COM/PL/ORG"/>
    <w:docVar w:name="LW_ID_DOCTYPE" w:val="SJ-024"/>
    <w:docVar w:name="LW_ID_STATUT" w:val="SJ-024"/>
    <w:docVar w:name="LW_INTERETEEE.CP" w:val="(Text s významom pre EHP)"/>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364"/>
    <w:docVar w:name="LW_REF.II.NEW.CP_YEAR" w:val="2016"/>
    <w:docVar w:name="LW_REF.INST.NEW" w:val="COM"/>
    <w:docVar w:name="LW_REF.INST.NEW_ADOPTED" w:val="final"/>
    <w:docVar w:name="LW_REF.INST.NEW_TEXT" w:val="(2016) 854"/>
    <w:docVar w:name="LW_REF.INTERNE" w:val="&lt;UNUSED&gt;"/>
    <w:docVar w:name="LW_SOUS.TITRE.OBJ.CP" w:val="&lt;UNUSED&gt;"/>
    <w:docVar w:name="LW_STATUT.CP" w:val="Návrh"/>
    <w:docVar w:name="LW_SUPERTITRE" w:val="&lt;UNUSED&gt;"/>
    <w:docVar w:name="LW_TITRE.OBJ.CP" w:val="ktorou sa mení smernica 2013/36/EÚ, pokia\u318? ide o oslobodené subjekty, finan\u269?né holdingové spolo\u269?nosti, zmie\u353?ané finan\u269?né holdingové spolo\u269?nosti, odme\u328?ovanie, opatrenia doh\u318?adu a právomoci v oblasti doh\u318?adu a opatrenia na zachovanie kapitálu"/>
    <w:docVar w:name="LW_TYPE.DOC.CP" w:val="SMERNICA EURÓPSKEHO PARLAMENTU A RADY,"/>
  </w:docVars>
  <w:rsids>
    <w:rsidRoot w:val="001B4D52"/>
    <w:rsid w:val="001B4D52"/>
    <w:rsid w:val="0028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sk-SK"/>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hAnsi="Times New Roman" w:cs="Times New Roman"/>
      <w:sz w:val="20"/>
      <w:szCs w:val="20"/>
      <w:lang w:val="sk-SK"/>
    </w:rPr>
  </w:style>
  <w:style w:type="paragraph" w:styleId="ListBullet">
    <w:name w:val="List Bullet"/>
    <w:basedOn w:val="Normal"/>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styleId="Caption">
    <w:name w:val="caption"/>
    <w:basedOn w:val="Normal"/>
    <w:next w:val="Normal"/>
    <w:uiPriority w:val="35"/>
    <w:semiHidden/>
    <w:unhideWhenUsed/>
    <w:qFormat/>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nhideWhenUsed/>
    <w:pPr>
      <w:numPr>
        <w:numId w:val="12"/>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sk-SK"/>
    </w:rPr>
  </w:style>
  <w:style w:type="paragraph" w:styleId="ListParagraph">
    <w:name w:val="List Paragraph"/>
    <w:basedOn w:val="Normal"/>
    <w:uiPriority w:val="34"/>
    <w:qFormat/>
    <w:pPr>
      <w:spacing w:after="0"/>
      <w:ind w:left="720"/>
      <w:contextualSpacing/>
    </w:pPr>
    <w:rPr>
      <w:rFonts w:ascii="Segoe UI" w:eastAsia="Times New Roman" w:hAnsi="Segoe UI"/>
      <w:sz w:val="20"/>
      <w:szCs w:val="20"/>
    </w:rPr>
  </w:style>
  <w:style w:type="paragraph" w:customStyle="1" w:styleId="ListBullet1">
    <w:name w:val="List Bullet 1"/>
    <w:basedOn w:val="Normal"/>
    <w:pPr>
      <w:numPr>
        <w:numId w:val="13"/>
      </w:numPr>
    </w:pPr>
    <w:rPr>
      <w:rFonts w:eastAsia="Times New Roman"/>
    </w:rPr>
  </w:style>
  <w:style w:type="paragraph" w:customStyle="1" w:styleId="ListDash1">
    <w:name w:val="List Dash 1"/>
    <w:basedOn w:val="Normal"/>
    <w:pPr>
      <w:numPr>
        <w:numId w:val="14"/>
      </w:numPr>
    </w:pPr>
    <w:rPr>
      <w:rFonts w:eastAsia="Times New Roman"/>
    </w:rPr>
  </w:style>
  <w:style w:type="paragraph" w:customStyle="1" w:styleId="ListDash2">
    <w:name w:val="List Dash 2"/>
    <w:basedOn w:val="Normal"/>
    <w:pPr>
      <w:numPr>
        <w:numId w:val="15"/>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ListNumber4Level2">
    <w:name w:val="List Number 4 (Level 2)"/>
    <w:basedOn w:val="Text4"/>
    <w:pPr>
      <w:tabs>
        <w:tab w:val="num" w:pos="2268"/>
      </w:tabs>
      <w:ind w:left="2268" w:hanging="708"/>
    </w:pPr>
    <w:rPr>
      <w:rFonts w:eastAsia="Times New Roman"/>
    </w:rPr>
  </w:style>
  <w:style w:type="paragraph" w:customStyle="1" w:styleId="ListNumber4Level3">
    <w:name w:val="List Number 4 (Level 3)"/>
    <w:basedOn w:val="Text4"/>
    <w:pPr>
      <w:tabs>
        <w:tab w:val="num" w:pos="2977"/>
      </w:tabs>
      <w:ind w:left="2977" w:hanging="709"/>
    </w:pPr>
    <w:rPr>
      <w:rFonts w:eastAsia="Times New Roman"/>
    </w:rPr>
  </w:style>
  <w:style w:type="paragraph" w:customStyle="1" w:styleId="ListNumber4Level4">
    <w:name w:val="List Number 4 (Level 4)"/>
    <w:basedOn w:val="Text4"/>
    <w:pPr>
      <w:tabs>
        <w:tab w:val="num" w:pos="3686"/>
      </w:tabs>
      <w:ind w:left="3686" w:hanging="709"/>
    </w:pPr>
    <w:rPr>
      <w:rFonts w:eastAsia="Times New Roman"/>
    </w:rPr>
  </w:style>
  <w:style w:type="paragraph" w:styleId="Revision">
    <w:name w:val="Revision"/>
    <w:hidden/>
    <w:uiPriority w:val="99"/>
    <w:semiHidden/>
    <w:pPr>
      <w:ind w:left="1361" w:hanging="567"/>
    </w:pPr>
    <w:rPr>
      <w:rFonts w:ascii="Times New Roman" w:hAnsi="Times New Roman"/>
      <w:sz w:val="24"/>
    </w:rPr>
  </w:style>
  <w:style w:type="paragraph" w:customStyle="1" w:styleId="Article">
    <w:name w:val="Article"/>
    <w:basedOn w:val="Text1"/>
  </w:style>
  <w:style w:type="paragraph" w:customStyle="1" w:styleId="NumPar10">
    <w:name w:val="Num Par1"/>
    <w:basedOn w:val="Text1"/>
    <w:pPr>
      <w:tabs>
        <w:tab w:val="num" w:pos="850"/>
      </w:tabs>
      <w:ind w:hanging="850"/>
    </w:pPr>
  </w:style>
  <w:style w:type="paragraph" w:customStyle="1" w:styleId="CM1">
    <w:name w:val="CM1"/>
    <w:basedOn w:val="Normal"/>
    <w:uiPriority w:val="99"/>
    <w:pPr>
      <w:autoSpaceDE w:val="0"/>
      <w:autoSpaceDN w:val="0"/>
      <w:spacing w:after="0"/>
    </w:pPr>
    <w:rPr>
      <w:rFonts w:ascii="EUAlbertina" w:hAnsi="EUAlbertina"/>
      <w:szCs w:val="24"/>
    </w:rPr>
  </w:style>
  <w:style w:type="paragraph" w:customStyle="1" w:styleId="CM3">
    <w:name w:val="CM3"/>
    <w:basedOn w:val="Normal"/>
    <w:uiPriority w:val="99"/>
    <w:pPr>
      <w:autoSpaceDE w:val="0"/>
      <w:autoSpaceDN w:val="0"/>
      <w:spacing w:after="0"/>
    </w:pPr>
    <w:rPr>
      <w:rFonts w:ascii="EUAlbertina" w:hAnsi="EUAlbertina"/>
      <w:szCs w:val="24"/>
    </w:rPr>
  </w:style>
  <w:style w:type="paragraph" w:customStyle="1" w:styleId="Formule">
    <w:name w:val="Formule"/>
    <w:qFormat/>
    <w:pPr>
      <w:ind w:left="851" w:hanging="567"/>
      <w:jc w:val="center"/>
    </w:pPr>
    <w:rPr>
      <w:rFonts w:ascii="Times New Roman" w:hAnsi="Times New Roman"/>
      <w:i/>
      <w:sz w:val="24"/>
    </w:rPr>
  </w:style>
  <w:style w:type="paragraph" w:customStyle="1" w:styleId="ManualPoint1number">
    <w:name w:val="Manual Point 1(number)"/>
    <w:basedOn w:val="Point1number"/>
    <w:autoRedefine/>
    <w:qFormat/>
    <w:pPr>
      <w:numPr>
        <w:numId w:val="22"/>
      </w:numPr>
    </w:pPr>
  </w:style>
  <w:style w:type="paragraph" w:styleId="Header">
    <w:name w:val="header"/>
    <w:basedOn w:val="Normal"/>
    <w:link w:val="HeaderChar"/>
    <w:uiPriority w:val="99"/>
    <w:unhideWhenUsed/>
    <w:rsid w:val="002815F0"/>
    <w:pPr>
      <w:tabs>
        <w:tab w:val="center" w:pos="4535"/>
        <w:tab w:val="right" w:pos="9071"/>
      </w:tabs>
      <w:spacing w:before="0"/>
    </w:pPr>
    <w:rPr>
      <w:lang w:eastAsia="en-US" w:bidi="ar-SA"/>
    </w:rPr>
  </w:style>
  <w:style w:type="character" w:customStyle="1" w:styleId="HeaderChar">
    <w:name w:val="Header Char"/>
    <w:link w:val="Header"/>
    <w:uiPriority w:val="99"/>
    <w:rsid w:val="002815F0"/>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815F0"/>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8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emf"/><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ec.europa.eu/finance/consultations/2015/financial-regulatory-framework-review/docs/consultation-document_en.pdf" TargetMode="External"/><Relationship Id="rId1" Type="http://schemas.openxmlformats.org/officeDocument/2006/relationships/hyperlink" Target="http://ec.europa.eu/finance/consultations/2015/long-term-finance/docs/consultation-documen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73E773AD32414B91D57B09972749FC" ma:contentTypeVersion="0" ma:contentTypeDescription="Create a new document." ma:contentTypeScope="" ma:versionID="1fd7e800c07dc8174a9d31dc124ef25e">
  <xsd:schema xmlns:xsd="http://www.w3.org/2001/XMLSchema" xmlns:xs="http://www.w3.org/2001/XMLSchema" xmlns:p="http://schemas.microsoft.com/office/2006/metadata/properties" targetNamespace="http://schemas.microsoft.com/office/2006/metadata/properties" ma:root="true" ma:fieldsID="dbf26752ec285183b08678e223fcb2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B3C415-8A6F-48C5-97FA-4FA8974853E1}">
  <ds:schemaRefs>
    <ds:schemaRef ds:uri="http://schemas.microsoft.com/office/2006/metadata/longProperties"/>
  </ds:schemaRefs>
</ds:datastoreItem>
</file>

<file path=customXml/itemProps2.xml><?xml version="1.0" encoding="utf-8"?>
<ds:datastoreItem xmlns:ds="http://schemas.openxmlformats.org/officeDocument/2006/customXml" ds:itemID="{BB0C8429-A114-4B55-AEC1-CD9F014511EB}">
  <ds:schemaRefs>
    <ds:schemaRef ds:uri="http://schemas.microsoft.com/sharepoint/v3/contenttype/forms"/>
  </ds:schemaRefs>
</ds:datastoreItem>
</file>

<file path=customXml/itemProps3.xml><?xml version="1.0" encoding="utf-8"?>
<ds:datastoreItem xmlns:ds="http://schemas.openxmlformats.org/officeDocument/2006/customXml" ds:itemID="{2458B3F2-4FF9-447D-9F3F-8280C68D8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0C3877-4ECD-4BD6-96FA-2E862AAE7ED1}">
  <ds:schemaRefs>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38</Pages>
  <Words>14960</Words>
  <Characters>89762</Characters>
  <Application>Microsoft Office Word</Application>
  <DocSecurity>0</DocSecurity>
  <Lines>1574</Lines>
  <Paragraphs>545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104177</CharactersWithSpaces>
  <SharedDoc>false</SharedDoc>
  <HLinks>
    <vt:vector size="12" baseType="variant">
      <vt:variant>
        <vt:i4>4784247</vt:i4>
      </vt:variant>
      <vt:variant>
        <vt:i4>3</vt:i4>
      </vt:variant>
      <vt:variant>
        <vt:i4>0</vt:i4>
      </vt:variant>
      <vt:variant>
        <vt:i4>5</vt:i4>
      </vt:variant>
      <vt:variant>
        <vt:lpwstr>http://ec.europa.eu/finance/consultations/2015/financial-regulatory-framework-review/docs/consultation-document_en.pdf</vt:lpwstr>
      </vt:variant>
      <vt:variant>
        <vt:lpwstr/>
      </vt:variant>
      <vt:variant>
        <vt:i4>1048696</vt:i4>
      </vt:variant>
      <vt:variant>
        <vt:i4>0</vt:i4>
      </vt:variant>
      <vt:variant>
        <vt:i4>0</vt:i4>
      </vt:variant>
      <vt:variant>
        <vt:i4>5</vt:i4>
      </vt:variant>
      <vt:variant>
        <vt:lpwstr>http://ec.europa.eu/finance/consultations/2015/long-term-finance/docs/consultation-document_en.pdf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ANTONACCIO Raimondo (SG)</cp:lastModifiedBy>
  <cp:revision>19</cp:revision>
  <cp:lastPrinted>2016-11-15T18:27:00Z</cp:lastPrinted>
  <dcterms:created xsi:type="dcterms:W3CDTF">2016-12-19T13:30:00Z</dcterms:created>
  <dcterms:modified xsi:type="dcterms:W3CDTF">2017-01-17T11:59:00Z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IsMyDocuments">
    <vt:lpwstr>1</vt:lpwstr>
  </property>
  <property fmtid="{D5CDD505-2E9C-101B-9397-08002B2CF9AE}" pid="11" name="DQCStatus">
    <vt:lpwstr>Yellow (DQC version 03)</vt:lpwstr>
  </property>
</Properties>
</file>