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4B79DB49F05F4004BFE3D7CC6D50A2B0" style="width:450.45pt;height:379pt">
            <v:imagedata r:id="rId11" o:title=""/>
          </v:shape>
        </w:pict>
      </w:r>
    </w:p>
    <w:bookmarkEnd w:id="0"/>
    <w:p>
      <w:pPr>
        <w:rPr>
          <w:noProof/>
          <w:lang w:eastAsia="en-US"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jc w:val="center"/>
        <w:rPr>
          <w:b/>
          <w:noProof/>
          <w:lang w:val="it-IT"/>
        </w:rPr>
      </w:pPr>
      <w:bookmarkStart w:id="1" w:name="_GoBack"/>
      <w:bookmarkEnd w:id="1"/>
      <w:r>
        <w:rPr>
          <w:b/>
          <w:noProof/>
          <w:lang w:val="it-IT"/>
        </w:rPr>
        <w:lastRenderedPageBreak/>
        <w:t>Allegato 2 – Ricollocazioni dall’Italia al 6 dicembre 2016</w:t>
      </w:r>
    </w:p>
    <w:p>
      <w:pPr>
        <w:jc w:val="center"/>
        <w:rPr>
          <w:b/>
          <w:noProof/>
          <w:lang w:val="it-IT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2351"/>
        <w:gridCol w:w="2407"/>
        <w:gridCol w:w="3261"/>
      </w:tblGrid>
      <w:tr>
        <w:trPr>
          <w:trHeight w:val="313"/>
          <w:tblHeader/>
          <w:jc w:val="center"/>
        </w:trPr>
        <w:tc>
          <w:tcPr>
            <w:tcW w:w="2295" w:type="dxa"/>
            <w:shd w:val="clear" w:color="auto" w:fill="C6D9F1" w:themeFill="text2" w:themeFillTint="33"/>
            <w:vAlign w:val="center"/>
          </w:tcPr>
          <w:p>
            <w:pPr>
              <w:jc w:val="center"/>
              <w:rPr>
                <w:b/>
                <w:noProof/>
                <w:color w:val="000000"/>
                <w:sz w:val="22"/>
                <w:lang w:val="it-IT"/>
              </w:rPr>
            </w:pPr>
          </w:p>
          <w:p>
            <w:pPr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Stato membro</w:t>
            </w:r>
          </w:p>
        </w:tc>
        <w:tc>
          <w:tcPr>
            <w:tcW w:w="2351" w:type="dxa"/>
            <w:shd w:val="clear" w:color="auto" w:fill="C6D9F1" w:themeFill="text2" w:themeFillTint="33"/>
            <w:vAlign w:val="center"/>
          </w:tcPr>
          <w:p>
            <w:pPr>
              <w:jc w:val="center"/>
              <w:rPr>
                <w:b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  <w:sz w:val="22"/>
              </w:rPr>
              <w:t>Impegno formale</w:t>
            </w:r>
            <w:r>
              <w:rPr>
                <w:rStyle w:val="FootnoteReference"/>
                <w:b/>
                <w:noProof/>
                <w:color w:val="000000"/>
                <w:sz w:val="22"/>
              </w:rPr>
              <w:footnoteReference w:id="1"/>
            </w:r>
          </w:p>
        </w:tc>
        <w:tc>
          <w:tcPr>
            <w:tcW w:w="2407" w:type="dxa"/>
            <w:shd w:val="clear" w:color="auto" w:fill="C6D9F1" w:themeFill="text2" w:themeFillTint="33"/>
            <w:vAlign w:val="center"/>
          </w:tcPr>
          <w:p>
            <w:pPr>
              <w:jc w:val="center"/>
              <w:rPr>
                <w:b/>
                <w:noProof/>
                <w:color w:val="000000"/>
                <w:sz w:val="22"/>
              </w:rPr>
            </w:pPr>
          </w:p>
          <w:p>
            <w:pPr>
              <w:jc w:val="center"/>
              <w:rPr>
                <w:b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  <w:sz w:val="22"/>
              </w:rPr>
              <w:t>Ricollocazioni effettive</w:t>
            </w:r>
          </w:p>
        </w:tc>
        <w:tc>
          <w:tcPr>
            <w:tcW w:w="3261" w:type="dxa"/>
            <w:shd w:val="clear" w:color="auto" w:fill="EAF1DD" w:themeFill="accent3" w:themeFillTint="33"/>
            <w:vAlign w:val="center"/>
          </w:tcPr>
          <w:p>
            <w:pPr>
              <w:jc w:val="center"/>
              <w:rPr>
                <w:b/>
                <w:noProof/>
                <w:color w:val="000000"/>
                <w:sz w:val="22"/>
                <w:lang w:val="it-IT"/>
              </w:rPr>
            </w:pPr>
          </w:p>
          <w:p>
            <w:pPr>
              <w:jc w:val="center"/>
              <w:rPr>
                <w:b/>
                <w:noProof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noProof/>
                <w:sz w:val="22"/>
                <w:szCs w:val="22"/>
                <w:lang w:val="it-IT"/>
              </w:rPr>
              <w:t>Impegno giuridicamente previsto nelle decisioni del Consiglio</w:t>
            </w:r>
          </w:p>
          <w:p>
            <w:pPr>
              <w:jc w:val="center"/>
              <w:rPr>
                <w:b/>
                <w:noProof/>
                <w:color w:val="000000"/>
                <w:sz w:val="22"/>
                <w:lang w:val="it-IT"/>
              </w:rPr>
            </w:pP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t>Austria</w:t>
            </w:r>
            <w:r>
              <w:rPr>
                <w:rStyle w:val="FootnoteReference"/>
                <w:b/>
                <w:noProof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462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t>Belgio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1 397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t>Bulgaria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471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t>Croazia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374</w:t>
            </w:r>
          </w:p>
        </w:tc>
      </w:tr>
      <w:tr>
        <w:trPr>
          <w:trHeight w:val="357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t>Cipro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139</w:t>
            </w:r>
          </w:p>
        </w:tc>
      </w:tr>
      <w:tr>
        <w:trPr>
          <w:trHeight w:val="357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t>Repubblica cecac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1 036</w:t>
            </w:r>
          </w:p>
        </w:tc>
      </w:tr>
      <w:tr>
        <w:trPr>
          <w:trHeight w:val="357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t>Estonia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125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t>Finlandia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530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359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779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t>Francia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7 115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t>Germania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1 510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207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10 327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t>Ungheria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306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</w:tcPr>
          <w:p>
            <w:pPr>
              <w:spacing w:after="120"/>
              <w:rPr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b/>
                <w:i/>
                <w:noProof/>
                <w:color w:val="000000"/>
                <w:sz w:val="20"/>
                <w:szCs w:val="20"/>
              </w:rPr>
              <w:t>Islanda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t>Irlanda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360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t>Lettonia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186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</w:tcPr>
          <w:p>
            <w:pPr>
              <w:spacing w:after="120"/>
              <w:rPr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b/>
                <w:i/>
                <w:noProof/>
                <w:color w:val="000000"/>
                <w:sz w:val="20"/>
                <w:szCs w:val="20"/>
              </w:rPr>
              <w:t>Liechtenstein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i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spacing w:after="120"/>
              <w:jc w:val="center"/>
              <w:rPr>
                <w:i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i/>
                <w:noProof/>
                <w:sz w:val="20"/>
                <w:szCs w:val="20"/>
              </w:rPr>
            </w:pP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t>Lituania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251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t>Lussemburgo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248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t>Malta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46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53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t>Paesi Bassi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425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331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2 150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</w:tcPr>
          <w:p>
            <w:pPr>
              <w:spacing w:after="120"/>
              <w:rPr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b/>
                <w:i/>
                <w:noProof/>
                <w:color w:val="000000"/>
                <w:sz w:val="20"/>
                <w:szCs w:val="20"/>
              </w:rPr>
              <w:t>Norvegia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i/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color w:val="000000"/>
                <w:sz w:val="20"/>
                <w:szCs w:val="20"/>
              </w:rPr>
              <w:t>440</w:t>
            </w: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spacing w:after="120"/>
              <w:jc w:val="center"/>
              <w:rPr>
                <w:i/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color w:val="000000"/>
                <w:sz w:val="20"/>
                <w:szCs w:val="20"/>
              </w:rPr>
              <w:t>80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i/>
                <w:noProof/>
                <w:sz w:val="20"/>
                <w:szCs w:val="20"/>
              </w:rPr>
            </w:pP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t>Polonia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1 861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t>Portogallo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388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261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1 173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t>Romania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680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43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1 608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t>Slovacchia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250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t>Slovenia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218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t>Spagna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2 676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t>Svezia</w:t>
            </w:r>
            <w:r>
              <w:rPr>
                <w:rStyle w:val="FootnoteReference"/>
                <w:b/>
                <w:noProof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1 388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</w:tcPr>
          <w:p>
            <w:pPr>
              <w:spacing w:after="120"/>
              <w:rPr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b/>
                <w:i/>
                <w:noProof/>
                <w:color w:val="000000"/>
                <w:sz w:val="20"/>
                <w:szCs w:val="20"/>
              </w:rPr>
              <w:t>Svizzera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i/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color w:val="000000"/>
                <w:sz w:val="20"/>
                <w:szCs w:val="20"/>
              </w:rPr>
              <w:t>630</w:t>
            </w: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spacing w:after="120"/>
              <w:jc w:val="center"/>
              <w:rPr>
                <w:i/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i/>
                <w:noProof/>
                <w:sz w:val="20"/>
                <w:szCs w:val="20"/>
              </w:rPr>
            </w:pP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CCC0D9" w:themeFill="accent4" w:themeFillTint="66"/>
            <w:vAlign w:val="center"/>
          </w:tcPr>
          <w:p>
            <w:pPr>
              <w:spacing w:after="120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TOTALE</w:t>
            </w:r>
          </w:p>
        </w:tc>
        <w:tc>
          <w:tcPr>
            <w:tcW w:w="2351" w:type="dxa"/>
            <w:shd w:val="clear" w:color="auto" w:fill="CCC0D9" w:themeFill="accent4" w:themeFillTint="66"/>
          </w:tcPr>
          <w:p>
            <w:pPr>
              <w:spacing w:after="12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5 839</w:t>
            </w:r>
          </w:p>
        </w:tc>
        <w:tc>
          <w:tcPr>
            <w:tcW w:w="2407" w:type="dxa"/>
            <w:shd w:val="clear" w:color="auto" w:fill="CCC0D9" w:themeFill="accent4" w:themeFillTint="66"/>
            <w:vAlign w:val="bottom"/>
          </w:tcPr>
          <w:p>
            <w:pPr>
              <w:spacing w:after="12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1 950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>
            <w:pPr>
              <w:spacing w:after="12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34 953</w:t>
            </w:r>
          </w:p>
        </w:tc>
      </w:tr>
    </w:tbl>
    <w:p>
      <w:pPr>
        <w:rPr>
          <w:noProof/>
        </w:rPr>
      </w:pPr>
    </w:p>
    <w:sectPr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  <w:rPr>
        <w:noProof/>
      </w:rPr>
    </w:pPr>
    <w:sdt>
      <w:sdtPr>
        <w:id w:val="-16434198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>2</w:t>
        </w:r>
      </w:sdtContent>
    </w:sdt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ootnoteText"/>
        <w:ind w:left="284" w:hanging="284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it-IT"/>
        </w:rPr>
        <w:tab/>
        <w:t>Trasmesso tramite DubliNet ai sensi dell’articolo 5, paragrafo 2, della decisione del Consiglio.</w:t>
      </w:r>
    </w:p>
  </w:footnote>
  <w:footnote w:id="2">
    <w:p>
      <w:pPr>
        <w:pStyle w:val="FootnoteText"/>
        <w:ind w:left="284" w:hanging="284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it-IT"/>
        </w:rPr>
        <w:tab/>
        <w:t>Decisione di esecuzione (UE) 2016/408 del Consiglio, del 10 marzo 2016, relativa alla sospensione temporanea della ricollocazione del 30% dei richiedenti assegnati all’Austria a norma della decisione (UE) 2015/1601 che istituisce misure temporanee nel settore della protezione internazionale a beneficio dell’Italia e della Grecia.</w:t>
      </w:r>
    </w:p>
  </w:footnote>
  <w:footnote w:id="3">
    <w:p>
      <w:pPr>
        <w:pStyle w:val="FootnoteText"/>
        <w:ind w:left="284" w:hanging="284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it-IT"/>
        </w:rPr>
        <w:tab/>
        <w:t>Decisione (UE) 2016/946 del Consiglio, del 9 giugno 2016, che istituisce misure temporanee nel settore della protezione internazionale a beneficio della Svezia, conformemente all’articolo 9 della decisione (UE) 2015/1523 e all’articolo 9 della decisione (UE) 2015/1601 che istituiscono misure temporanee nel settore della protezione internazionale a beneficio dell’Italia e della Grecia.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della"/>
    <w:docVar w:name="LW_ANNEX_NBR_FIRST" w:val="2"/>
    <w:docVar w:name="LW_ANNEX_NBR_LAST" w:val="2"/>
    <w:docVar w:name="LW_CONFIDENCE" w:val=" "/>
    <w:docVar w:name="LW_CONST_RESTREINT_UE" w:val="RESTREINT UE"/>
    <w:docVar w:name="LW_CORRIGENDUM" w:val="&lt;UNUSED&gt;"/>
    <w:docVar w:name="LW_COVERPAGE_GUID" w:val="4B79DB49F05F4004BFE3D7CC6D50A2B0"/>
    <w:docVar w:name="LW_CROSSREFERENCE" w:val="&lt;UNUSED&gt;"/>
    <w:docVar w:name="LW_DocType" w:val="NORMAL"/>
    <w:docVar w:name="LW_EMISSION" w:val="8.12.2016"/>
    <w:docVar w:name="LW_EMISSION_ISODATE" w:val="2016-12-08"/>
    <w:docVar w:name="LW_EMISSION_LOCATION" w:val="BRX"/>
    <w:docVar w:name="LW_EMISSION_PREFIX" w:val="Bruxelles, "/>
    <w:docVar w:name="LW_EMISSION_SUFFIX" w:val=" "/>
    <w:docVar w:name="LW_ID_DOCTYPE_NONLW" w:val="CP-039"/>
    <w:docVar w:name="LW_LANGUE" w:val="IT"/>
    <w:docVar w:name="LW_MARKING" w:val="&lt;UNUSED&gt;"/>
    <w:docVar w:name="LW_NOM.INST" w:val="COMMISSIONE EUROPEA"/>
    <w:docVar w:name="LW_NOM.INST_JOINTDOC" w:val="&lt;EMPTY&gt;"/>
    <w:docVar w:name="LW_OBJETACTEPRINCIPAL.CP" w:val="Ottava relazione sulla ricollocazione e il reinsediamento"/>
    <w:docVar w:name="LW_PART_NBR" w:val="1"/>
    <w:docVar w:name="LW_PART_NBR_TOTAL" w:val="1"/>
    <w:docVar w:name="LW_REF.INST.NEW" w:val="COM"/>
    <w:docVar w:name="LW_REF.INST.NEW_ADOPTED" w:val="final"/>
    <w:docVar w:name="LW_REF.INST.NEW_TEXT" w:val="(2016) 791"/>
    <w:docVar w:name="LW_REF.INTERNE" w:val="&lt;UNUSED&gt;"/>
    <w:docVar w:name="LW_SUPERTITRE" w:val="&lt;UNUSED&gt;"/>
    <w:docVar w:name="LW_TITRE.OBJ.CP" w:val="&lt;UNUSED&gt;"/>
    <w:docVar w:name="LW_TYPE.DOC.CP" w:val="ALLEGATO_x000b_"/>
    <w:docVar w:name="LW_TYPEACTEPRINCIPAL.CP" w:val="COMUNICAZIONE DELLA COMMISSIONE AL PARLAMENTO EUROPEO, AL CONSIGLIO EUROPEO E AL CONSIGLI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  <w:lang w:eastAsia="en-US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sz w:val="24"/>
      <w:szCs w:val="24"/>
    </w:rPr>
  </w:style>
  <w:style w:type="paragraph" w:customStyle="1" w:styleId="Typedudocument">
    <w:name w:val="Type du document"/>
    <w:basedOn w:val="Normal"/>
    <w:next w:val="Normal"/>
    <w:pPr>
      <w:spacing w:before="360"/>
      <w:jc w:val="center"/>
    </w:pPr>
    <w:rPr>
      <w:rFonts w:eastAsiaTheme="minorHAnsi"/>
      <w:b/>
      <w:szCs w:val="22"/>
      <w:lang w:eastAsia="en-US"/>
    </w:rPr>
  </w:style>
  <w:style w:type="paragraph" w:customStyle="1" w:styleId="Accompagnant">
    <w:name w:val="Accompagnant"/>
    <w:basedOn w:val="Normal"/>
    <w:next w:val="Normal"/>
    <w:pPr>
      <w:spacing w:after="240"/>
      <w:jc w:val="center"/>
    </w:pPr>
    <w:rPr>
      <w:rFonts w:eastAsiaTheme="minorHAnsi"/>
      <w:b/>
      <w:i/>
      <w:szCs w:val="22"/>
      <w:lang w:eastAsia="en-US"/>
    </w:rPr>
  </w:style>
  <w:style w:type="paragraph" w:customStyle="1" w:styleId="Typeacteprincipal">
    <w:name w:val="Type acte principal"/>
    <w:basedOn w:val="Normal"/>
    <w:next w:val="Normal"/>
    <w:pPr>
      <w:spacing w:after="240"/>
      <w:jc w:val="center"/>
    </w:pPr>
    <w:rPr>
      <w:rFonts w:eastAsiaTheme="minorHAnsi"/>
      <w:b/>
      <w:szCs w:val="22"/>
      <w:lang w:eastAsia="en-US"/>
    </w:rPr>
  </w:style>
  <w:style w:type="paragraph" w:customStyle="1" w:styleId="Objetacteprincipal">
    <w:name w:val="Objet acte principal"/>
    <w:basedOn w:val="Normal"/>
    <w:next w:val="Normal"/>
    <w:pPr>
      <w:spacing w:after="360"/>
      <w:jc w:val="center"/>
    </w:pPr>
    <w:rPr>
      <w:rFonts w:eastAsiaTheme="minorHAnsi"/>
      <w:b/>
      <w:szCs w:val="22"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  <w:lang w:eastAsia="en-US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sz w:val="24"/>
      <w:szCs w:val="24"/>
    </w:rPr>
  </w:style>
  <w:style w:type="paragraph" w:customStyle="1" w:styleId="Typedudocument">
    <w:name w:val="Type du document"/>
    <w:basedOn w:val="Normal"/>
    <w:next w:val="Normal"/>
    <w:pPr>
      <w:spacing w:before="360"/>
      <w:jc w:val="center"/>
    </w:pPr>
    <w:rPr>
      <w:rFonts w:eastAsiaTheme="minorHAnsi"/>
      <w:b/>
      <w:szCs w:val="22"/>
      <w:lang w:eastAsia="en-US"/>
    </w:rPr>
  </w:style>
  <w:style w:type="paragraph" w:customStyle="1" w:styleId="Accompagnant">
    <w:name w:val="Accompagnant"/>
    <w:basedOn w:val="Normal"/>
    <w:next w:val="Normal"/>
    <w:pPr>
      <w:spacing w:after="240"/>
      <w:jc w:val="center"/>
    </w:pPr>
    <w:rPr>
      <w:rFonts w:eastAsiaTheme="minorHAnsi"/>
      <w:b/>
      <w:i/>
      <w:szCs w:val="22"/>
      <w:lang w:eastAsia="en-US"/>
    </w:rPr>
  </w:style>
  <w:style w:type="paragraph" w:customStyle="1" w:styleId="Typeacteprincipal">
    <w:name w:val="Type acte principal"/>
    <w:basedOn w:val="Normal"/>
    <w:next w:val="Normal"/>
    <w:pPr>
      <w:spacing w:after="240"/>
      <w:jc w:val="center"/>
    </w:pPr>
    <w:rPr>
      <w:rFonts w:eastAsiaTheme="minorHAnsi"/>
      <w:b/>
      <w:szCs w:val="22"/>
      <w:lang w:eastAsia="en-US"/>
    </w:rPr>
  </w:style>
  <w:style w:type="paragraph" w:customStyle="1" w:styleId="Objetacteprincipal">
    <w:name w:val="Objet acte principal"/>
    <w:basedOn w:val="Normal"/>
    <w:next w:val="Normal"/>
    <w:pPr>
      <w:spacing w:after="360"/>
      <w:jc w:val="center"/>
    </w:pPr>
    <w:rPr>
      <w:rFonts w:eastAsiaTheme="minorHAnsi"/>
      <w:b/>
      <w:szCs w:val="22"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adline_x0020_DIR xmlns="47eefe9a-f81e-47cf-b703-dc75e53a6b28">2016-04-07T13:00:00+00:00</Deadline_x0020_DIR>
    <CF xmlns="47eefe9a-f81e-47cf-b703-dc75e53a6b28">C</CF>
    <Deadline xmlns="47eefe9a-f81e-47cf-b703-dc75e53a6b28">2016-04-07T13:00:00+00:00</Deadline>
    <ASOC xmlns="47eefe9a-f81e-47cf-b703-dc75e53a6b28">C</ASOC>
    <Ares_x0020_number xmlns="47eefe9a-f81e-47cf-b703-dc75e53a6b28" xsi:nil="true"/>
    <EC_Collab_Reference xmlns="47eefe9a-f81e-47cf-b703-dc75e53a6b28" xsi:nil="true"/>
    <_Status xmlns="http://schemas.microsoft.com/sharepoint/v3/fields">Not Started</_Status>
    <EC_Collab_DocumentLanguage xmlns="47eefe9a-f81e-47cf-b703-dc75e53a6b28">EN</EC_Collab_DocumentLanguage>
    <For xmlns="47eefe9a-f81e-47cf-b703-dc75e53a6b28">COMMISSIONER</For>
    <EC_Collab_Status xmlns="47eefe9a-f81e-47cf-b703-dc75e53a6b28">Not Started</EC_Collab_Status>
    <contact xmlns="47eefe9a-f81e-47cf-b703-dc75e53a6b28">
      <UserInfo>
        <DisplayName/>
        <AccountId xsi:nil="true"/>
        <AccountType/>
      </UserInfo>
    </contac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B080E8D204D504794FE96D03734DA79" ma:contentTypeVersion="10" ma:contentTypeDescription="Create a new document in this library." ma:contentTypeScope="" ma:versionID="2de25f660ceeed2b4c8a794b33a86d08">
  <xsd:schema xmlns:xsd="http://www.w3.org/2001/XMLSchema" xmlns:xs="http://www.w3.org/2001/XMLSchema" xmlns:p="http://schemas.microsoft.com/office/2006/metadata/properties" xmlns:ns2="http://schemas.microsoft.com/sharepoint/v3/fields" xmlns:ns3="47eefe9a-f81e-47cf-b703-dc75e53a6b28" targetNamespace="http://schemas.microsoft.com/office/2006/metadata/properties" ma:root="true" ma:fieldsID="6cf894a9eaed983a2460d56088ad2367" ns2:_="" ns3:_="">
    <xsd:import namespace="http://schemas.microsoft.com/sharepoint/v3/fields"/>
    <xsd:import namespace="47eefe9a-f81e-47cf-b703-dc75e53a6b28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 minOccurs="0"/>
                <xsd:element ref="ns3:EC_Collab_Status" minOccurs="0"/>
                <xsd:element ref="ns3:Deadline" minOccurs="0"/>
                <xsd:element ref="ns3:Ares_x0020_number" minOccurs="0"/>
                <xsd:element ref="ns3:For" minOccurs="0"/>
                <xsd:element ref="ns3:Deadline_x0020_DIR" minOccurs="0"/>
                <xsd:element ref="ns3:CF" minOccurs="0"/>
                <xsd:element ref="ns3:ASOC" minOccurs="0"/>
                <xsd:element ref="ns3: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efe9a-f81e-47cf-b703-dc75e53a6b28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nillable="true" ma:displayName="Language" ma:default="EN" ma:format="Dropdow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nillable="true" ma:displayName="EC Status" ma:default="Not Started" ma:format="Dropdown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eadline" ma:index="16" nillable="true" ma:displayName="Deadline" ma:format="DateOnly" ma:internalName="Deadline">
      <xsd:simpleType>
        <xsd:restriction base="dms:DateTime"/>
      </xsd:simpleType>
    </xsd:element>
    <xsd:element name="Ares_x0020_number" ma:index="17" nillable="true" ma:displayName="Ares number" ma:internalName="Ares_x0020_number">
      <xsd:simpleType>
        <xsd:restriction base="dms:Text">
          <xsd:maxLength value="255"/>
        </xsd:restriction>
      </xsd:simpleType>
    </xsd:element>
    <xsd:element name="For" ma:index="18" nillable="true" ma:displayName="For" ma:default="COMMISSIONER" ma:format="RadioButtons" ma:internalName="For">
      <xsd:simpleType>
        <xsd:union memberTypes="dms:Text">
          <xsd:simpleType>
            <xsd:restriction base="dms:Choice">
              <xsd:enumeration value="PRESIDENT"/>
              <xsd:enumeration value="COMMISSIONER"/>
              <xsd:enumeration value="DIRECTOR-GENERAL"/>
              <xsd:enumeration value="DIRECTOR"/>
            </xsd:restriction>
          </xsd:simpleType>
        </xsd:union>
      </xsd:simpleType>
    </xsd:element>
    <xsd:element name="Deadline_x0020_DIR" ma:index="19" nillable="true" ma:displayName="Deadline DIR" ma:format="DateTime" ma:internalName="Deadline_x0020_DIR">
      <xsd:simpleType>
        <xsd:restriction base="dms:DateTime"/>
      </xsd:simpleType>
    </xsd:element>
    <xsd:element name="CF" ma:index="20" nillable="true" ma:displayName="CF" ma:default="B" ma:format="RadioButtons" ma:internalName="CF">
      <xsd:simpleType>
        <xsd:union memberTypes="dms:Text">
          <xsd:simpleType>
            <xsd:restriction base="dms:Choice">
              <xsd:enumeration value="B1"/>
              <xsd:enumeration value="B2"/>
              <xsd:enumeration value="B3"/>
              <xsd:enumeration value="A"/>
              <xsd:enumeration value="B"/>
              <xsd:enumeration value="C"/>
              <xsd:enumeration value="D"/>
              <xsd:enumeration value="EEAS"/>
            </xsd:restriction>
          </xsd:simpleType>
        </xsd:union>
      </xsd:simpleType>
    </xsd:element>
    <xsd:element name="ASOC" ma:index="21" nillable="true" ma:displayName="ASOC" ma:default="B" ma:format="RadioButtons" ma:internalName="ASOC">
      <xsd:simpleType>
        <xsd:union memberTypes="dms:Text">
          <xsd:simpleType>
            <xsd:restriction base="dms:Choice">
              <xsd:enumeration value="B1"/>
              <xsd:enumeration value="B2"/>
              <xsd:enumeration value="B3"/>
              <xsd:enumeration value="A"/>
              <xsd:enumeration value="B"/>
              <xsd:enumeration value="C"/>
              <xsd:enumeration value="D"/>
              <xsd:enumeration value="EEAS"/>
            </xsd:restriction>
          </xsd:simpleType>
        </xsd:union>
      </xsd:simpleType>
    </xsd:element>
    <xsd:element name="contact" ma:index="22" nillable="true" ma:displayName="contact" ma:list="UserInfo" ma:SharePointGroup="0" ma:internalName="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27E5A-34A0-48FD-8E53-BB635C018241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7eefe9a-f81e-47cf-b703-dc75e53a6b28"/>
    <ds:schemaRef ds:uri="http://www.w3.org/XML/1998/namespace"/>
    <ds:schemaRef ds:uri="http://schemas.microsoft.com/sharepoint/v3/field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0F9B9C0-FA3E-474C-84D6-1CEA028FC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47eefe9a-f81e-47cf-b703-dc75e53a6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7832E7-0601-423E-A185-6F5A5FA4BB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B54C0A-F9A2-4F4F-BE40-61E714CF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144</Words>
  <Characters>627</Characters>
  <Application>Microsoft Office Word</Application>
  <DocSecurity>0</DocSecurity>
  <Lines>156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Pozo Vera</dc:creator>
  <cp:lastModifiedBy>DIGIT/A3</cp:lastModifiedBy>
  <cp:revision>21</cp:revision>
  <cp:lastPrinted>2016-12-16T09:51:00Z</cp:lastPrinted>
  <dcterms:created xsi:type="dcterms:W3CDTF">2016-12-07T09:27:00Z</dcterms:created>
  <dcterms:modified xsi:type="dcterms:W3CDTF">2017-01-20T12:16:00Z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2</vt:lpwstr>
  </property>
  <property fmtid="{D5CDD505-2E9C-101B-9397-08002B2CF9AE}" pid="3" name="Last annex">
    <vt:lpwstr>2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Classification">
    <vt:lpwstr> </vt:lpwstr>
  </property>
  <property fmtid="{D5CDD505-2E9C-101B-9397-08002B2CF9AE}" pid="7" name="ContentTypeId">
    <vt:lpwstr>0x010100258AA79CEB83498886A3A0868112325000DB080E8D204D504794FE96D03734DA79</vt:lpwstr>
  </property>
  <property fmtid="{D5CDD505-2E9C-101B-9397-08002B2CF9AE}" pid="8" name="DocStatus">
    <vt:lpwstr>Green</vt:lpwstr>
  </property>
</Properties>
</file>