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alt="131413CBB93240C9A9759D1ECEC6001D" style="width:450.45pt;height:379.6pt">
            <v:imagedata r:id="rId11" o:title=""/>
          </v:shape>
        </w:pict>
      </w:r>
    </w:p>
    <w:bookmarkEnd w:id="0"/>
    <w:p>
      <w:pPr>
        <w:rPr>
          <w:noProof/>
        </w:rPr>
        <w:sectPr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jc w:val="center"/>
        <w:rPr>
          <w:b/>
          <w:noProof/>
        </w:rPr>
      </w:pPr>
      <w:bookmarkStart w:id="1" w:name="_GoBack"/>
      <w:bookmarkEnd w:id="1"/>
      <w:r>
        <w:rPr>
          <w:b/>
          <w:noProof/>
        </w:rPr>
        <w:lastRenderedPageBreak/>
        <w:t>Prilog 2.: Premještanja iz Italije do 6. prosinca 2016.</w:t>
      </w:r>
    </w:p>
    <w:p>
      <w:pPr>
        <w:jc w:val="center"/>
        <w:rPr>
          <w:b/>
          <w:noProof/>
        </w:rPr>
      </w:pP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5"/>
        <w:gridCol w:w="2351"/>
        <w:gridCol w:w="2407"/>
        <w:gridCol w:w="3261"/>
      </w:tblGrid>
      <w:tr>
        <w:trPr>
          <w:trHeight w:val="313"/>
          <w:tblHeader/>
          <w:jc w:val="center"/>
        </w:trPr>
        <w:tc>
          <w:tcPr>
            <w:tcW w:w="2295" w:type="dxa"/>
            <w:shd w:val="clear" w:color="auto" w:fill="C6D9F1" w:themeFill="text2" w:themeFillTint="33"/>
            <w:vAlign w:val="center"/>
          </w:tcPr>
          <w:p>
            <w:pPr>
              <w:jc w:val="center"/>
              <w:rPr>
                <w:b/>
                <w:noProof/>
                <w:color w:val="000000"/>
                <w:sz w:val="22"/>
              </w:rPr>
            </w:pPr>
          </w:p>
          <w:p>
            <w:pPr>
              <w:jc w:val="center"/>
              <w:rPr>
                <w:b/>
                <w:noProof/>
                <w:color w:val="000000"/>
                <w:sz w:val="22"/>
              </w:rPr>
            </w:pPr>
            <w:r>
              <w:rPr>
                <w:b/>
                <w:noProof/>
                <w:color w:val="000000"/>
                <w:sz w:val="22"/>
              </w:rPr>
              <w:t>Država članica</w:t>
            </w:r>
          </w:p>
        </w:tc>
        <w:tc>
          <w:tcPr>
            <w:tcW w:w="2351" w:type="dxa"/>
            <w:shd w:val="clear" w:color="auto" w:fill="C6D9F1" w:themeFill="text2" w:themeFillTint="33"/>
            <w:vAlign w:val="center"/>
          </w:tcPr>
          <w:p>
            <w:pPr>
              <w:jc w:val="center"/>
              <w:rPr>
                <w:b/>
                <w:noProof/>
                <w:color w:val="000000"/>
                <w:sz w:val="22"/>
              </w:rPr>
            </w:pPr>
            <w:r>
              <w:rPr>
                <w:b/>
                <w:noProof/>
                <w:color w:val="000000"/>
                <w:sz w:val="22"/>
              </w:rPr>
              <w:t>Broj službenih izjava o preuzimanju obveza</w:t>
            </w:r>
            <w:r>
              <w:rPr>
                <w:rStyle w:val="FootnoteReference"/>
                <w:b/>
                <w:noProof/>
                <w:color w:val="000000"/>
                <w:sz w:val="22"/>
              </w:rPr>
              <w:footnoteReference w:id="1"/>
            </w:r>
          </w:p>
        </w:tc>
        <w:tc>
          <w:tcPr>
            <w:tcW w:w="2407" w:type="dxa"/>
            <w:shd w:val="clear" w:color="auto" w:fill="C6D9F1" w:themeFill="text2" w:themeFillTint="33"/>
            <w:vAlign w:val="center"/>
          </w:tcPr>
          <w:p>
            <w:pPr>
              <w:jc w:val="center"/>
              <w:rPr>
                <w:b/>
                <w:noProof/>
                <w:color w:val="000000"/>
                <w:sz w:val="22"/>
              </w:rPr>
            </w:pPr>
          </w:p>
          <w:p>
            <w:pPr>
              <w:jc w:val="center"/>
              <w:rPr>
                <w:b/>
                <w:noProof/>
                <w:color w:val="000000"/>
                <w:sz w:val="22"/>
              </w:rPr>
            </w:pPr>
            <w:r>
              <w:rPr>
                <w:b/>
                <w:noProof/>
                <w:color w:val="000000"/>
                <w:sz w:val="22"/>
              </w:rPr>
              <w:t>Broj stvarno premještenih osoba</w:t>
            </w:r>
          </w:p>
        </w:tc>
        <w:tc>
          <w:tcPr>
            <w:tcW w:w="3261" w:type="dxa"/>
            <w:shd w:val="clear" w:color="auto" w:fill="EAF1DD" w:themeFill="accent3" w:themeFillTint="33"/>
            <w:vAlign w:val="center"/>
          </w:tcPr>
          <w:p>
            <w:pPr>
              <w:jc w:val="center"/>
              <w:rPr>
                <w:b/>
                <w:noProof/>
                <w:color w:val="000000"/>
                <w:sz w:val="22"/>
              </w:rPr>
            </w:pPr>
          </w:p>
          <w:p>
            <w:pPr>
              <w:jc w:val="center"/>
              <w:rPr>
                <w:b/>
                <w:noProof/>
                <w:color w:val="000000"/>
                <w:sz w:val="22"/>
              </w:rPr>
            </w:pPr>
            <w:r>
              <w:rPr>
                <w:b/>
                <w:noProof/>
                <w:color w:val="000000"/>
                <w:sz w:val="22"/>
              </w:rPr>
              <w:t>Obveza zakonski predviđena odlukama Vijeća</w:t>
            </w:r>
          </w:p>
          <w:p>
            <w:pPr>
              <w:jc w:val="center"/>
              <w:rPr>
                <w:b/>
                <w:noProof/>
                <w:color w:val="000000"/>
                <w:sz w:val="22"/>
              </w:rPr>
            </w:pPr>
          </w:p>
        </w:tc>
      </w:tr>
      <w:tr>
        <w:trPr>
          <w:trHeight w:val="313"/>
          <w:jc w:val="center"/>
        </w:trPr>
        <w:tc>
          <w:tcPr>
            <w:tcW w:w="2295" w:type="dxa"/>
            <w:shd w:val="clear" w:color="auto" w:fill="auto"/>
            <w:vAlign w:val="center"/>
            <w:hideMark/>
          </w:tcPr>
          <w:p>
            <w:pPr>
              <w:spacing w:after="120"/>
              <w:rPr>
                <w:b/>
                <w:noProof/>
                <w:color w:val="000000"/>
                <w:sz w:val="20"/>
                <w:szCs w:val="20"/>
              </w:rPr>
            </w:pPr>
            <w:r>
              <w:rPr>
                <w:b/>
                <w:noProof/>
                <w:color w:val="000000"/>
                <w:sz w:val="20"/>
              </w:rPr>
              <w:t>Austrija</w:t>
            </w:r>
            <w:r>
              <w:rPr>
                <w:rStyle w:val="FootnoteReference"/>
                <w:b/>
                <w:noProof/>
                <w:color w:val="000000"/>
                <w:sz w:val="20"/>
              </w:rPr>
              <w:footnoteReference w:id="2"/>
            </w:r>
          </w:p>
        </w:tc>
        <w:tc>
          <w:tcPr>
            <w:tcW w:w="2351" w:type="dxa"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07" w:type="dxa"/>
            <w:shd w:val="clear" w:color="auto" w:fill="auto"/>
            <w:vAlign w:val="center"/>
            <w:hideMark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EAF1DD" w:themeFill="accent3" w:themeFillTint="33"/>
          </w:tcPr>
          <w:p>
            <w:pPr>
              <w:spacing w:after="12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462</w:t>
            </w:r>
          </w:p>
        </w:tc>
      </w:tr>
      <w:tr>
        <w:trPr>
          <w:trHeight w:val="313"/>
          <w:jc w:val="center"/>
        </w:trPr>
        <w:tc>
          <w:tcPr>
            <w:tcW w:w="2295" w:type="dxa"/>
            <w:shd w:val="clear" w:color="auto" w:fill="auto"/>
            <w:vAlign w:val="center"/>
            <w:hideMark/>
          </w:tcPr>
          <w:p>
            <w:pPr>
              <w:spacing w:after="120"/>
              <w:rPr>
                <w:b/>
                <w:noProof/>
                <w:color w:val="000000"/>
                <w:sz w:val="20"/>
                <w:szCs w:val="20"/>
              </w:rPr>
            </w:pPr>
            <w:r>
              <w:rPr>
                <w:b/>
                <w:noProof/>
                <w:color w:val="000000"/>
                <w:sz w:val="20"/>
              </w:rPr>
              <w:t>Belgija</w:t>
            </w:r>
          </w:p>
        </w:tc>
        <w:tc>
          <w:tcPr>
            <w:tcW w:w="2351" w:type="dxa"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130</w:t>
            </w:r>
          </w:p>
        </w:tc>
        <w:tc>
          <w:tcPr>
            <w:tcW w:w="2407" w:type="dxa"/>
            <w:shd w:val="clear" w:color="auto" w:fill="auto"/>
            <w:vAlign w:val="center"/>
            <w:hideMark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29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>
            <w:pPr>
              <w:spacing w:after="12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1 397</w:t>
            </w:r>
          </w:p>
        </w:tc>
      </w:tr>
      <w:tr>
        <w:trPr>
          <w:trHeight w:val="313"/>
          <w:jc w:val="center"/>
        </w:trPr>
        <w:tc>
          <w:tcPr>
            <w:tcW w:w="2295" w:type="dxa"/>
            <w:shd w:val="clear" w:color="auto" w:fill="auto"/>
            <w:vAlign w:val="center"/>
            <w:hideMark/>
          </w:tcPr>
          <w:p>
            <w:pPr>
              <w:spacing w:after="120"/>
              <w:rPr>
                <w:b/>
                <w:noProof/>
                <w:color w:val="000000"/>
                <w:sz w:val="20"/>
                <w:szCs w:val="20"/>
              </w:rPr>
            </w:pPr>
            <w:r>
              <w:rPr>
                <w:b/>
                <w:noProof/>
                <w:color w:val="000000"/>
                <w:sz w:val="20"/>
              </w:rPr>
              <w:t>Bugarska</w:t>
            </w:r>
          </w:p>
        </w:tc>
        <w:tc>
          <w:tcPr>
            <w:tcW w:w="2351" w:type="dxa"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140</w:t>
            </w:r>
          </w:p>
        </w:tc>
        <w:tc>
          <w:tcPr>
            <w:tcW w:w="2407" w:type="dxa"/>
            <w:shd w:val="clear" w:color="auto" w:fill="auto"/>
            <w:vAlign w:val="center"/>
            <w:hideMark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EAF1DD" w:themeFill="accent3" w:themeFillTint="33"/>
          </w:tcPr>
          <w:p>
            <w:pPr>
              <w:spacing w:after="12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471</w:t>
            </w:r>
          </w:p>
        </w:tc>
      </w:tr>
      <w:tr>
        <w:trPr>
          <w:trHeight w:val="313"/>
          <w:jc w:val="center"/>
        </w:trPr>
        <w:tc>
          <w:tcPr>
            <w:tcW w:w="2295" w:type="dxa"/>
            <w:shd w:val="clear" w:color="auto" w:fill="auto"/>
            <w:vAlign w:val="center"/>
            <w:hideMark/>
          </w:tcPr>
          <w:p>
            <w:pPr>
              <w:spacing w:after="120"/>
              <w:rPr>
                <w:b/>
                <w:noProof/>
                <w:color w:val="000000"/>
                <w:sz w:val="20"/>
                <w:szCs w:val="20"/>
              </w:rPr>
            </w:pPr>
            <w:r>
              <w:rPr>
                <w:b/>
                <w:noProof/>
                <w:color w:val="000000"/>
                <w:sz w:val="20"/>
              </w:rPr>
              <w:t>Hrvatska</w:t>
            </w:r>
          </w:p>
        </w:tc>
        <w:tc>
          <w:tcPr>
            <w:tcW w:w="2351" w:type="dxa"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16</w:t>
            </w:r>
          </w:p>
        </w:tc>
        <w:tc>
          <w:tcPr>
            <w:tcW w:w="2407" w:type="dxa"/>
            <w:shd w:val="clear" w:color="auto" w:fill="auto"/>
            <w:vAlign w:val="center"/>
            <w:hideMark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9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>
            <w:pPr>
              <w:spacing w:after="12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374</w:t>
            </w:r>
          </w:p>
        </w:tc>
      </w:tr>
      <w:tr>
        <w:trPr>
          <w:trHeight w:val="357"/>
          <w:jc w:val="center"/>
        </w:trPr>
        <w:tc>
          <w:tcPr>
            <w:tcW w:w="2295" w:type="dxa"/>
            <w:shd w:val="clear" w:color="auto" w:fill="auto"/>
            <w:vAlign w:val="center"/>
            <w:hideMark/>
          </w:tcPr>
          <w:p>
            <w:pPr>
              <w:spacing w:after="120"/>
              <w:rPr>
                <w:b/>
                <w:noProof/>
                <w:color w:val="000000"/>
                <w:sz w:val="20"/>
                <w:szCs w:val="20"/>
              </w:rPr>
            </w:pPr>
            <w:r>
              <w:rPr>
                <w:b/>
                <w:noProof/>
                <w:color w:val="000000"/>
                <w:sz w:val="20"/>
              </w:rPr>
              <w:t>Cipar</w:t>
            </w:r>
          </w:p>
        </w:tc>
        <w:tc>
          <w:tcPr>
            <w:tcW w:w="2351" w:type="dxa"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45</w:t>
            </w:r>
          </w:p>
        </w:tc>
        <w:tc>
          <w:tcPr>
            <w:tcW w:w="2407" w:type="dxa"/>
            <w:shd w:val="clear" w:color="auto" w:fill="auto"/>
            <w:vAlign w:val="center"/>
            <w:hideMark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10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>
            <w:pPr>
              <w:spacing w:after="12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139</w:t>
            </w:r>
          </w:p>
        </w:tc>
      </w:tr>
      <w:tr>
        <w:trPr>
          <w:trHeight w:val="357"/>
          <w:jc w:val="center"/>
        </w:trPr>
        <w:tc>
          <w:tcPr>
            <w:tcW w:w="2295" w:type="dxa"/>
            <w:shd w:val="clear" w:color="auto" w:fill="auto"/>
            <w:vAlign w:val="center"/>
            <w:hideMark/>
          </w:tcPr>
          <w:p>
            <w:pPr>
              <w:spacing w:after="120"/>
              <w:rPr>
                <w:b/>
                <w:noProof/>
                <w:color w:val="000000"/>
                <w:sz w:val="20"/>
                <w:szCs w:val="20"/>
              </w:rPr>
            </w:pPr>
            <w:r>
              <w:rPr>
                <w:b/>
                <w:noProof/>
                <w:color w:val="000000"/>
                <w:sz w:val="20"/>
              </w:rPr>
              <w:t>Češka</w:t>
            </w:r>
          </w:p>
        </w:tc>
        <w:tc>
          <w:tcPr>
            <w:tcW w:w="2351" w:type="dxa"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20</w:t>
            </w:r>
          </w:p>
        </w:tc>
        <w:tc>
          <w:tcPr>
            <w:tcW w:w="2407" w:type="dxa"/>
            <w:shd w:val="clear" w:color="auto" w:fill="auto"/>
            <w:vAlign w:val="center"/>
            <w:hideMark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EAF1DD" w:themeFill="accent3" w:themeFillTint="33"/>
          </w:tcPr>
          <w:p>
            <w:pPr>
              <w:spacing w:after="12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1 036</w:t>
            </w:r>
          </w:p>
        </w:tc>
      </w:tr>
      <w:tr>
        <w:trPr>
          <w:trHeight w:val="357"/>
          <w:jc w:val="center"/>
        </w:trPr>
        <w:tc>
          <w:tcPr>
            <w:tcW w:w="2295" w:type="dxa"/>
            <w:shd w:val="clear" w:color="auto" w:fill="auto"/>
            <w:vAlign w:val="center"/>
            <w:hideMark/>
          </w:tcPr>
          <w:p>
            <w:pPr>
              <w:spacing w:after="120"/>
              <w:rPr>
                <w:b/>
                <w:noProof/>
                <w:color w:val="000000"/>
                <w:sz w:val="20"/>
                <w:szCs w:val="20"/>
              </w:rPr>
            </w:pPr>
            <w:r>
              <w:rPr>
                <w:b/>
                <w:noProof/>
                <w:color w:val="000000"/>
                <w:sz w:val="20"/>
              </w:rPr>
              <w:t>Estonija</w:t>
            </w:r>
          </w:p>
        </w:tc>
        <w:tc>
          <w:tcPr>
            <w:tcW w:w="2351" w:type="dxa"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8</w:t>
            </w:r>
          </w:p>
        </w:tc>
        <w:tc>
          <w:tcPr>
            <w:tcW w:w="2407" w:type="dxa"/>
            <w:shd w:val="clear" w:color="auto" w:fill="auto"/>
            <w:vAlign w:val="center"/>
            <w:hideMark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EAF1DD" w:themeFill="accent3" w:themeFillTint="33"/>
          </w:tcPr>
          <w:p>
            <w:pPr>
              <w:spacing w:after="12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125</w:t>
            </w:r>
          </w:p>
        </w:tc>
      </w:tr>
      <w:tr>
        <w:trPr>
          <w:trHeight w:val="313"/>
          <w:jc w:val="center"/>
        </w:trPr>
        <w:tc>
          <w:tcPr>
            <w:tcW w:w="2295" w:type="dxa"/>
            <w:shd w:val="clear" w:color="auto" w:fill="auto"/>
            <w:vAlign w:val="center"/>
            <w:hideMark/>
          </w:tcPr>
          <w:p>
            <w:pPr>
              <w:spacing w:after="120"/>
              <w:rPr>
                <w:b/>
                <w:noProof/>
                <w:color w:val="000000"/>
                <w:sz w:val="20"/>
                <w:szCs w:val="20"/>
              </w:rPr>
            </w:pPr>
            <w:r>
              <w:rPr>
                <w:b/>
                <w:noProof/>
                <w:color w:val="000000"/>
                <w:sz w:val="20"/>
              </w:rPr>
              <w:t>Finska</w:t>
            </w:r>
          </w:p>
        </w:tc>
        <w:tc>
          <w:tcPr>
            <w:tcW w:w="2351" w:type="dxa"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530</w:t>
            </w:r>
          </w:p>
        </w:tc>
        <w:tc>
          <w:tcPr>
            <w:tcW w:w="2407" w:type="dxa"/>
            <w:shd w:val="clear" w:color="auto" w:fill="auto"/>
            <w:vAlign w:val="center"/>
            <w:hideMark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359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>
            <w:pPr>
              <w:spacing w:after="12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779</w:t>
            </w:r>
          </w:p>
        </w:tc>
      </w:tr>
      <w:tr>
        <w:trPr>
          <w:trHeight w:val="313"/>
          <w:jc w:val="center"/>
        </w:trPr>
        <w:tc>
          <w:tcPr>
            <w:tcW w:w="2295" w:type="dxa"/>
            <w:shd w:val="clear" w:color="auto" w:fill="auto"/>
            <w:vAlign w:val="center"/>
            <w:hideMark/>
          </w:tcPr>
          <w:p>
            <w:pPr>
              <w:spacing w:after="120"/>
              <w:rPr>
                <w:b/>
                <w:noProof/>
                <w:color w:val="000000"/>
                <w:sz w:val="20"/>
                <w:szCs w:val="20"/>
              </w:rPr>
            </w:pPr>
            <w:r>
              <w:rPr>
                <w:b/>
                <w:noProof/>
                <w:color w:val="000000"/>
                <w:sz w:val="20"/>
              </w:rPr>
              <w:t>Francuska</w:t>
            </w:r>
          </w:p>
        </w:tc>
        <w:tc>
          <w:tcPr>
            <w:tcW w:w="2351" w:type="dxa"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350</w:t>
            </w:r>
          </w:p>
        </w:tc>
        <w:tc>
          <w:tcPr>
            <w:tcW w:w="2407" w:type="dxa"/>
            <w:shd w:val="clear" w:color="auto" w:fill="auto"/>
            <w:vAlign w:val="center"/>
            <w:hideMark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282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>
            <w:pPr>
              <w:spacing w:after="12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7 115</w:t>
            </w:r>
          </w:p>
        </w:tc>
      </w:tr>
      <w:tr>
        <w:trPr>
          <w:trHeight w:val="313"/>
          <w:jc w:val="center"/>
        </w:trPr>
        <w:tc>
          <w:tcPr>
            <w:tcW w:w="2295" w:type="dxa"/>
            <w:shd w:val="clear" w:color="auto" w:fill="auto"/>
            <w:vAlign w:val="center"/>
            <w:hideMark/>
          </w:tcPr>
          <w:p>
            <w:pPr>
              <w:spacing w:after="120"/>
              <w:rPr>
                <w:b/>
                <w:noProof/>
                <w:color w:val="000000"/>
                <w:sz w:val="20"/>
                <w:szCs w:val="20"/>
              </w:rPr>
            </w:pPr>
            <w:r>
              <w:rPr>
                <w:b/>
                <w:noProof/>
                <w:color w:val="000000"/>
                <w:sz w:val="20"/>
              </w:rPr>
              <w:t>Njemačka</w:t>
            </w:r>
          </w:p>
        </w:tc>
        <w:tc>
          <w:tcPr>
            <w:tcW w:w="2351" w:type="dxa"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1 510</w:t>
            </w:r>
          </w:p>
        </w:tc>
        <w:tc>
          <w:tcPr>
            <w:tcW w:w="2407" w:type="dxa"/>
            <w:shd w:val="clear" w:color="auto" w:fill="auto"/>
            <w:vAlign w:val="center"/>
            <w:hideMark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207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>
            <w:pPr>
              <w:spacing w:after="12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10 327</w:t>
            </w:r>
          </w:p>
        </w:tc>
      </w:tr>
      <w:tr>
        <w:trPr>
          <w:trHeight w:val="313"/>
          <w:jc w:val="center"/>
        </w:trPr>
        <w:tc>
          <w:tcPr>
            <w:tcW w:w="2295" w:type="dxa"/>
            <w:shd w:val="clear" w:color="auto" w:fill="auto"/>
            <w:vAlign w:val="center"/>
            <w:hideMark/>
          </w:tcPr>
          <w:p>
            <w:pPr>
              <w:spacing w:after="120"/>
              <w:rPr>
                <w:b/>
                <w:noProof/>
                <w:color w:val="000000"/>
                <w:sz w:val="20"/>
                <w:szCs w:val="20"/>
              </w:rPr>
            </w:pPr>
            <w:r>
              <w:rPr>
                <w:b/>
                <w:noProof/>
                <w:color w:val="000000"/>
                <w:sz w:val="20"/>
              </w:rPr>
              <w:t>Mađarska</w:t>
            </w:r>
          </w:p>
        </w:tc>
        <w:tc>
          <w:tcPr>
            <w:tcW w:w="2351" w:type="dxa"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07" w:type="dxa"/>
            <w:shd w:val="clear" w:color="auto" w:fill="auto"/>
            <w:vAlign w:val="center"/>
            <w:hideMark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EAF1DD" w:themeFill="accent3" w:themeFillTint="33"/>
          </w:tcPr>
          <w:p>
            <w:pPr>
              <w:spacing w:after="12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306</w:t>
            </w:r>
          </w:p>
        </w:tc>
      </w:tr>
      <w:tr>
        <w:trPr>
          <w:trHeight w:val="313"/>
          <w:jc w:val="center"/>
        </w:trPr>
        <w:tc>
          <w:tcPr>
            <w:tcW w:w="2295" w:type="dxa"/>
            <w:shd w:val="clear" w:color="auto" w:fill="auto"/>
            <w:vAlign w:val="center"/>
          </w:tcPr>
          <w:p>
            <w:pPr>
              <w:spacing w:after="120"/>
              <w:rPr>
                <w:b/>
                <w:i/>
                <w:noProof/>
                <w:color w:val="000000"/>
                <w:sz w:val="20"/>
                <w:szCs w:val="20"/>
              </w:rPr>
            </w:pPr>
            <w:r>
              <w:rPr>
                <w:b/>
                <w:i/>
                <w:noProof/>
                <w:color w:val="000000"/>
                <w:sz w:val="20"/>
              </w:rPr>
              <w:t>Island</w:t>
            </w:r>
          </w:p>
        </w:tc>
        <w:tc>
          <w:tcPr>
            <w:tcW w:w="2351" w:type="dxa"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07" w:type="dxa"/>
            <w:shd w:val="clear" w:color="auto" w:fill="auto"/>
            <w:vAlign w:val="center"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EAF1DD" w:themeFill="accent3" w:themeFillTint="33"/>
          </w:tcPr>
          <w:p>
            <w:pPr>
              <w:spacing w:after="120"/>
              <w:jc w:val="center"/>
              <w:rPr>
                <w:noProof/>
                <w:sz w:val="20"/>
                <w:szCs w:val="20"/>
              </w:rPr>
            </w:pPr>
          </w:p>
        </w:tc>
      </w:tr>
      <w:tr>
        <w:trPr>
          <w:trHeight w:val="313"/>
          <w:jc w:val="center"/>
        </w:trPr>
        <w:tc>
          <w:tcPr>
            <w:tcW w:w="2295" w:type="dxa"/>
            <w:shd w:val="clear" w:color="auto" w:fill="auto"/>
            <w:vAlign w:val="center"/>
            <w:hideMark/>
          </w:tcPr>
          <w:p>
            <w:pPr>
              <w:spacing w:after="120"/>
              <w:rPr>
                <w:b/>
                <w:noProof/>
                <w:color w:val="000000"/>
                <w:sz w:val="20"/>
                <w:szCs w:val="20"/>
              </w:rPr>
            </w:pPr>
            <w:r>
              <w:rPr>
                <w:b/>
                <w:noProof/>
                <w:color w:val="000000"/>
                <w:sz w:val="20"/>
              </w:rPr>
              <w:t>Irska</w:t>
            </w:r>
          </w:p>
        </w:tc>
        <w:tc>
          <w:tcPr>
            <w:tcW w:w="2351" w:type="dxa"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20</w:t>
            </w:r>
          </w:p>
        </w:tc>
        <w:tc>
          <w:tcPr>
            <w:tcW w:w="2407" w:type="dxa"/>
            <w:shd w:val="clear" w:color="auto" w:fill="auto"/>
            <w:vAlign w:val="center"/>
            <w:hideMark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EAF1DD" w:themeFill="accent3" w:themeFillTint="33"/>
          </w:tcPr>
          <w:p>
            <w:pPr>
              <w:spacing w:after="12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360</w:t>
            </w:r>
          </w:p>
        </w:tc>
      </w:tr>
      <w:tr>
        <w:trPr>
          <w:trHeight w:val="313"/>
          <w:jc w:val="center"/>
        </w:trPr>
        <w:tc>
          <w:tcPr>
            <w:tcW w:w="2295" w:type="dxa"/>
            <w:shd w:val="clear" w:color="auto" w:fill="auto"/>
            <w:vAlign w:val="center"/>
            <w:hideMark/>
          </w:tcPr>
          <w:p>
            <w:pPr>
              <w:spacing w:after="120"/>
              <w:rPr>
                <w:b/>
                <w:noProof/>
                <w:color w:val="000000"/>
                <w:sz w:val="20"/>
                <w:szCs w:val="20"/>
              </w:rPr>
            </w:pPr>
            <w:r>
              <w:rPr>
                <w:b/>
                <w:noProof/>
                <w:color w:val="000000"/>
                <w:sz w:val="20"/>
              </w:rPr>
              <w:t>Latvija</w:t>
            </w:r>
          </w:p>
        </w:tc>
        <w:tc>
          <w:tcPr>
            <w:tcW w:w="2351" w:type="dxa"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75</w:t>
            </w:r>
          </w:p>
        </w:tc>
        <w:tc>
          <w:tcPr>
            <w:tcW w:w="2407" w:type="dxa"/>
            <w:shd w:val="clear" w:color="auto" w:fill="auto"/>
            <w:vAlign w:val="center"/>
            <w:hideMark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8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>
            <w:pPr>
              <w:spacing w:after="12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186</w:t>
            </w:r>
          </w:p>
        </w:tc>
      </w:tr>
      <w:tr>
        <w:trPr>
          <w:trHeight w:val="313"/>
          <w:jc w:val="center"/>
        </w:trPr>
        <w:tc>
          <w:tcPr>
            <w:tcW w:w="2295" w:type="dxa"/>
            <w:shd w:val="clear" w:color="auto" w:fill="auto"/>
            <w:vAlign w:val="center"/>
          </w:tcPr>
          <w:p>
            <w:pPr>
              <w:spacing w:after="120"/>
              <w:rPr>
                <w:b/>
                <w:i/>
                <w:noProof/>
                <w:color w:val="000000"/>
                <w:sz w:val="20"/>
                <w:szCs w:val="20"/>
              </w:rPr>
            </w:pPr>
            <w:r>
              <w:rPr>
                <w:b/>
                <w:i/>
                <w:noProof/>
                <w:color w:val="000000"/>
                <w:sz w:val="20"/>
              </w:rPr>
              <w:t>Lihtenštajn</w:t>
            </w:r>
          </w:p>
        </w:tc>
        <w:tc>
          <w:tcPr>
            <w:tcW w:w="2351" w:type="dxa"/>
          </w:tcPr>
          <w:p>
            <w:pPr>
              <w:spacing w:after="120"/>
              <w:jc w:val="center"/>
              <w:rPr>
                <w:i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07" w:type="dxa"/>
            <w:shd w:val="clear" w:color="auto" w:fill="auto"/>
            <w:vAlign w:val="center"/>
          </w:tcPr>
          <w:p>
            <w:pPr>
              <w:spacing w:after="120"/>
              <w:jc w:val="center"/>
              <w:rPr>
                <w:i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EAF1DD" w:themeFill="accent3" w:themeFillTint="33"/>
          </w:tcPr>
          <w:p>
            <w:pPr>
              <w:spacing w:after="120"/>
              <w:jc w:val="center"/>
              <w:rPr>
                <w:i/>
                <w:noProof/>
                <w:sz w:val="20"/>
                <w:szCs w:val="20"/>
              </w:rPr>
            </w:pPr>
          </w:p>
        </w:tc>
      </w:tr>
      <w:tr>
        <w:trPr>
          <w:trHeight w:val="313"/>
          <w:jc w:val="center"/>
        </w:trPr>
        <w:tc>
          <w:tcPr>
            <w:tcW w:w="2295" w:type="dxa"/>
            <w:shd w:val="clear" w:color="auto" w:fill="auto"/>
            <w:vAlign w:val="center"/>
            <w:hideMark/>
          </w:tcPr>
          <w:p>
            <w:pPr>
              <w:spacing w:after="120"/>
              <w:rPr>
                <w:b/>
                <w:noProof/>
                <w:color w:val="000000"/>
                <w:sz w:val="20"/>
                <w:szCs w:val="20"/>
              </w:rPr>
            </w:pPr>
            <w:r>
              <w:rPr>
                <w:b/>
                <w:noProof/>
                <w:color w:val="000000"/>
                <w:sz w:val="20"/>
              </w:rPr>
              <w:t>Litva</w:t>
            </w:r>
          </w:p>
        </w:tc>
        <w:tc>
          <w:tcPr>
            <w:tcW w:w="2351" w:type="dxa"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60</w:t>
            </w:r>
          </w:p>
        </w:tc>
        <w:tc>
          <w:tcPr>
            <w:tcW w:w="2407" w:type="dxa"/>
            <w:shd w:val="clear" w:color="auto" w:fill="auto"/>
            <w:vAlign w:val="center"/>
            <w:hideMark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EAF1DD" w:themeFill="accent3" w:themeFillTint="33"/>
          </w:tcPr>
          <w:p>
            <w:pPr>
              <w:spacing w:after="12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251</w:t>
            </w:r>
          </w:p>
        </w:tc>
      </w:tr>
      <w:tr>
        <w:trPr>
          <w:trHeight w:val="313"/>
          <w:jc w:val="center"/>
        </w:trPr>
        <w:tc>
          <w:tcPr>
            <w:tcW w:w="2295" w:type="dxa"/>
            <w:shd w:val="clear" w:color="auto" w:fill="auto"/>
            <w:vAlign w:val="center"/>
            <w:hideMark/>
          </w:tcPr>
          <w:p>
            <w:pPr>
              <w:spacing w:after="120"/>
              <w:rPr>
                <w:b/>
                <w:noProof/>
                <w:color w:val="000000"/>
                <w:sz w:val="20"/>
                <w:szCs w:val="20"/>
              </w:rPr>
            </w:pPr>
            <w:r>
              <w:rPr>
                <w:b/>
                <w:noProof/>
                <w:color w:val="000000"/>
                <w:sz w:val="20"/>
              </w:rPr>
              <w:t>Luksemburg</w:t>
            </w:r>
          </w:p>
        </w:tc>
        <w:tc>
          <w:tcPr>
            <w:tcW w:w="2351" w:type="dxa"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60</w:t>
            </w:r>
          </w:p>
        </w:tc>
        <w:tc>
          <w:tcPr>
            <w:tcW w:w="2407" w:type="dxa"/>
            <w:shd w:val="clear" w:color="auto" w:fill="auto"/>
            <w:vAlign w:val="center"/>
            <w:hideMark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40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>
            <w:pPr>
              <w:spacing w:after="12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248</w:t>
            </w:r>
          </w:p>
        </w:tc>
      </w:tr>
      <w:tr>
        <w:trPr>
          <w:trHeight w:val="313"/>
          <w:jc w:val="center"/>
        </w:trPr>
        <w:tc>
          <w:tcPr>
            <w:tcW w:w="2295" w:type="dxa"/>
            <w:shd w:val="clear" w:color="auto" w:fill="auto"/>
            <w:vAlign w:val="center"/>
            <w:hideMark/>
          </w:tcPr>
          <w:p>
            <w:pPr>
              <w:spacing w:after="120"/>
              <w:rPr>
                <w:b/>
                <w:noProof/>
                <w:color w:val="000000"/>
                <w:sz w:val="20"/>
                <w:szCs w:val="20"/>
              </w:rPr>
            </w:pPr>
            <w:r>
              <w:rPr>
                <w:b/>
                <w:noProof/>
                <w:color w:val="000000"/>
                <w:sz w:val="20"/>
              </w:rPr>
              <w:t>Malta</w:t>
            </w:r>
          </w:p>
        </w:tc>
        <w:tc>
          <w:tcPr>
            <w:tcW w:w="2351" w:type="dxa"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47</w:t>
            </w:r>
          </w:p>
        </w:tc>
        <w:tc>
          <w:tcPr>
            <w:tcW w:w="2407" w:type="dxa"/>
            <w:shd w:val="clear" w:color="auto" w:fill="auto"/>
            <w:vAlign w:val="center"/>
            <w:hideMark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46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>
            <w:pPr>
              <w:spacing w:after="12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53</w:t>
            </w:r>
          </w:p>
        </w:tc>
      </w:tr>
      <w:tr>
        <w:trPr>
          <w:trHeight w:val="313"/>
          <w:jc w:val="center"/>
        </w:trPr>
        <w:tc>
          <w:tcPr>
            <w:tcW w:w="2295" w:type="dxa"/>
            <w:shd w:val="clear" w:color="auto" w:fill="auto"/>
            <w:vAlign w:val="center"/>
            <w:hideMark/>
          </w:tcPr>
          <w:p>
            <w:pPr>
              <w:spacing w:after="120"/>
              <w:rPr>
                <w:b/>
                <w:noProof/>
                <w:color w:val="000000"/>
                <w:sz w:val="20"/>
                <w:szCs w:val="20"/>
              </w:rPr>
            </w:pPr>
            <w:r>
              <w:rPr>
                <w:b/>
                <w:noProof/>
                <w:color w:val="000000"/>
                <w:sz w:val="20"/>
              </w:rPr>
              <w:t>Nizozemska</w:t>
            </w:r>
          </w:p>
        </w:tc>
        <w:tc>
          <w:tcPr>
            <w:tcW w:w="2351" w:type="dxa"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425</w:t>
            </w:r>
          </w:p>
        </w:tc>
        <w:tc>
          <w:tcPr>
            <w:tcW w:w="2407" w:type="dxa"/>
            <w:shd w:val="clear" w:color="auto" w:fill="auto"/>
            <w:vAlign w:val="center"/>
            <w:hideMark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331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>
            <w:pPr>
              <w:spacing w:after="12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2 150</w:t>
            </w:r>
          </w:p>
        </w:tc>
      </w:tr>
      <w:tr>
        <w:trPr>
          <w:trHeight w:val="313"/>
          <w:jc w:val="center"/>
        </w:trPr>
        <w:tc>
          <w:tcPr>
            <w:tcW w:w="2295" w:type="dxa"/>
            <w:shd w:val="clear" w:color="auto" w:fill="auto"/>
            <w:vAlign w:val="center"/>
          </w:tcPr>
          <w:p>
            <w:pPr>
              <w:spacing w:after="120"/>
              <w:rPr>
                <w:b/>
                <w:i/>
                <w:noProof/>
                <w:color w:val="000000"/>
                <w:sz w:val="20"/>
                <w:szCs w:val="20"/>
              </w:rPr>
            </w:pPr>
            <w:r>
              <w:rPr>
                <w:b/>
                <w:i/>
                <w:noProof/>
                <w:color w:val="000000"/>
                <w:sz w:val="20"/>
              </w:rPr>
              <w:t>Norveška</w:t>
            </w:r>
          </w:p>
        </w:tc>
        <w:tc>
          <w:tcPr>
            <w:tcW w:w="2351" w:type="dxa"/>
          </w:tcPr>
          <w:p>
            <w:pPr>
              <w:spacing w:after="120"/>
              <w:jc w:val="center"/>
              <w:rPr>
                <w:i/>
                <w:noProof/>
                <w:color w:val="000000"/>
                <w:sz w:val="20"/>
                <w:szCs w:val="20"/>
              </w:rPr>
            </w:pPr>
            <w:r>
              <w:rPr>
                <w:i/>
                <w:noProof/>
                <w:color w:val="000000"/>
                <w:sz w:val="20"/>
              </w:rPr>
              <w:t>440</w:t>
            </w:r>
          </w:p>
        </w:tc>
        <w:tc>
          <w:tcPr>
            <w:tcW w:w="2407" w:type="dxa"/>
            <w:shd w:val="clear" w:color="auto" w:fill="auto"/>
            <w:vAlign w:val="center"/>
          </w:tcPr>
          <w:p>
            <w:pPr>
              <w:spacing w:after="120"/>
              <w:jc w:val="center"/>
              <w:rPr>
                <w:i/>
                <w:noProof/>
                <w:color w:val="000000"/>
                <w:sz w:val="20"/>
                <w:szCs w:val="20"/>
              </w:rPr>
            </w:pPr>
            <w:r>
              <w:rPr>
                <w:i/>
                <w:noProof/>
                <w:color w:val="000000"/>
                <w:sz w:val="20"/>
              </w:rPr>
              <w:t>80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>
            <w:pPr>
              <w:spacing w:after="120"/>
              <w:jc w:val="center"/>
              <w:rPr>
                <w:i/>
                <w:noProof/>
                <w:sz w:val="20"/>
                <w:szCs w:val="20"/>
              </w:rPr>
            </w:pPr>
          </w:p>
        </w:tc>
      </w:tr>
      <w:tr>
        <w:trPr>
          <w:trHeight w:val="313"/>
          <w:jc w:val="center"/>
        </w:trPr>
        <w:tc>
          <w:tcPr>
            <w:tcW w:w="2295" w:type="dxa"/>
            <w:shd w:val="clear" w:color="auto" w:fill="auto"/>
            <w:vAlign w:val="center"/>
            <w:hideMark/>
          </w:tcPr>
          <w:p>
            <w:pPr>
              <w:spacing w:after="120"/>
              <w:rPr>
                <w:b/>
                <w:noProof/>
                <w:color w:val="000000"/>
                <w:sz w:val="20"/>
                <w:szCs w:val="20"/>
              </w:rPr>
            </w:pPr>
            <w:r>
              <w:rPr>
                <w:b/>
                <w:noProof/>
                <w:color w:val="000000"/>
                <w:sz w:val="20"/>
              </w:rPr>
              <w:t>Poljska</w:t>
            </w:r>
          </w:p>
        </w:tc>
        <w:tc>
          <w:tcPr>
            <w:tcW w:w="2351" w:type="dxa"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35</w:t>
            </w:r>
          </w:p>
        </w:tc>
        <w:tc>
          <w:tcPr>
            <w:tcW w:w="2407" w:type="dxa"/>
            <w:shd w:val="clear" w:color="auto" w:fill="auto"/>
            <w:vAlign w:val="center"/>
            <w:hideMark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EAF1DD" w:themeFill="accent3" w:themeFillTint="33"/>
          </w:tcPr>
          <w:p>
            <w:pPr>
              <w:spacing w:after="12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1 861</w:t>
            </w:r>
          </w:p>
        </w:tc>
      </w:tr>
      <w:tr>
        <w:trPr>
          <w:trHeight w:val="313"/>
          <w:jc w:val="center"/>
        </w:trPr>
        <w:tc>
          <w:tcPr>
            <w:tcW w:w="2295" w:type="dxa"/>
            <w:shd w:val="clear" w:color="auto" w:fill="auto"/>
            <w:vAlign w:val="center"/>
            <w:hideMark/>
          </w:tcPr>
          <w:p>
            <w:pPr>
              <w:spacing w:after="120"/>
              <w:rPr>
                <w:b/>
                <w:noProof/>
                <w:color w:val="000000"/>
                <w:sz w:val="20"/>
                <w:szCs w:val="20"/>
              </w:rPr>
            </w:pPr>
            <w:r>
              <w:rPr>
                <w:b/>
                <w:noProof/>
                <w:color w:val="000000"/>
                <w:sz w:val="20"/>
              </w:rPr>
              <w:t>Portugal</w:t>
            </w:r>
          </w:p>
        </w:tc>
        <w:tc>
          <w:tcPr>
            <w:tcW w:w="2351" w:type="dxa"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388</w:t>
            </w:r>
          </w:p>
        </w:tc>
        <w:tc>
          <w:tcPr>
            <w:tcW w:w="2407" w:type="dxa"/>
            <w:shd w:val="clear" w:color="auto" w:fill="auto"/>
            <w:vAlign w:val="center"/>
            <w:hideMark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261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>
            <w:pPr>
              <w:spacing w:after="12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1 173</w:t>
            </w:r>
          </w:p>
        </w:tc>
      </w:tr>
      <w:tr>
        <w:trPr>
          <w:trHeight w:val="313"/>
          <w:jc w:val="center"/>
        </w:trPr>
        <w:tc>
          <w:tcPr>
            <w:tcW w:w="2295" w:type="dxa"/>
            <w:shd w:val="clear" w:color="auto" w:fill="auto"/>
            <w:vAlign w:val="center"/>
            <w:hideMark/>
          </w:tcPr>
          <w:p>
            <w:pPr>
              <w:spacing w:after="120"/>
              <w:rPr>
                <w:b/>
                <w:noProof/>
                <w:color w:val="000000"/>
                <w:sz w:val="20"/>
                <w:szCs w:val="20"/>
              </w:rPr>
            </w:pPr>
            <w:r>
              <w:rPr>
                <w:b/>
                <w:noProof/>
                <w:color w:val="000000"/>
                <w:sz w:val="20"/>
              </w:rPr>
              <w:t>Rumunjska</w:t>
            </w:r>
          </w:p>
        </w:tc>
        <w:tc>
          <w:tcPr>
            <w:tcW w:w="2351" w:type="dxa"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680</w:t>
            </w:r>
          </w:p>
        </w:tc>
        <w:tc>
          <w:tcPr>
            <w:tcW w:w="2407" w:type="dxa"/>
            <w:shd w:val="clear" w:color="auto" w:fill="auto"/>
            <w:vAlign w:val="center"/>
            <w:hideMark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43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>
            <w:pPr>
              <w:spacing w:after="12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1 608</w:t>
            </w:r>
          </w:p>
        </w:tc>
      </w:tr>
      <w:tr>
        <w:trPr>
          <w:trHeight w:val="313"/>
          <w:jc w:val="center"/>
        </w:trPr>
        <w:tc>
          <w:tcPr>
            <w:tcW w:w="2295" w:type="dxa"/>
            <w:shd w:val="clear" w:color="auto" w:fill="auto"/>
            <w:vAlign w:val="center"/>
            <w:hideMark/>
          </w:tcPr>
          <w:p>
            <w:pPr>
              <w:spacing w:after="120"/>
              <w:rPr>
                <w:b/>
                <w:noProof/>
                <w:color w:val="000000"/>
                <w:sz w:val="20"/>
                <w:szCs w:val="20"/>
              </w:rPr>
            </w:pPr>
            <w:r>
              <w:rPr>
                <w:b/>
                <w:noProof/>
                <w:color w:val="000000"/>
                <w:sz w:val="20"/>
              </w:rPr>
              <w:t>Slovačka</w:t>
            </w:r>
          </w:p>
        </w:tc>
        <w:tc>
          <w:tcPr>
            <w:tcW w:w="2351" w:type="dxa"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07" w:type="dxa"/>
            <w:shd w:val="clear" w:color="auto" w:fill="auto"/>
            <w:vAlign w:val="center"/>
            <w:hideMark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EAF1DD" w:themeFill="accent3" w:themeFillTint="33"/>
          </w:tcPr>
          <w:p>
            <w:pPr>
              <w:spacing w:after="12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250</w:t>
            </w:r>
          </w:p>
        </w:tc>
      </w:tr>
      <w:tr>
        <w:trPr>
          <w:trHeight w:val="313"/>
          <w:jc w:val="center"/>
        </w:trPr>
        <w:tc>
          <w:tcPr>
            <w:tcW w:w="2295" w:type="dxa"/>
            <w:shd w:val="clear" w:color="auto" w:fill="auto"/>
            <w:vAlign w:val="center"/>
            <w:hideMark/>
          </w:tcPr>
          <w:p>
            <w:pPr>
              <w:spacing w:after="120"/>
              <w:rPr>
                <w:b/>
                <w:noProof/>
                <w:color w:val="000000"/>
                <w:sz w:val="20"/>
                <w:szCs w:val="20"/>
              </w:rPr>
            </w:pPr>
            <w:r>
              <w:rPr>
                <w:b/>
                <w:noProof/>
                <w:color w:val="000000"/>
                <w:sz w:val="20"/>
              </w:rPr>
              <w:t>Slovenija</w:t>
            </w:r>
          </w:p>
        </w:tc>
        <w:tc>
          <w:tcPr>
            <w:tcW w:w="2351" w:type="dxa"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30</w:t>
            </w:r>
          </w:p>
        </w:tc>
        <w:tc>
          <w:tcPr>
            <w:tcW w:w="2407" w:type="dxa"/>
            <w:shd w:val="clear" w:color="auto" w:fill="auto"/>
            <w:vAlign w:val="center"/>
            <w:hideMark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23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>
            <w:pPr>
              <w:spacing w:after="12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218</w:t>
            </w:r>
          </w:p>
        </w:tc>
      </w:tr>
      <w:tr>
        <w:trPr>
          <w:trHeight w:val="313"/>
          <w:jc w:val="center"/>
        </w:trPr>
        <w:tc>
          <w:tcPr>
            <w:tcW w:w="2295" w:type="dxa"/>
            <w:shd w:val="clear" w:color="auto" w:fill="auto"/>
            <w:vAlign w:val="center"/>
            <w:hideMark/>
          </w:tcPr>
          <w:p>
            <w:pPr>
              <w:spacing w:after="120"/>
              <w:rPr>
                <w:b/>
                <w:noProof/>
                <w:color w:val="000000"/>
                <w:sz w:val="20"/>
                <w:szCs w:val="20"/>
              </w:rPr>
            </w:pPr>
            <w:r>
              <w:rPr>
                <w:b/>
                <w:noProof/>
                <w:color w:val="000000"/>
                <w:sz w:val="20"/>
              </w:rPr>
              <w:t>Španjolska</w:t>
            </w:r>
          </w:p>
        </w:tc>
        <w:tc>
          <w:tcPr>
            <w:tcW w:w="2351" w:type="dxa"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150</w:t>
            </w:r>
          </w:p>
        </w:tc>
        <w:tc>
          <w:tcPr>
            <w:tcW w:w="2407" w:type="dxa"/>
            <w:shd w:val="clear" w:color="auto" w:fill="auto"/>
            <w:vAlign w:val="center"/>
            <w:hideMark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50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>
            <w:pPr>
              <w:spacing w:after="12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2 676</w:t>
            </w:r>
          </w:p>
        </w:tc>
      </w:tr>
      <w:tr>
        <w:trPr>
          <w:trHeight w:val="313"/>
          <w:jc w:val="center"/>
        </w:trPr>
        <w:tc>
          <w:tcPr>
            <w:tcW w:w="2295" w:type="dxa"/>
            <w:shd w:val="clear" w:color="auto" w:fill="auto"/>
            <w:vAlign w:val="center"/>
            <w:hideMark/>
          </w:tcPr>
          <w:p>
            <w:pPr>
              <w:spacing w:after="120"/>
              <w:rPr>
                <w:b/>
                <w:noProof/>
                <w:color w:val="000000"/>
                <w:sz w:val="20"/>
                <w:szCs w:val="20"/>
              </w:rPr>
            </w:pPr>
            <w:r>
              <w:rPr>
                <w:b/>
                <w:noProof/>
                <w:color w:val="000000"/>
                <w:sz w:val="20"/>
              </w:rPr>
              <w:t>Švedska</w:t>
            </w:r>
            <w:r>
              <w:rPr>
                <w:rStyle w:val="FootnoteReference"/>
                <w:b/>
                <w:noProof/>
                <w:color w:val="000000"/>
                <w:sz w:val="20"/>
              </w:rPr>
              <w:footnoteReference w:id="3"/>
            </w:r>
          </w:p>
        </w:tc>
        <w:tc>
          <w:tcPr>
            <w:tcW w:w="2351" w:type="dxa"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50</w:t>
            </w:r>
          </w:p>
        </w:tc>
        <w:tc>
          <w:tcPr>
            <w:tcW w:w="2407" w:type="dxa"/>
            <w:shd w:val="clear" w:color="auto" w:fill="auto"/>
            <w:vAlign w:val="center"/>
            <w:hideMark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39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>
            <w:pPr>
              <w:spacing w:after="12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1 388</w:t>
            </w:r>
          </w:p>
        </w:tc>
      </w:tr>
      <w:tr>
        <w:trPr>
          <w:trHeight w:val="313"/>
          <w:jc w:val="center"/>
        </w:trPr>
        <w:tc>
          <w:tcPr>
            <w:tcW w:w="2295" w:type="dxa"/>
            <w:shd w:val="clear" w:color="auto" w:fill="auto"/>
            <w:vAlign w:val="center"/>
          </w:tcPr>
          <w:p>
            <w:pPr>
              <w:spacing w:after="120"/>
              <w:rPr>
                <w:b/>
                <w:i/>
                <w:noProof/>
                <w:color w:val="000000"/>
                <w:sz w:val="20"/>
                <w:szCs w:val="20"/>
              </w:rPr>
            </w:pPr>
            <w:r>
              <w:rPr>
                <w:b/>
                <w:i/>
                <w:noProof/>
                <w:color w:val="000000"/>
                <w:sz w:val="20"/>
              </w:rPr>
              <w:t>Švicarska</w:t>
            </w:r>
          </w:p>
        </w:tc>
        <w:tc>
          <w:tcPr>
            <w:tcW w:w="2351" w:type="dxa"/>
          </w:tcPr>
          <w:p>
            <w:pPr>
              <w:spacing w:after="120"/>
              <w:jc w:val="center"/>
              <w:rPr>
                <w:i/>
                <w:noProof/>
                <w:color w:val="000000"/>
                <w:sz w:val="20"/>
                <w:szCs w:val="20"/>
              </w:rPr>
            </w:pPr>
            <w:r>
              <w:rPr>
                <w:i/>
                <w:noProof/>
                <w:color w:val="000000"/>
                <w:sz w:val="20"/>
              </w:rPr>
              <w:t>630</w:t>
            </w:r>
          </w:p>
        </w:tc>
        <w:tc>
          <w:tcPr>
            <w:tcW w:w="2407" w:type="dxa"/>
            <w:shd w:val="clear" w:color="auto" w:fill="auto"/>
            <w:vAlign w:val="center"/>
          </w:tcPr>
          <w:p>
            <w:pPr>
              <w:spacing w:after="120"/>
              <w:jc w:val="center"/>
              <w:rPr>
                <w:i/>
                <w:noProof/>
                <w:color w:val="000000"/>
                <w:sz w:val="20"/>
                <w:szCs w:val="20"/>
              </w:rPr>
            </w:pPr>
            <w:r>
              <w:rPr>
                <w:i/>
                <w:noProof/>
                <w:color w:val="000000"/>
                <w:sz w:val="20"/>
              </w:rPr>
              <w:t>133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>
            <w:pPr>
              <w:spacing w:after="120"/>
              <w:jc w:val="center"/>
              <w:rPr>
                <w:i/>
                <w:noProof/>
                <w:sz w:val="20"/>
                <w:szCs w:val="20"/>
              </w:rPr>
            </w:pPr>
          </w:p>
        </w:tc>
      </w:tr>
      <w:tr>
        <w:trPr>
          <w:trHeight w:val="313"/>
          <w:jc w:val="center"/>
        </w:trPr>
        <w:tc>
          <w:tcPr>
            <w:tcW w:w="2295" w:type="dxa"/>
            <w:shd w:val="clear" w:color="auto" w:fill="CCC0D9" w:themeFill="accent4" w:themeFillTint="66"/>
            <w:vAlign w:val="center"/>
          </w:tcPr>
          <w:p>
            <w:pPr>
              <w:spacing w:after="120"/>
              <w:rPr>
                <w:b/>
                <w:noProof/>
                <w:color w:val="000000"/>
              </w:rPr>
            </w:pPr>
            <w:r>
              <w:rPr>
                <w:b/>
                <w:noProof/>
                <w:color w:val="000000"/>
              </w:rPr>
              <w:t>UKUPNO</w:t>
            </w:r>
          </w:p>
        </w:tc>
        <w:tc>
          <w:tcPr>
            <w:tcW w:w="2351" w:type="dxa"/>
            <w:shd w:val="clear" w:color="auto" w:fill="CCC0D9" w:themeFill="accent4" w:themeFillTint="66"/>
          </w:tcPr>
          <w:p>
            <w:pPr>
              <w:spacing w:after="120"/>
              <w:jc w:val="center"/>
              <w:rPr>
                <w:b/>
                <w:noProof/>
                <w:color w:val="000000"/>
              </w:rPr>
            </w:pPr>
            <w:r>
              <w:rPr>
                <w:b/>
                <w:noProof/>
                <w:color w:val="000000"/>
              </w:rPr>
              <w:t>5 839</w:t>
            </w:r>
          </w:p>
        </w:tc>
        <w:tc>
          <w:tcPr>
            <w:tcW w:w="2407" w:type="dxa"/>
            <w:shd w:val="clear" w:color="auto" w:fill="CCC0D9" w:themeFill="accent4" w:themeFillTint="66"/>
            <w:vAlign w:val="bottom"/>
          </w:tcPr>
          <w:p>
            <w:pPr>
              <w:spacing w:after="120"/>
              <w:jc w:val="center"/>
              <w:rPr>
                <w:b/>
                <w:noProof/>
                <w:color w:val="000000"/>
              </w:rPr>
            </w:pPr>
            <w:r>
              <w:rPr>
                <w:b/>
                <w:noProof/>
                <w:color w:val="000000"/>
              </w:rPr>
              <w:t>1 950</w:t>
            </w:r>
          </w:p>
        </w:tc>
        <w:tc>
          <w:tcPr>
            <w:tcW w:w="3261" w:type="dxa"/>
            <w:shd w:val="clear" w:color="auto" w:fill="CCC0D9" w:themeFill="accent4" w:themeFillTint="66"/>
          </w:tcPr>
          <w:p>
            <w:pPr>
              <w:spacing w:after="120"/>
              <w:jc w:val="center"/>
              <w:rPr>
                <w:b/>
                <w:noProof/>
                <w:color w:val="000000"/>
              </w:rPr>
            </w:pPr>
            <w:r>
              <w:rPr>
                <w:b/>
                <w:noProof/>
                <w:color w:val="000000"/>
              </w:rPr>
              <w:t>34 953</w:t>
            </w:r>
          </w:p>
        </w:tc>
      </w:tr>
    </w:tbl>
    <w:p>
      <w:pPr>
        <w:rPr>
          <w:noProof/>
        </w:rPr>
      </w:pPr>
    </w:p>
    <w:sectPr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17" w:right="1417" w:bottom="1417" w:left="1417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HR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>RESTREINT UE/EU RESTRICTED</w:t>
    </w:r>
    <w:r>
      <w:fldChar w:fldCharType="end"/>
    </w:r>
    <w:r>
      <w:tab/>
    </w:r>
    <w:r>
      <w:rPr>
        <w:rFonts w:ascii="Arial" w:hAnsi="Arial" w:cs="Arial"/>
        <w:b/>
        <w:sz w:val="48"/>
      </w:rPr>
      <w:t>HR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jc w:val="center"/>
      <w:rPr>
        <w:noProof/>
      </w:rPr>
    </w:pPr>
    <w:sdt>
      <w:sdtPr>
        <w:id w:val="-164341987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t>2</w:t>
        </w:r>
      </w:sdtContent>
    </w:sdt>
  </w:p>
  <w:p>
    <w:pPr>
      <w:pStyle w:val="Footer"/>
      <w:jc w:val="center"/>
    </w:pPr>
    <w:r>
      <w:tab/>
    </w:r>
    <w:r>
      <w:tab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id="1">
    <w:p>
      <w:pPr>
        <w:pStyle w:val="FootnoteTex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FootnoteReference"/>
          <w:rFonts w:ascii="Times New Roman" w:hAnsi="Times New Roman"/>
          <w:sz w:val="16"/>
        </w:rPr>
        <w:footnoteRef/>
      </w:r>
      <w:r>
        <w:rPr>
          <w:rFonts w:ascii="Times New Roman" w:hAnsi="Times New Roman"/>
          <w:sz w:val="16"/>
        </w:rPr>
        <w:t xml:space="preserve">     Podaci poslani putem mreže DubliNet u skladu s člankom 5. stavkom 2. Odluke Vijeća.</w:t>
      </w:r>
    </w:p>
  </w:footnote>
  <w:footnote w:id="2">
    <w:p>
      <w:pPr>
        <w:pStyle w:val="FootnoteText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FootnoteReference"/>
          <w:rFonts w:ascii="Times New Roman" w:hAnsi="Times New Roman"/>
          <w:sz w:val="16"/>
        </w:rPr>
        <w:footnoteRef/>
      </w:r>
      <w:r>
        <w:rPr>
          <w:rFonts w:ascii="Times New Roman" w:hAnsi="Times New Roman"/>
          <w:sz w:val="16"/>
        </w:rPr>
        <w:t xml:space="preserve"> </w:t>
      </w:r>
      <w:r>
        <w:tab/>
      </w:r>
      <w:r>
        <w:rPr>
          <w:rFonts w:ascii="Times New Roman" w:hAnsi="Times New Roman"/>
          <w:sz w:val="16"/>
        </w:rPr>
        <w:t>Provedbena odluka Vijeća (EU) 2016/408 od 10. ožujka 2016. o privremenoj suspenziji premještanja 30 % podnositelja zahtjeva dodijeljenih Austriji Odlukom (EU) 2015/1601 o uvođenju privremenih mjera u području međunarodne zaštite u korist Italije i Grčke.</w:t>
      </w:r>
    </w:p>
  </w:footnote>
  <w:footnote w:id="3">
    <w:p>
      <w:pPr>
        <w:pStyle w:val="FootnoteText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FootnoteReference"/>
          <w:rFonts w:ascii="Times New Roman" w:hAnsi="Times New Roman"/>
          <w:sz w:val="16"/>
        </w:rPr>
        <w:footnoteRef/>
      </w:r>
      <w:r>
        <w:rPr>
          <w:rFonts w:ascii="Times New Roman" w:hAnsi="Times New Roman"/>
          <w:sz w:val="16"/>
        </w:rPr>
        <w:t xml:space="preserve"> </w:t>
      </w:r>
      <w:r>
        <w:tab/>
      </w:r>
      <w:r>
        <w:rPr>
          <w:rFonts w:ascii="Times New Roman" w:hAnsi="Times New Roman"/>
          <w:sz w:val="16"/>
        </w:rPr>
        <w:t>Odluka Vijeća (EU) 2016/946 od 9. lipnja 2016. o uvođenju privremenih mjera u području međunarodne zaštite u korist Švedske u skladu s člankom 9. Odluke (EU) 2015/1523 i člankom 9. Odluke (EU) 2015/1601 o uvođenju privremenih mjera u području međunarodne zaštite u korist Italije i Grčke.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r>
      <w:tab/>
    </w:r>
    <w:r>
      <w:tab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ocStatus" w:val="Green"/>
    <w:docVar w:name="LW_ACCOMPAGNANT.CP" w:val="  "/>
    <w:docVar w:name="LW_ANNEX_NBR_FIRST" w:val="2"/>
    <w:docVar w:name="LW_ANNEX_NBR_LAST" w:val="2"/>
    <w:docVar w:name="LW_CONFIDENCE" w:val="RESTREINT UE/EU RESTRICTED"/>
    <w:docVar w:name="LW_CONST_RESTREINT_UE" w:val="RESTREINT UE"/>
    <w:docVar w:name="LW_CORRIGENDUM" w:val="&lt;UNUSED&gt;"/>
    <w:docVar w:name="LW_COVERPAGE_GUID" w:val="131413CBB93240C9A9759D1ECEC6001D"/>
    <w:docVar w:name="LW_CROSSREFERENCE" w:val="&lt;UNUSED&gt;"/>
    <w:docVar w:name="LW_DocType" w:val="NORMAL"/>
    <w:docVar w:name="LW_EMISSION" w:val="8.12.2016."/>
    <w:docVar w:name="LW_EMISSION_ISODATE" w:val="2016-12-08"/>
    <w:docVar w:name="LW_EMISSION_LOCATION" w:val="BRX"/>
    <w:docVar w:name="LW_EMISSION_PREFIX" w:val="Bruxelles, "/>
    <w:docVar w:name="LW_EMISSION_SUFFIX" w:val="&lt;EMPTY&gt;"/>
    <w:docVar w:name="LW_ID_DOCTYPE_NONLW" w:val="CP-039"/>
    <w:docVar w:name="LW_LANGUE" w:val="HR"/>
    <w:docVar w:name="LW_MARKING" w:val="&lt;UNUSED&gt;"/>
    <w:docVar w:name="LW_NOM.INST" w:val="EUROPSKA KOMISIJA"/>
    <w:docVar w:name="LW_NOM.INST_JOINTDOC" w:val="&lt;EMPTY&gt;"/>
    <w:docVar w:name="LW_OBJETACTEPRINCIPAL.CP" w:val="Osmo izvje\u353?\u263?e o premje\u353?tanju i preseljenju"/>
    <w:docVar w:name="LW_PART_NBR" w:val="1"/>
    <w:docVar w:name="LW_PART_NBR_TOTAL" w:val="1"/>
    <w:docVar w:name="LW_REF.INST.NEW" w:val="COM"/>
    <w:docVar w:name="LW_REF.INST.NEW_ADOPTED" w:val="final"/>
    <w:docVar w:name="LW_REF.INST.NEW_TEXT" w:val="(2016) 791"/>
    <w:docVar w:name="LW_REF.INTERNE" w:val="&lt;UNUSED&gt;"/>
    <w:docVar w:name="LW_SUPERTITRE" w:val="&lt;UNUSED&gt;"/>
    <w:docVar w:name="LW_TITRE.OBJ.CP" w:val="&lt;UNUSED&gt;"/>
    <w:docVar w:name="LW_TYPE.DOC.CP" w:val="PRILOG_x000b_"/>
    <w:docVar w:name="LW_TYPEACTEPRINCIPAL.CP" w:val="KOMUNIKACIJI KOMISIJE EUROPSKOM PARLAMENTU, EUROPSKOM VIJE\u262?U I VIJE\u262?U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hr-HR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rFonts w:asciiTheme="minorHAnsi" w:eastAsiaTheme="minorHAnsi" w:hAnsiTheme="minorHAnsi" w:cstheme="minorBidi"/>
      <w:lang w:eastAsia="hr-HR"/>
    </w:rPr>
  </w:style>
  <w:style w:type="character" w:styleId="FootnoteReference">
    <w:name w:val="footnote reference"/>
    <w:basedOn w:val="DefaultParagraphFont"/>
    <w:uiPriority w:val="99"/>
    <w:unhideWhenUsed/>
    <w:rPr>
      <w:vertAlign w:val="superscript"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jc w:val="both"/>
    </w:pPr>
    <w:rPr>
      <w:rFonts w:eastAsiaTheme="minorHAnsi"/>
      <w:szCs w:val="22"/>
    </w:r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Pr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/>
      <w:ind w:left="-850" w:right="-850"/>
    </w:pPr>
  </w:style>
  <w:style w:type="character" w:customStyle="1" w:styleId="FooterCoverPageChar">
    <w:name w:val="Footer Cover Page Char"/>
    <w:basedOn w:val="DefaultParagraphFont"/>
    <w:link w:val="FooterCoverPage"/>
    <w:rPr>
      <w:sz w:val="24"/>
      <w:szCs w:val="24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/>
      <w:jc w:val="both"/>
    </w:pPr>
  </w:style>
  <w:style w:type="character" w:customStyle="1" w:styleId="HeaderCoverPageChar">
    <w:name w:val="Header Cover Page Char"/>
    <w:basedOn w:val="DefaultParagraphFont"/>
    <w:link w:val="HeaderCoverPage"/>
    <w:rPr>
      <w:sz w:val="24"/>
      <w:szCs w:val="24"/>
    </w:rPr>
  </w:style>
  <w:style w:type="paragraph" w:customStyle="1" w:styleId="Typedudocument">
    <w:name w:val="Type du document"/>
    <w:basedOn w:val="Normal"/>
    <w:next w:val="Normal"/>
    <w:pPr>
      <w:spacing w:before="360"/>
      <w:jc w:val="center"/>
    </w:pPr>
    <w:rPr>
      <w:rFonts w:eastAsiaTheme="minorHAnsi"/>
      <w:b/>
      <w:szCs w:val="22"/>
    </w:rPr>
  </w:style>
  <w:style w:type="paragraph" w:customStyle="1" w:styleId="Accompagnant">
    <w:name w:val="Accompagnant"/>
    <w:basedOn w:val="Normal"/>
    <w:next w:val="Normal"/>
    <w:pPr>
      <w:spacing w:after="240"/>
      <w:jc w:val="center"/>
    </w:pPr>
    <w:rPr>
      <w:rFonts w:eastAsiaTheme="minorHAnsi"/>
      <w:b/>
      <w:i/>
      <w:szCs w:val="22"/>
    </w:rPr>
  </w:style>
  <w:style w:type="paragraph" w:customStyle="1" w:styleId="Typeacteprincipal">
    <w:name w:val="Type acte principal"/>
    <w:basedOn w:val="Normal"/>
    <w:next w:val="Normal"/>
    <w:pPr>
      <w:spacing w:after="240"/>
      <w:jc w:val="center"/>
    </w:pPr>
    <w:rPr>
      <w:rFonts w:eastAsiaTheme="minorHAnsi"/>
      <w:b/>
      <w:szCs w:val="22"/>
    </w:rPr>
  </w:style>
  <w:style w:type="paragraph" w:customStyle="1" w:styleId="Objetacteprincipal">
    <w:name w:val="Objet acte principal"/>
    <w:basedOn w:val="Normal"/>
    <w:next w:val="Normal"/>
    <w:pPr>
      <w:spacing w:after="360"/>
      <w:jc w:val="center"/>
    </w:pPr>
    <w:rPr>
      <w:rFonts w:eastAsiaTheme="minorHAnsi"/>
      <w:b/>
      <w:szCs w:val="22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hr-HR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rFonts w:asciiTheme="minorHAnsi" w:eastAsiaTheme="minorHAnsi" w:hAnsiTheme="minorHAnsi" w:cstheme="minorBidi"/>
      <w:lang w:eastAsia="hr-HR"/>
    </w:rPr>
  </w:style>
  <w:style w:type="character" w:styleId="FootnoteReference">
    <w:name w:val="footnote reference"/>
    <w:basedOn w:val="DefaultParagraphFont"/>
    <w:uiPriority w:val="99"/>
    <w:unhideWhenUsed/>
    <w:rPr>
      <w:vertAlign w:val="superscript"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jc w:val="both"/>
    </w:pPr>
    <w:rPr>
      <w:rFonts w:eastAsiaTheme="minorHAnsi"/>
      <w:szCs w:val="22"/>
    </w:r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Pr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/>
      <w:ind w:left="-850" w:right="-850"/>
    </w:pPr>
  </w:style>
  <w:style w:type="character" w:customStyle="1" w:styleId="FooterCoverPageChar">
    <w:name w:val="Footer Cover Page Char"/>
    <w:basedOn w:val="DefaultParagraphFont"/>
    <w:link w:val="FooterCoverPage"/>
    <w:rPr>
      <w:sz w:val="24"/>
      <w:szCs w:val="24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/>
      <w:jc w:val="both"/>
    </w:pPr>
  </w:style>
  <w:style w:type="character" w:customStyle="1" w:styleId="HeaderCoverPageChar">
    <w:name w:val="Header Cover Page Char"/>
    <w:basedOn w:val="DefaultParagraphFont"/>
    <w:link w:val="HeaderCoverPage"/>
    <w:rPr>
      <w:sz w:val="24"/>
      <w:szCs w:val="24"/>
    </w:rPr>
  </w:style>
  <w:style w:type="paragraph" w:customStyle="1" w:styleId="Typedudocument">
    <w:name w:val="Type du document"/>
    <w:basedOn w:val="Normal"/>
    <w:next w:val="Normal"/>
    <w:pPr>
      <w:spacing w:before="360"/>
      <w:jc w:val="center"/>
    </w:pPr>
    <w:rPr>
      <w:rFonts w:eastAsiaTheme="minorHAnsi"/>
      <w:b/>
      <w:szCs w:val="22"/>
    </w:rPr>
  </w:style>
  <w:style w:type="paragraph" w:customStyle="1" w:styleId="Accompagnant">
    <w:name w:val="Accompagnant"/>
    <w:basedOn w:val="Normal"/>
    <w:next w:val="Normal"/>
    <w:pPr>
      <w:spacing w:after="240"/>
      <w:jc w:val="center"/>
    </w:pPr>
    <w:rPr>
      <w:rFonts w:eastAsiaTheme="minorHAnsi"/>
      <w:b/>
      <w:i/>
      <w:szCs w:val="22"/>
    </w:rPr>
  </w:style>
  <w:style w:type="paragraph" w:customStyle="1" w:styleId="Typeacteprincipal">
    <w:name w:val="Type acte principal"/>
    <w:basedOn w:val="Normal"/>
    <w:next w:val="Normal"/>
    <w:pPr>
      <w:spacing w:after="240"/>
      <w:jc w:val="center"/>
    </w:pPr>
    <w:rPr>
      <w:rFonts w:eastAsiaTheme="minorHAnsi"/>
      <w:b/>
      <w:szCs w:val="22"/>
    </w:rPr>
  </w:style>
  <w:style w:type="paragraph" w:customStyle="1" w:styleId="Objetacteprincipal">
    <w:name w:val="Objet acte principal"/>
    <w:basedOn w:val="Normal"/>
    <w:next w:val="Normal"/>
    <w:pPr>
      <w:spacing w:after="360"/>
      <w:jc w:val="center"/>
    </w:pPr>
    <w:rPr>
      <w:rFonts w:eastAsiaTheme="minorHAnsi"/>
      <w:b/>
      <w:szCs w:val="22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emf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23" Type="http://schemas.openxmlformats.org/officeDocument/2006/relationships/footer" Target="footer6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DB080E8D204D504794FE96D03734DA79" ma:contentTypeVersion="10" ma:contentTypeDescription="Create a new document in this library." ma:contentTypeScope="" ma:versionID="2de25f660ceeed2b4c8a794b33a86d08">
  <xsd:schema xmlns:xsd="http://www.w3.org/2001/XMLSchema" xmlns:xs="http://www.w3.org/2001/XMLSchema" xmlns:p="http://schemas.microsoft.com/office/2006/metadata/properties" xmlns:ns2="http://schemas.microsoft.com/sharepoint/v3/fields" xmlns:ns3="47eefe9a-f81e-47cf-b703-dc75e53a6b28" targetNamespace="http://schemas.microsoft.com/office/2006/metadata/properties" ma:root="true" ma:fieldsID="6cf894a9eaed983a2460d56088ad2367" ns2:_="" ns3:_="">
    <xsd:import namespace="http://schemas.microsoft.com/sharepoint/v3/fields"/>
    <xsd:import namespace="47eefe9a-f81e-47cf-b703-dc75e53a6b28"/>
    <xsd:element name="properties">
      <xsd:complexType>
        <xsd:sequence>
          <xsd:element name="documentManagement">
            <xsd:complexType>
              <xsd:all>
                <xsd:element ref="ns3:EC_Collab_Reference" minOccurs="0"/>
                <xsd:element ref="ns2:_Status" minOccurs="0"/>
                <xsd:element ref="ns3:EC_Collab_DocumentLanguage" minOccurs="0"/>
                <xsd:element ref="ns3:EC_Collab_Status" minOccurs="0"/>
                <xsd:element ref="ns3:Deadline" minOccurs="0"/>
                <xsd:element ref="ns3:Ares_x0020_number" minOccurs="0"/>
                <xsd:element ref="ns3:For" minOccurs="0"/>
                <xsd:element ref="ns3:Deadline_x0020_DIR" minOccurs="0"/>
                <xsd:element ref="ns3:CF" minOccurs="0"/>
                <xsd:element ref="ns3:ASOC" minOccurs="0"/>
                <xsd:element ref="ns3:conta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3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eefe9a-f81e-47cf-b703-dc75e53a6b28" elementFormDefault="qualified">
    <xsd:import namespace="http://schemas.microsoft.com/office/2006/documentManagement/types"/>
    <xsd:import namespace="http://schemas.microsoft.com/office/infopath/2007/PartnerControls"/>
    <xsd:element name="EC_Collab_Reference" ma:index="12" nillable="true" ma:displayName="Reference" ma:internalName="EC_Collab_Reference">
      <xsd:simpleType>
        <xsd:restriction base="dms:Text"/>
      </xsd:simpleType>
    </xsd:element>
    <xsd:element name="EC_Collab_DocumentLanguage" ma:index="14" nillable="true" ma:displayName="Language" ma:default="EN" ma:format="Dropdown" ma:internalName="EC_Collab_DocumentLanguage">
      <xsd:simpleType>
        <xsd:restriction base="dms:Choice">
          <xsd:enumeration value="BG"/>
          <xsd:enumeration value="ES"/>
          <xsd:enumeration value="CS"/>
          <xsd:enumeration value="DA"/>
          <xsd:enumeration value="DE"/>
          <xsd:enumeration value="ET"/>
          <xsd:enumeration value="EL"/>
          <xsd:enumeration value="EN"/>
          <xsd:enumeration value="FR"/>
          <xsd:enumeration value="GA"/>
          <xsd:enumeration value="IT"/>
          <xsd:enumeration value="LT"/>
          <xsd:enumeration value="LV"/>
          <xsd:enumeration value="HU"/>
          <xsd:enumeration value="MT"/>
          <xsd:enumeration value="NL"/>
          <xsd:enumeration value="PL"/>
          <xsd:enumeration value="PT"/>
          <xsd:enumeration value="RO"/>
          <xsd:enumeration value="SK"/>
          <xsd:enumeration value="SL"/>
          <xsd:enumeration value="FI"/>
          <xsd:enumeration value="SV"/>
          <xsd:enumeration value="HR"/>
          <xsd:enumeration value="MK"/>
          <xsd:enumeration value="TR"/>
          <xsd:enumeration value="EU"/>
          <xsd:enumeration value="CA"/>
          <xsd:enumeration value="GL"/>
          <xsd:enumeration value="AB"/>
          <xsd:enumeration value="AA"/>
          <xsd:enumeration value="AF"/>
          <xsd:enumeration value="AK"/>
          <xsd:enumeration value="SQ"/>
          <xsd:enumeration value="AM"/>
          <xsd:enumeration value="AR"/>
          <xsd:enumeration value="AN"/>
          <xsd:enumeration value="HY"/>
          <xsd:enumeration value="AS"/>
          <xsd:enumeration value="AV"/>
          <xsd:enumeration value="AE"/>
          <xsd:enumeration value="AY"/>
          <xsd:enumeration value="AZ"/>
          <xsd:enumeration value="BM"/>
          <xsd:enumeration value="BA"/>
          <xsd:enumeration value="BE"/>
          <xsd:enumeration value="BN"/>
          <xsd:enumeration value="BH"/>
          <xsd:enumeration value="BI"/>
          <xsd:enumeration value="NB"/>
          <xsd:enumeration value="BS"/>
          <xsd:enumeration value="BR"/>
          <xsd:enumeration value="MY"/>
          <xsd:enumeration value="KM"/>
          <xsd:enumeration value="CH"/>
          <xsd:enumeration value="CE"/>
          <xsd:enumeration value="NY"/>
          <xsd:enumeration value="ZH"/>
          <xsd:enumeration value="CU"/>
          <xsd:enumeration value="CV"/>
          <xsd:enumeration value="KW"/>
          <xsd:enumeration value="CO"/>
          <xsd:enumeration value="CR"/>
          <xsd:enumeration value="DV"/>
          <xsd:enumeration value="DZ"/>
          <xsd:enumeration value="EO"/>
          <xsd:enumeration value="EE"/>
          <xsd:enumeration value="FO"/>
          <xsd:enumeration value="FJ"/>
          <xsd:enumeration value="FF"/>
          <xsd:enumeration value="GD"/>
          <xsd:enumeration value="LG"/>
          <xsd:enumeration value="KA"/>
          <xsd:enumeration value="GN"/>
          <xsd:enumeration value="GU"/>
          <xsd:enumeration value="HT"/>
          <xsd:enumeration value="HA"/>
          <xsd:enumeration value="HE"/>
          <xsd:enumeration value="HZ"/>
          <xsd:enumeration value="HI"/>
          <xsd:enumeration value="HO"/>
          <xsd:enumeration value="IS"/>
          <xsd:enumeration value="IO"/>
          <xsd:enumeration value="IG"/>
          <xsd:enumeration value="ID"/>
          <xsd:enumeration value="IA"/>
          <xsd:enumeration value="IE"/>
          <xsd:enumeration value="IU"/>
          <xsd:enumeration value="IK"/>
          <xsd:enumeration value="JA"/>
          <xsd:enumeration value="JV"/>
          <xsd:enumeration value="KL"/>
          <xsd:enumeration value="KN"/>
          <xsd:enumeration value="KR"/>
          <xsd:enumeration value="KS"/>
          <xsd:enumeration value="KK"/>
          <xsd:enumeration value="KI"/>
          <xsd:enumeration value="RW"/>
          <xsd:enumeration value="KY"/>
          <xsd:enumeration value="KV"/>
          <xsd:enumeration value="KG"/>
          <xsd:enumeration value="KO"/>
          <xsd:enumeration value="KJ"/>
          <xsd:enumeration value="KU"/>
          <xsd:enumeration value="LO"/>
          <xsd:enumeration value="LA"/>
          <xsd:enumeration value="LI"/>
          <xsd:enumeration value="LN"/>
          <xsd:enumeration value="LU"/>
          <xsd:enumeration value="LB"/>
          <xsd:enumeration value="MG"/>
          <xsd:enumeration value="MS"/>
          <xsd:enumeration value="ML"/>
          <xsd:enumeration value="GV"/>
          <xsd:enumeration value="MI"/>
          <xsd:enumeration value="MR"/>
          <xsd:enumeration value="MH"/>
          <xsd:enumeration value="MN"/>
          <xsd:enumeration value="NA"/>
          <xsd:enumeration value="NV"/>
          <xsd:enumeration value="ND"/>
          <xsd:enumeration value="NR"/>
          <xsd:enumeration value="NG"/>
          <xsd:enumeration value="NE"/>
          <xsd:enumeration value="SE"/>
          <xsd:enumeration value="NO"/>
          <xsd:enumeration value="NN"/>
          <xsd:enumeration value="OC"/>
          <xsd:enumeration value="OJ"/>
          <xsd:enumeration value="OR"/>
          <xsd:enumeration value="OM"/>
          <xsd:enumeration value="OS"/>
          <xsd:enumeration value="PI"/>
          <xsd:enumeration value="PA"/>
          <xsd:enumeration value="FA"/>
          <xsd:enumeration value="PS"/>
          <xsd:enumeration value="QU"/>
          <xsd:enumeration value="RM"/>
          <xsd:enumeration value="RN"/>
          <xsd:enumeration value="RU"/>
          <xsd:enumeration value="SM"/>
          <xsd:enumeration value="SG"/>
          <xsd:enumeration value="SA"/>
          <xsd:enumeration value="SC"/>
          <xsd:enumeration value="SR"/>
          <xsd:enumeration value="SN"/>
          <xsd:enumeration value="II"/>
          <xsd:enumeration value="SD"/>
          <xsd:enumeration value="SI"/>
          <xsd:enumeration value="SO"/>
          <xsd:enumeration value="ST"/>
          <xsd:enumeration value="SU"/>
          <xsd:enumeration value="SW"/>
          <xsd:enumeration value="SS"/>
          <xsd:enumeration value="TL"/>
          <xsd:enumeration value="TY"/>
          <xsd:enumeration value="TG"/>
          <xsd:enumeration value="TA"/>
          <xsd:enumeration value="TT"/>
          <xsd:enumeration value="TE"/>
          <xsd:enumeration value="TH"/>
          <xsd:enumeration value="BO"/>
          <xsd:enumeration value="TI"/>
          <xsd:enumeration value="TO"/>
          <xsd:enumeration value="TS"/>
          <xsd:enumeration value="TN"/>
          <xsd:enumeration value="TK"/>
          <xsd:enumeration value="TW"/>
          <xsd:enumeration value="UG"/>
          <xsd:enumeration value="UK"/>
          <xsd:enumeration value="UR"/>
          <xsd:enumeration value="UZ"/>
          <xsd:enumeration value="VE"/>
          <xsd:enumeration value="VI"/>
          <xsd:enumeration value="VO"/>
          <xsd:enumeration value="WA"/>
          <xsd:enumeration value="CY"/>
          <xsd:enumeration value="FY"/>
          <xsd:enumeration value="WO"/>
          <xsd:enumeration value="XH"/>
          <xsd:enumeration value="YI"/>
          <xsd:enumeration value="YO"/>
          <xsd:enumeration value="ZA"/>
          <xsd:enumeration value="ZU"/>
        </xsd:restriction>
      </xsd:simpleType>
    </xsd:element>
    <xsd:element name="EC_Collab_Status" ma:index="15" nillable="true" ma:displayName="EC Status" ma:default="Not Started" ma:format="Dropdown" ma:internalName="EC_Collab_Status">
      <xsd:simpleType>
        <xsd:restriction base="dms:Choice">
          <xsd:enumeration value="Not Started"/>
          <xsd:enumeration value="Draft"/>
          <xsd:enumeration value="Reviewed"/>
          <xsd:enumeration value="Scheduled"/>
          <xsd:enumeration value="Published"/>
          <xsd:enumeration value="Final"/>
          <xsd:enumeration value="Expired"/>
        </xsd:restriction>
      </xsd:simpleType>
    </xsd:element>
    <xsd:element name="Deadline" ma:index="16" nillable="true" ma:displayName="Deadline" ma:format="DateOnly" ma:internalName="Deadline">
      <xsd:simpleType>
        <xsd:restriction base="dms:DateTime"/>
      </xsd:simpleType>
    </xsd:element>
    <xsd:element name="Ares_x0020_number" ma:index="17" nillable="true" ma:displayName="Ares number" ma:internalName="Ares_x0020_number">
      <xsd:simpleType>
        <xsd:restriction base="dms:Text">
          <xsd:maxLength value="255"/>
        </xsd:restriction>
      </xsd:simpleType>
    </xsd:element>
    <xsd:element name="For" ma:index="18" nillable="true" ma:displayName="For" ma:default="COMMISSIONER" ma:format="RadioButtons" ma:internalName="For">
      <xsd:simpleType>
        <xsd:union memberTypes="dms:Text">
          <xsd:simpleType>
            <xsd:restriction base="dms:Choice">
              <xsd:enumeration value="PRESIDENT"/>
              <xsd:enumeration value="COMMISSIONER"/>
              <xsd:enumeration value="DIRECTOR-GENERAL"/>
              <xsd:enumeration value="DIRECTOR"/>
            </xsd:restriction>
          </xsd:simpleType>
        </xsd:union>
      </xsd:simpleType>
    </xsd:element>
    <xsd:element name="Deadline_x0020_DIR" ma:index="19" nillable="true" ma:displayName="Deadline DIR" ma:format="DateTime" ma:internalName="Deadline_x0020_DIR">
      <xsd:simpleType>
        <xsd:restriction base="dms:DateTime"/>
      </xsd:simpleType>
    </xsd:element>
    <xsd:element name="CF" ma:index="20" nillable="true" ma:displayName="CF" ma:default="B" ma:format="RadioButtons" ma:internalName="CF">
      <xsd:simpleType>
        <xsd:union memberTypes="dms:Text">
          <xsd:simpleType>
            <xsd:restriction base="dms:Choice">
              <xsd:enumeration value="B1"/>
              <xsd:enumeration value="B2"/>
              <xsd:enumeration value="B3"/>
              <xsd:enumeration value="A"/>
              <xsd:enumeration value="B"/>
              <xsd:enumeration value="C"/>
              <xsd:enumeration value="D"/>
              <xsd:enumeration value="EEAS"/>
            </xsd:restriction>
          </xsd:simpleType>
        </xsd:union>
      </xsd:simpleType>
    </xsd:element>
    <xsd:element name="ASOC" ma:index="21" nillable="true" ma:displayName="ASOC" ma:default="B" ma:format="RadioButtons" ma:internalName="ASOC">
      <xsd:simpleType>
        <xsd:union memberTypes="dms:Text">
          <xsd:simpleType>
            <xsd:restriction base="dms:Choice">
              <xsd:enumeration value="B1"/>
              <xsd:enumeration value="B2"/>
              <xsd:enumeration value="B3"/>
              <xsd:enumeration value="A"/>
              <xsd:enumeration value="B"/>
              <xsd:enumeration value="C"/>
              <xsd:enumeration value="D"/>
              <xsd:enumeration value="EEAS"/>
            </xsd:restriction>
          </xsd:simpleType>
        </xsd:union>
      </xsd:simpleType>
    </xsd:element>
    <xsd:element name="contact" ma:index="22" nillable="true" ma:displayName="contact" ma:list="UserInfo" ma:SharePointGroup="0" ma:internalName="contac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9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 ma:index="8" ma:displayName="Subject"/>
        <xsd:element ref="dc:description" minOccurs="0" maxOccurs="1" ma:index="11" ma:displayName="Comments"/>
        <xsd:element name="keywords" minOccurs="0" maxOccurs="1" type="xsd:string" ma:index="1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adline_x0020_DIR xmlns="47eefe9a-f81e-47cf-b703-dc75e53a6b28">2016-04-07T13:00:00+00:00</Deadline_x0020_DIR>
    <CF xmlns="47eefe9a-f81e-47cf-b703-dc75e53a6b28">C</CF>
    <Deadline xmlns="47eefe9a-f81e-47cf-b703-dc75e53a6b28">2016-04-07T13:00:00+00:00</Deadline>
    <ASOC xmlns="47eefe9a-f81e-47cf-b703-dc75e53a6b28">C</ASOC>
    <Ares_x0020_number xmlns="47eefe9a-f81e-47cf-b703-dc75e53a6b28" xsi:nil="true"/>
    <EC_Collab_Reference xmlns="47eefe9a-f81e-47cf-b703-dc75e53a6b28" xsi:nil="true"/>
    <_Status xmlns="http://schemas.microsoft.com/sharepoint/v3/fields">Not Started</_Status>
    <EC_Collab_DocumentLanguage xmlns="47eefe9a-f81e-47cf-b703-dc75e53a6b28">EN</EC_Collab_DocumentLanguage>
    <For xmlns="47eefe9a-f81e-47cf-b703-dc75e53a6b28">COMMISSIONER</For>
    <EC_Collab_Status xmlns="47eefe9a-f81e-47cf-b703-dc75e53a6b28">Not Started</EC_Collab_Status>
    <contact xmlns="47eefe9a-f81e-47cf-b703-dc75e53a6b28">
      <UserInfo>
        <DisplayName/>
        <AccountId xsi:nil="true"/>
        <AccountType/>
      </UserInfo>
    </contact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832E7-0601-423E-A185-6F5A5FA4BB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F9B9C0-FA3E-474C-84D6-1CEA028FCD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47eefe9a-f81e-47cf-b703-dc75e53a6b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227E5A-34A0-48FD-8E53-BB635C018241}">
  <ds:schemaRefs>
    <ds:schemaRef ds:uri="http://schemas.microsoft.com/office/2006/metadata/properties"/>
    <ds:schemaRef ds:uri="http://schemas.microsoft.com/office/infopath/2007/PartnerControls"/>
    <ds:schemaRef ds:uri="47eefe9a-f81e-47cf-b703-dc75e53a6b28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C9C46A1E-1925-4EEE-A50E-D17E4AFFE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147</Words>
  <Characters>624</Characters>
  <Application>Microsoft Office Word</Application>
  <DocSecurity>0</DocSecurity>
  <Lines>156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Pozo Vera</dc:creator>
  <cp:lastModifiedBy>DIGIT/A3</cp:lastModifiedBy>
  <cp:revision>10</cp:revision>
  <cp:lastPrinted>2016-11-04T16:38:00Z</cp:lastPrinted>
  <dcterms:created xsi:type="dcterms:W3CDTF">2016-12-07T09:27:00Z</dcterms:created>
  <dcterms:modified xsi:type="dcterms:W3CDTF">2017-01-20T12:16:00Z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rst annex">
    <vt:lpwstr>2</vt:lpwstr>
  </property>
  <property fmtid="{D5CDD505-2E9C-101B-9397-08002B2CF9AE}" pid="3" name="Last annex">
    <vt:lpwstr>2</vt:lpwstr>
  </property>
  <property fmtid="{D5CDD505-2E9C-101B-9397-08002B2CF9AE}" pid="4" name="Part">
    <vt:lpwstr>1</vt:lpwstr>
  </property>
  <property fmtid="{D5CDD505-2E9C-101B-9397-08002B2CF9AE}" pid="5" name="Total parts">
    <vt:lpwstr>1</vt:lpwstr>
  </property>
  <property fmtid="{D5CDD505-2E9C-101B-9397-08002B2CF9AE}" pid="6" name="Classification">
    <vt:lpwstr>RESTREINT UE/EU RESTRICTED</vt:lpwstr>
  </property>
  <property fmtid="{D5CDD505-2E9C-101B-9397-08002B2CF9AE}" pid="7" name="ContentTypeId">
    <vt:lpwstr>0x010100258AA79CEB83498886A3A0868112325000DB080E8D204D504794FE96D03734DA79</vt:lpwstr>
  </property>
  <property fmtid="{D5CDD505-2E9C-101B-9397-08002B2CF9AE}" pid="8" name="DocStatus">
    <vt:lpwstr>Green</vt:lpwstr>
  </property>
</Properties>
</file>