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B173FDE8E954D5AB33852202666D88D" style="width:450.45pt;height:424.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BILAGA</w:t>
      </w:r>
    </w:p>
    <w:p>
      <w:pPr>
        <w:pStyle w:val="SectionTitle"/>
        <w:rPr>
          <w:noProof/>
        </w:rPr>
      </w:pPr>
      <w:r>
        <w:rPr>
          <w:noProof/>
        </w:rPr>
        <w:t>AVSNITT A</w:t>
      </w:r>
      <w:r>
        <w:rPr>
          <w:noProof/>
        </w:rPr>
        <w:br/>
        <w:t>Krav för återhämtningsplaner</w:t>
      </w:r>
    </w:p>
    <w:p>
      <w:pPr>
        <w:pStyle w:val="NumPar1"/>
        <w:numPr>
          <w:ilvl w:val="0"/>
          <w:numId w:val="12"/>
        </w:numPr>
        <w:rPr>
          <w:noProof/>
        </w:rPr>
      </w:pPr>
      <w:r>
        <w:rPr>
          <w:noProof/>
        </w:rPr>
        <w:t>Återhämtningsplanen ska</w:t>
      </w:r>
    </w:p>
    <w:p>
      <w:pPr>
        <w:pStyle w:val="Point1number"/>
        <w:numPr>
          <w:ilvl w:val="2"/>
          <w:numId w:val="13"/>
        </w:numPr>
        <w:rPr>
          <w:noProof/>
        </w:rPr>
      </w:pPr>
      <w:r>
        <w:rPr>
          <w:noProof/>
        </w:rPr>
        <w:t>inte förutsätta tillgång till eller erhållande av extraordinärt offentligt finansiellt stöd,</w:t>
      </w:r>
    </w:p>
    <w:p>
      <w:pPr>
        <w:pStyle w:val="Point1number"/>
        <w:rPr>
          <w:noProof/>
        </w:rPr>
      </w:pPr>
      <w:r>
        <w:rPr>
          <w:noProof/>
        </w:rPr>
        <w:t>beakta samtliga berörda parters intressen som troligen kommer att påverkas av den planen, och</w:t>
      </w:r>
    </w:p>
    <w:p>
      <w:pPr>
        <w:pStyle w:val="Point1number"/>
        <w:rPr>
          <w:noProof/>
        </w:rPr>
      </w:pPr>
      <w:r>
        <w:rPr>
          <w:noProof/>
        </w:rPr>
        <w:t>säkerställa att clearingmedlemmarna inte har obegränsad exponering mot motparten.</w:t>
      </w:r>
    </w:p>
    <w:p>
      <w:pPr>
        <w:rPr>
          <w:noProof/>
        </w:rPr>
      </w:pPr>
      <w:r>
        <w:rPr>
          <w:noProof/>
        </w:rPr>
        <w:t>Den centrala motparten ska utveckla lämpliga mekanismer för att involvera anknutna finansmarknadsinfrastrukturer och berörda parter som skulle bära förluster, kostnader eller bidra till att täcka likviditetsunderskott om återhämtningsplanen genomfördes i samband med utarbetandet av den planen.</w:t>
      </w:r>
    </w:p>
    <w:p>
      <w:pPr>
        <w:pStyle w:val="NumPar1"/>
        <w:rPr>
          <w:noProof/>
        </w:rPr>
      </w:pPr>
      <w:r>
        <w:rPr>
          <w:noProof/>
        </w:rPr>
        <w:t>Återhämtningsplanen ska innehålla följande uppgifter:</w:t>
      </w:r>
    </w:p>
    <w:p>
      <w:pPr>
        <w:pStyle w:val="Point1number"/>
        <w:numPr>
          <w:ilvl w:val="2"/>
          <w:numId w:val="14"/>
        </w:numPr>
        <w:rPr>
          <w:noProof/>
        </w:rPr>
      </w:pPr>
      <w:r>
        <w:rPr>
          <w:noProof/>
        </w:rPr>
        <w:t>En sammanfattning av huvudinslagen i planen och en sammanfattning av den totala återhämtningskapaciteten.</w:t>
      </w:r>
    </w:p>
    <w:p>
      <w:pPr>
        <w:pStyle w:val="Point1number"/>
        <w:rPr>
          <w:noProof/>
        </w:rPr>
      </w:pPr>
      <w:r>
        <w:rPr>
          <w:noProof/>
        </w:rPr>
        <w:t>En sammanfattning av de väsentliga förändringarna för den centrala motparten sedan den senast inlämnade återhämtningsplanen.</w:t>
      </w:r>
    </w:p>
    <w:p>
      <w:pPr>
        <w:pStyle w:val="Point1number"/>
        <w:rPr>
          <w:noProof/>
        </w:rPr>
      </w:pPr>
      <w:r>
        <w:rPr>
          <w:noProof/>
        </w:rPr>
        <w:t>En kommunikations- och informationsplan som beskriver hur den centrala motparten avser att hantera eventuellt negativa marknadsreaktioner.</w:t>
      </w:r>
    </w:p>
    <w:p>
      <w:pPr>
        <w:pStyle w:val="Point1number"/>
        <w:rPr>
          <w:noProof/>
        </w:rPr>
      </w:pPr>
      <w:r>
        <w:rPr>
          <w:noProof/>
        </w:rPr>
        <w:t>En övergripande samling åtgärder för kapital, förlustfördelning och likviditet som krävs för att upprätthålla eller återställa den centrala motpartens bärkraft och finansiella ställning, inbegripet för att återställa dess kopplade bok och kapital och fylla på förfinansierade medel som  är  nödvändiga för att den centrala motpartens bärkraft ska upprätthållas som gående koncern, och för att fortsatt tillhandahålla kritiska tjänster i enlighet med artikel 1.2 i kommissionens delegerade förordning (EU) nr 152/2013 och artikel 32.2 och 32.3 i kommissionens delegerade förordning (EU) nr 153/2013.</w:t>
      </w:r>
    </w:p>
    <w:p>
      <w:pPr>
        <w:pStyle w:val="Point1number"/>
        <w:rPr>
          <w:noProof/>
        </w:rPr>
      </w:pPr>
      <w:r>
        <w:rPr>
          <w:noProof/>
        </w:rPr>
        <w:t>Lämpliga villkor och förfaranden för att säkerställa att återhämtningsåtgärder genomförs i rätt tid samt ett brett spektrum av återhämtningsalternativ, inbegripet en uppskattning av tidsramen för att genomföra varje väsentlig del av planen.</w:t>
      </w:r>
    </w:p>
    <w:p>
      <w:pPr>
        <w:pStyle w:val="Point1number"/>
        <w:rPr>
          <w:noProof/>
        </w:rPr>
      </w:pPr>
      <w:r>
        <w:rPr>
          <w:noProof/>
        </w:rPr>
        <w:t>En närmare beskrivning av alla väsentliga hinder för ett effektivt och snabbt verkställande av planen, inbegripet beaktande av följderna för clearingmedlemmar och kunder i de fall där clearingmedlemmar antas vidta åtgärder i enlighet med de återhämtningsplaner som avses i artiklarna 5 och 7 i direktiv 2014/59/EU och i förekommande fall för resten av koncernen.</w:t>
      </w:r>
    </w:p>
    <w:p>
      <w:pPr>
        <w:pStyle w:val="Point1number"/>
        <w:rPr>
          <w:noProof/>
        </w:rPr>
      </w:pPr>
      <w:r>
        <w:rPr>
          <w:noProof/>
        </w:rPr>
        <w:t>Identifiering av kritiska funktioner.</w:t>
      </w:r>
    </w:p>
    <w:p>
      <w:pPr>
        <w:pStyle w:val="Point1number"/>
        <w:rPr>
          <w:noProof/>
        </w:rPr>
      </w:pPr>
      <w:r>
        <w:rPr>
          <w:noProof/>
        </w:rPr>
        <w:lastRenderedPageBreak/>
        <w:t>En detaljerad beskrivning av förfarandena för att fastställa värdet på och möjligheten att avyttra den centrala motpartens centrala affärsområden, verksamhet och tillgångar.</w:t>
      </w:r>
    </w:p>
    <w:p>
      <w:pPr>
        <w:pStyle w:val="Point1number"/>
        <w:rPr>
          <w:noProof/>
        </w:rPr>
      </w:pPr>
      <w:r>
        <w:rPr>
          <w:noProof/>
        </w:rPr>
        <w:t>En detaljerad beskrivning av hur återhämtningsplaneringen införlivas i den centrala motpartens ledningsstruktur, hur den ingår i den centrala motpartens operativa regler som clearingmedlemmarna har enats om, samt politiken och förfarandena för godkännandet av återhämtningsplanen och fastställande av vilka personer i organisationen som ska ansvara för att utarbeta och genomföra planen.</w:t>
      </w:r>
    </w:p>
    <w:p>
      <w:pPr>
        <w:pStyle w:val="Point1number"/>
        <w:rPr>
          <w:noProof/>
        </w:rPr>
      </w:pPr>
      <w:r>
        <w:rPr>
          <w:noProof/>
        </w:rPr>
        <w:t>Arrangemang och åtgärder som uppmuntrar clearingmedlemmar som inte är på obestånd  att lägga bud i auktioner på en fallerad medlems positioner.</w:t>
      </w:r>
    </w:p>
    <w:p>
      <w:pPr>
        <w:pStyle w:val="Point1number"/>
        <w:rPr>
          <w:noProof/>
        </w:rPr>
      </w:pPr>
      <w:r>
        <w:rPr>
          <w:noProof/>
        </w:rPr>
        <w:t>Arrangemang och åtgärder för att säkerställa att institutet har tillräcklig tillgång till beredskapsfinansieringskällor, däribland potentiella likvida medel, bedömning av tillgängliga säkerheter och av möjligheterna att föra över likvida medel mellan koncernenheter och affärsområden för att garantera att institutet kan fortsätta att bedriva sin verksamhet och fullgöra sina åtaganden när de förfaller till betalning.</w:t>
      </w:r>
    </w:p>
    <w:p>
      <w:pPr>
        <w:pStyle w:val="Point1number"/>
        <w:rPr>
          <w:noProof/>
        </w:rPr>
      </w:pPr>
      <w:r>
        <w:rPr>
          <w:noProof/>
        </w:rPr>
        <w:t xml:space="preserve">Arrangemang och åtgärder: </w:t>
      </w:r>
    </w:p>
    <w:p>
      <w:pPr>
        <w:pStyle w:val="Point2letter"/>
        <w:rPr>
          <w:noProof/>
        </w:rPr>
      </w:pPr>
      <w:r>
        <w:rPr>
          <w:noProof/>
        </w:rPr>
        <w:t>För att minska riskerna.</w:t>
      </w:r>
    </w:p>
    <w:p>
      <w:pPr>
        <w:pStyle w:val="Point2letter"/>
        <w:rPr>
          <w:noProof/>
        </w:rPr>
      </w:pPr>
      <w:r>
        <w:rPr>
          <w:noProof/>
        </w:rPr>
        <w:t>För att omstrukturera avtal, rättigheter, tillgångar och skulder.</w:t>
      </w:r>
    </w:p>
    <w:p>
      <w:pPr>
        <w:pStyle w:val="Point2letter"/>
        <w:rPr>
          <w:noProof/>
        </w:rPr>
      </w:pPr>
      <w:r>
        <w:rPr>
          <w:noProof/>
        </w:rPr>
        <w:t>För omstrukturering av affärsområden.</w:t>
      </w:r>
    </w:p>
    <w:p>
      <w:pPr>
        <w:pStyle w:val="Point2letter"/>
        <w:rPr>
          <w:noProof/>
        </w:rPr>
      </w:pPr>
      <w:r>
        <w:rPr>
          <w:noProof/>
        </w:rPr>
        <w:t>som krävs för att upprätthålla kontinuerlig tillgång till finansmarknadernas infrastruktur.</w:t>
      </w:r>
    </w:p>
    <w:p>
      <w:pPr>
        <w:pStyle w:val="Point2letter"/>
        <w:rPr>
          <w:noProof/>
        </w:rPr>
      </w:pPr>
      <w:r>
        <w:rPr>
          <w:noProof/>
        </w:rPr>
        <w:t>som är nödvändiga för att fortlöpande upprätthålla den centrala motpartens operativa verksamhet, däribland infrastruktur och it-tjänster.</w:t>
      </w:r>
    </w:p>
    <w:p>
      <w:pPr>
        <w:pStyle w:val="Point2letter"/>
        <w:rPr>
          <w:noProof/>
        </w:rPr>
      </w:pPr>
      <w:r>
        <w:rPr>
          <w:noProof/>
        </w:rPr>
        <w:t>Förberedande åtgärder för att underlätta försäljning av tillgångar eller affärsområden med en lämplig tidsfrist för återställandet av institutets finansiella ställning.</w:t>
      </w:r>
    </w:p>
    <w:p>
      <w:pPr>
        <w:pStyle w:val="Point2letter"/>
        <w:rPr>
          <w:noProof/>
        </w:rPr>
      </w:pPr>
      <w:r>
        <w:rPr>
          <w:noProof/>
        </w:rPr>
        <w:t>Andra styråtgärder eller strategier för att återställa den finansiella ställningen och förutse de finansiella effekterna av dessa åtgärder och strategier.</w:t>
      </w:r>
    </w:p>
    <w:p>
      <w:pPr>
        <w:pStyle w:val="Point2letter"/>
        <w:rPr>
          <w:noProof/>
        </w:rPr>
      </w:pPr>
      <w:r>
        <w:rPr>
          <w:noProof/>
        </w:rPr>
        <w:t>Förberedande åtgärder som den centrala motparten vidtagit eller planerar vidta för att underlätta genomförandet av återhämtningsplanen, däribland åtgärder som är nödvändiga för att snabbt rekapitalisera institutet, återställa dess kopplade bok och påfyllnad av förbetalda medel liksom dess verkställighet över gränserna.</w:t>
      </w:r>
    </w:p>
    <w:p>
      <w:pPr>
        <w:pStyle w:val="Point2letter"/>
        <w:rPr>
          <w:noProof/>
        </w:rPr>
      </w:pPr>
      <w:r>
        <w:rPr>
          <w:noProof/>
        </w:rPr>
        <w:t>En ram med indikatorer som identifierar tidpunkterna för när planens olika åtgärder får vidtas.</w:t>
      </w:r>
    </w:p>
    <w:p>
      <w:pPr>
        <w:pStyle w:val="Point2letter"/>
        <w:rPr>
          <w:noProof/>
        </w:rPr>
      </w:pPr>
      <w:r>
        <w:rPr>
          <w:noProof/>
        </w:rPr>
        <w:t>Där tillämpligt, en analys av hur och när en central motpart, i enlighet med de villkor som anges i planen, får ansöka om att få utnyttja centralbanksfaciliteter och identifiera de tillgångar som kan förväntas godtas som säkerhet enligt centralbanksfacilitetens villkor.</w:t>
      </w:r>
    </w:p>
    <w:p>
      <w:pPr>
        <w:pStyle w:val="Point2letter"/>
        <w:rPr>
          <w:noProof/>
        </w:rPr>
      </w:pPr>
      <w:r>
        <w:rPr>
          <w:noProof/>
        </w:rPr>
        <w:lastRenderedPageBreak/>
        <w:t>Med beaktande av bestämmelserna i artikel 49.1 i förordning (EU) nr 648/2012, en rad extrema stresscenarier som är relevanta för den centrala motpartens specifika förhållanden, bland annat systemomfattande händelser, finansiell stress som särskilt avser den juridiska personen och den koncern som företaget tillhör och specifik stress för den enskilda centrala motpartens clearingmedlemmar eller, i tillämpliga fall, en anknuten finansmarknadsstruktur.</w:t>
      </w:r>
    </w:p>
    <w:p>
      <w:pPr>
        <w:pStyle w:val="Point2letter"/>
        <w:rPr>
          <w:noProof/>
        </w:rPr>
      </w:pPr>
      <w:r>
        <w:rPr>
          <w:noProof/>
        </w:rPr>
        <w:t>Med beaktande av bestämmelserna i artikel 34 och artikel 49.1 i förordning (EU) nr 648/2012, scenarier som orsakas både av stress eller fallissemang av en eller flera av dess medlemmar och andra faktorer, däribland förluster från den centrala motpartens investeringsverksamhet (inbegripet allvarliga yttre hot mot den centrala motpartens verksamhet på grund av en extern störning, chock eller it-relaterad incident).</w:t>
      </w:r>
    </w:p>
    <w:p>
      <w:pPr>
        <w:pStyle w:val="SectionTitle"/>
        <w:spacing w:before="0" w:after="240"/>
        <w:rPr>
          <w:noProof/>
        </w:rPr>
      </w:pPr>
      <w:r>
        <w:rPr>
          <w:noProof/>
        </w:rPr>
        <w:t>AVSNITT B</w:t>
      </w:r>
      <w:r>
        <w:rPr>
          <w:noProof/>
        </w:rPr>
        <w:br/>
        <w:t xml:space="preserve">Information som resolutionsmyndigheter kan begära från centrala motparter </w:t>
      </w:r>
      <w:r>
        <w:rPr>
          <w:noProof/>
        </w:rPr>
        <w:br/>
        <w:t>i syfte att utarbeta och</w:t>
      </w:r>
      <w:r>
        <w:rPr>
          <w:noProof/>
        </w:rPr>
        <w:br/>
        <w:t>upprätthålla resolutionsplaner</w:t>
      </w:r>
    </w:p>
    <w:p>
      <w:pPr>
        <w:spacing w:before="0" w:after="240" w:line="276" w:lineRule="auto"/>
        <w:rPr>
          <w:rFonts w:eastAsia="Calibri"/>
          <w:noProof/>
        </w:rPr>
      </w:pPr>
      <w:r>
        <w:rPr>
          <w:noProof/>
        </w:rPr>
        <w:t>Resolutionsmyndigheter får begära åtminstone följande uppgifter från institut för utarbetande och uppdatering av resolutionsplaner:</w:t>
      </w:r>
    </w:p>
    <w:p>
      <w:pPr>
        <w:pStyle w:val="Point0number"/>
        <w:numPr>
          <w:ilvl w:val="0"/>
          <w:numId w:val="10"/>
        </w:numPr>
        <w:rPr>
          <w:noProof/>
        </w:rPr>
      </w:pPr>
      <w:r>
        <w:rPr>
          <w:noProof/>
        </w:rPr>
        <w:t>En detaljerad beskrivning av institutets organisationsstruktur, däribland en förteckning över samtliga juridiska personer.</w:t>
      </w:r>
    </w:p>
    <w:p>
      <w:pPr>
        <w:pStyle w:val="Point0number"/>
        <w:rPr>
          <w:noProof/>
        </w:rPr>
      </w:pPr>
      <w:r>
        <w:rPr>
          <w:noProof/>
        </w:rPr>
        <w:t>Uppgifter om varje juridisk persons direkta ägare och andelen med och utan rösträtt.</w:t>
      </w:r>
    </w:p>
    <w:p>
      <w:pPr>
        <w:pStyle w:val="Point0number"/>
        <w:rPr>
          <w:noProof/>
        </w:rPr>
      </w:pPr>
      <w:r>
        <w:rPr>
          <w:noProof/>
        </w:rPr>
        <w:t>Varje juridisk persons etableringsort, registreringsland, verksamhetstillstånd och ledning.</w:t>
      </w:r>
    </w:p>
    <w:p>
      <w:pPr>
        <w:pStyle w:val="Point0number"/>
        <w:rPr>
          <w:noProof/>
        </w:rPr>
      </w:pPr>
      <w:r>
        <w:rPr>
          <w:noProof/>
        </w:rPr>
        <w:t>En översikt över den centrala motpartens kritiska funktioner och centrala affärsområden, däribland balansräkningsuppgifter för sådan verksamhet och sådana affärsområden, redovisat per juridisk person.</w:t>
      </w:r>
    </w:p>
    <w:p>
      <w:pPr>
        <w:pStyle w:val="Point0number"/>
        <w:rPr>
          <w:noProof/>
        </w:rPr>
      </w:pPr>
      <w:r>
        <w:rPr>
          <w:noProof/>
        </w:rPr>
        <w:t xml:space="preserve">En detaljerad beskrivning av komponenterna i den centrala motpartens och samtliga juridiska personers verksamhet, som separat anger åtminstone typer av tjänster och belopp för godkända volymer, öppen ränta, initialsäkerhet, variationsmarginalflöden, obeståndsfonder och de därmed förbundna bedömningsrättigheter eller andra återhämtningsåtgärder som gäller sådan verksamhet. </w:t>
      </w:r>
    </w:p>
    <w:p>
      <w:pPr>
        <w:pStyle w:val="Point0number"/>
        <w:rPr>
          <w:noProof/>
        </w:rPr>
      </w:pPr>
      <w:r>
        <w:rPr>
          <w:noProof/>
        </w:rPr>
        <w:t>Uppgifter om kapital- och skuldinstrument som emitterats av den centrala motparten och dess rättsliga enheter.</w:t>
      </w:r>
    </w:p>
    <w:p>
      <w:pPr>
        <w:pStyle w:val="Point0number"/>
        <w:rPr>
          <w:noProof/>
        </w:rPr>
      </w:pPr>
      <w:r>
        <w:rPr>
          <w:noProof/>
        </w:rPr>
        <w:t>Uppgift om från vem den centrala motparten har erhållit säkerhet och i vilken form (t.ex. genom äganderättsöverföring eller pantsättning), och till vem den ställt säkerheter och i vilken form och den person som innehar säkerheten, och i båda fallen den jurisdiktion där säkerheten befinner sig.</w:t>
      </w:r>
    </w:p>
    <w:p>
      <w:pPr>
        <w:pStyle w:val="Point0number"/>
        <w:rPr>
          <w:noProof/>
        </w:rPr>
      </w:pPr>
      <w:r>
        <w:rPr>
          <w:noProof/>
        </w:rPr>
        <w:t>En redogörelse för institutets och dess juridiska enheters exponeringar utanför balansräkningen, en översikt över dess kritiska funktioner och centrala affärsområden.</w:t>
      </w:r>
    </w:p>
    <w:p>
      <w:pPr>
        <w:pStyle w:val="Point0number"/>
        <w:rPr>
          <w:noProof/>
        </w:rPr>
      </w:pPr>
      <w:r>
        <w:rPr>
          <w:noProof/>
        </w:rPr>
        <w:lastRenderedPageBreak/>
        <w:t>Den centrala motpartens väsentliga säkringar, inklusive per juridisk person.</w:t>
      </w:r>
    </w:p>
    <w:p>
      <w:pPr>
        <w:pStyle w:val="Point0number"/>
        <w:rPr>
          <w:noProof/>
        </w:rPr>
      </w:pPr>
      <w:r>
        <w:rPr>
          <w:noProof/>
        </w:rPr>
        <w:t>Identifiering av de relativa exponeringarna och betydelsen av den centrala motpartens clearingmedlemmar samt en analys av inverkan för fallissemang hos den centrala motpartens clearingmedlemmar.</w:t>
      </w:r>
    </w:p>
    <w:p>
      <w:pPr>
        <w:pStyle w:val="Point0number"/>
        <w:rPr>
          <w:noProof/>
        </w:rPr>
      </w:pPr>
      <w:r>
        <w:rPr>
          <w:noProof/>
        </w:rPr>
        <w:t>Varje system i vilket institutet har en siffer- eller värdemässigt betydande handelsvolym, inklusive en översikt över den centrala motpartens juridiska personer, kritisk verksamhet och centrala affärsområden.</w:t>
      </w:r>
    </w:p>
    <w:p>
      <w:pPr>
        <w:pStyle w:val="Point0number"/>
        <w:rPr>
          <w:noProof/>
        </w:rPr>
      </w:pPr>
      <w:r>
        <w:rPr>
          <w:noProof/>
        </w:rPr>
        <w:t>Varje betalnings-, clearing- eller avvecklingssystem som institutet direkt eller indirekt ingår i, inklusive en översikt över den centrala motpartens juridiska personer, kritisk verksamhet och centrala affärsområden.</w:t>
      </w:r>
    </w:p>
    <w:p>
      <w:pPr>
        <w:pStyle w:val="Point0number"/>
        <w:rPr>
          <w:noProof/>
        </w:rPr>
      </w:pPr>
      <w:r>
        <w:rPr>
          <w:noProof/>
        </w:rPr>
        <w:t>En detaljerad uppräkning och beskrivning av institutets centrala styrinformationssystem, däribland system för riskhantering, redovisning, finansiell och lagstadgad rapportering som används av den centrala motparten, inklusive en översikt av den centrala motpartens juridiska personer, kritisk verksamhet och centrala affärsområden.</w:t>
      </w:r>
    </w:p>
    <w:p>
      <w:pPr>
        <w:pStyle w:val="Point0number"/>
        <w:rPr>
          <w:noProof/>
        </w:rPr>
      </w:pPr>
      <w:r>
        <w:rPr>
          <w:noProof/>
        </w:rPr>
        <w:t>Uppgifter om ägarna till de system som avses i led 13, tillhörande servicenivåavtal och alla datorprogram, system eller verksamhetstillstånd, inklusive en översikt av deras juridiska enheter, kritisk verksamhet och centrala affärsområden.</w:t>
      </w:r>
    </w:p>
    <w:p>
      <w:pPr>
        <w:pStyle w:val="Point0number"/>
        <w:rPr>
          <w:noProof/>
        </w:rPr>
      </w:pPr>
      <w:r>
        <w:rPr>
          <w:noProof/>
        </w:rPr>
        <w:t>Redovisning av och översikt över juridiska personer, kopplingar och ömsesidigt beroende mellan de olika juridiska personerna, till exempel</w:t>
      </w:r>
    </w:p>
    <w:p>
      <w:pPr>
        <w:pStyle w:val="Tiret0"/>
        <w:numPr>
          <w:ilvl w:val="0"/>
          <w:numId w:val="9"/>
        </w:numPr>
        <w:tabs>
          <w:tab w:val="clear" w:pos="850"/>
          <w:tab w:val="num" w:pos="1701"/>
        </w:tabs>
        <w:spacing w:before="0" w:after="240"/>
        <w:ind w:left="1701"/>
        <w:rPr>
          <w:noProof/>
        </w:rPr>
      </w:pPr>
      <w:r>
        <w:rPr>
          <w:noProof/>
        </w:rPr>
        <w:t>gemensam eller delad personal, gemensamma eller delade anläggningar och system,</w:t>
      </w:r>
    </w:p>
    <w:p>
      <w:pPr>
        <w:pStyle w:val="Tiret0"/>
        <w:tabs>
          <w:tab w:val="clear" w:pos="850"/>
          <w:tab w:val="num" w:pos="1701"/>
        </w:tabs>
        <w:spacing w:before="0" w:after="240"/>
        <w:ind w:left="1701"/>
        <w:rPr>
          <w:noProof/>
        </w:rPr>
      </w:pPr>
      <w:r>
        <w:rPr>
          <w:noProof/>
        </w:rPr>
        <w:t>kapital-, finansierings- eller likviditetsarrangemang,</w:t>
      </w:r>
    </w:p>
    <w:p>
      <w:pPr>
        <w:pStyle w:val="Tiret0"/>
        <w:tabs>
          <w:tab w:val="clear" w:pos="850"/>
          <w:tab w:val="num" w:pos="1701"/>
        </w:tabs>
        <w:spacing w:before="0" w:after="240"/>
        <w:ind w:left="1701"/>
        <w:rPr>
          <w:noProof/>
        </w:rPr>
      </w:pPr>
      <w:r>
        <w:rPr>
          <w:noProof/>
        </w:rPr>
        <w:t>befintlig eller villkorad kreditexponering,</w:t>
      </w:r>
    </w:p>
    <w:p>
      <w:pPr>
        <w:pStyle w:val="Tiret0"/>
        <w:tabs>
          <w:tab w:val="clear" w:pos="850"/>
          <w:tab w:val="num" w:pos="1701"/>
        </w:tabs>
        <w:spacing w:before="0" w:after="240"/>
        <w:ind w:left="1701"/>
        <w:rPr>
          <w:noProof/>
        </w:rPr>
      </w:pPr>
      <w:r>
        <w:rPr>
          <w:noProof/>
        </w:rPr>
        <w:t>korsvisa garantiavtal, korsvisa arrangemang för säkerheter, korsvisa fallissemangsklausuler och korsvisa nettningsavtal,</w:t>
      </w:r>
    </w:p>
    <w:p>
      <w:pPr>
        <w:pStyle w:val="Tiret0"/>
        <w:tabs>
          <w:tab w:val="clear" w:pos="850"/>
          <w:tab w:val="num" w:pos="1701"/>
        </w:tabs>
        <w:spacing w:before="0" w:after="240"/>
        <w:ind w:left="1701"/>
        <w:rPr>
          <w:noProof/>
        </w:rPr>
      </w:pPr>
      <w:r>
        <w:rPr>
          <w:noProof/>
        </w:rPr>
        <w:t>risköverföring och back-to-back-handelsavtal, servicenivåavtal,</w:t>
      </w:r>
    </w:p>
    <w:p>
      <w:pPr>
        <w:pStyle w:val="Point0number"/>
        <w:rPr>
          <w:noProof/>
        </w:rPr>
      </w:pPr>
      <w:r>
        <w:rPr>
          <w:noProof/>
        </w:rPr>
        <w:t>behörig myndighet och resolutionsmyndighet per juridisk person, om andra än dem som anges i artikel 22 i förordning (EU) nr 648/2012 och i artikel 3 i denna förordning.</w:t>
      </w:r>
    </w:p>
    <w:p>
      <w:pPr>
        <w:pStyle w:val="Point0number"/>
        <w:rPr>
          <w:noProof/>
        </w:rPr>
      </w:pPr>
      <w:r>
        <w:rPr>
          <w:noProof/>
        </w:rPr>
        <w:t>Den person i ledningsorganet som har ansvar för att tillhandahålla de uppgifter som är nödvändiga för att utarbeta den centrala motpartens resolutionsplan, samt ansvariga personer (om det rör sig om andra personer) för de olika juridiska personerna, den kritiska verksamheten och centrala affärsområden.</w:t>
      </w:r>
    </w:p>
    <w:p>
      <w:pPr>
        <w:pStyle w:val="Point0number"/>
        <w:rPr>
          <w:noProof/>
        </w:rPr>
      </w:pPr>
      <w:r>
        <w:rPr>
          <w:noProof/>
        </w:rPr>
        <w:t>Beskrivning av institutets arrangemang för att säkerställa att rekonstruktionsmyndigheten vid en eventuell rekonstruktion har tillgång till alla nödvändiga uppgifter som fastställs av rekonstruktionsmyndigheten, för att kunna använda resolutionsverktygen och utöva resolutionsbefogenheterna.</w:t>
      </w:r>
    </w:p>
    <w:p>
      <w:pPr>
        <w:pStyle w:val="Point0number"/>
        <w:rPr>
          <w:noProof/>
        </w:rPr>
      </w:pPr>
      <w:r>
        <w:rPr>
          <w:noProof/>
        </w:rPr>
        <w:t xml:space="preserve">Alla arrangemang som den centrala motparten och dess juridiska enheter ingått med tredjeparter och som skulle kunna sägas upp till följd av ett beslut från myndigheten </w:t>
      </w:r>
      <w:r>
        <w:rPr>
          <w:noProof/>
        </w:rPr>
        <w:lastRenderedPageBreak/>
        <w:t>att använda ett resolutionsverktyg och i vilken mån uppsägningen skulle kunna påverka användningen av resolutionsverktyget.</w:t>
      </w:r>
    </w:p>
    <w:p>
      <w:pPr>
        <w:pStyle w:val="Point0number"/>
        <w:rPr>
          <w:noProof/>
        </w:rPr>
      </w:pPr>
      <w:r>
        <w:rPr>
          <w:noProof/>
        </w:rPr>
        <w:t>En beskrivning av möjliga likvida medel till stöd för resolution.</w:t>
      </w:r>
    </w:p>
    <w:p>
      <w:pPr>
        <w:pStyle w:val="Point0number"/>
        <w:spacing w:before="0" w:after="200" w:line="276" w:lineRule="auto"/>
        <w:jc w:val="left"/>
        <w:rPr>
          <w:smallCaps/>
          <w:noProof/>
          <w:sz w:val="28"/>
        </w:rPr>
      </w:pPr>
      <w:r>
        <w:rPr>
          <w:noProof/>
        </w:rPr>
        <w:t>Uppgifter om inteckning av tillgångar, likvida tillgångar, poster utanför balansräkningen och konteringspraxis.</w:t>
      </w:r>
      <w:r>
        <w:rPr>
          <w:noProof/>
        </w:rPr>
        <w:br w:type="page"/>
      </w:r>
    </w:p>
    <w:p>
      <w:pPr>
        <w:pStyle w:val="SectionTitle"/>
        <w:spacing w:before="0" w:after="240"/>
        <w:rPr>
          <w:noProof/>
        </w:rPr>
      </w:pPr>
      <w:r>
        <w:rPr>
          <w:noProof/>
        </w:rPr>
        <w:lastRenderedPageBreak/>
        <w:t>AVSNITT C</w:t>
      </w:r>
      <w:r>
        <w:rPr>
          <w:noProof/>
        </w:rPr>
        <w:br/>
        <w:t xml:space="preserve">Aspekter att beaktas av resolutionsmyndigheten  </w:t>
      </w:r>
      <w:r>
        <w:rPr>
          <w:noProof/>
        </w:rPr>
        <w:br/>
        <w:t>vid resolutionsbedömningen av en central motpart</w:t>
      </w:r>
    </w:p>
    <w:p>
      <w:pPr>
        <w:spacing w:before="0" w:after="240" w:line="276" w:lineRule="auto"/>
        <w:rPr>
          <w:rFonts w:eastAsia="Calibri"/>
          <w:noProof/>
        </w:rPr>
      </w:pPr>
      <w:r>
        <w:rPr>
          <w:noProof/>
        </w:rPr>
        <w:t>Vid bedömning av möjligheterna till resolution av ett institut ska resolutionsmyndigheten beakta följande:</w:t>
      </w:r>
    </w:p>
    <w:p>
      <w:pPr>
        <w:pStyle w:val="Point0number"/>
        <w:numPr>
          <w:ilvl w:val="0"/>
          <w:numId w:val="11"/>
        </w:numPr>
        <w:rPr>
          <w:noProof/>
        </w:rPr>
      </w:pPr>
      <w:r>
        <w:rPr>
          <w:noProof/>
        </w:rPr>
        <w:t>Institutets förmåga att klarlägga centrala affärsområden och kritisk verksamhet för de juridiska personerna.</w:t>
      </w:r>
    </w:p>
    <w:p>
      <w:pPr>
        <w:pStyle w:val="Point0number"/>
        <w:rPr>
          <w:noProof/>
        </w:rPr>
      </w:pPr>
      <w:r>
        <w:rPr>
          <w:noProof/>
        </w:rPr>
        <w:t>Graden av anpassning mellan juridiska strukturer och företagsstrukturer i förhållande till centrala affärsområden och kritisk verksamhet.</w:t>
      </w:r>
    </w:p>
    <w:p>
      <w:pPr>
        <w:pStyle w:val="Point0number"/>
        <w:rPr>
          <w:noProof/>
        </w:rPr>
      </w:pPr>
      <w:r>
        <w:rPr>
          <w:noProof/>
        </w:rPr>
        <w:t>I vilken mån det finns arrangemang för att tillhandahålla nödvändig personal, infrastruktur, finansiering, likviditet och kapital för att stödja och upprätthålla centrala affärsområden och kritisk verksamhet.</w:t>
      </w:r>
    </w:p>
    <w:p>
      <w:pPr>
        <w:pStyle w:val="Point0number"/>
        <w:rPr>
          <w:noProof/>
        </w:rPr>
      </w:pPr>
      <w:r>
        <w:rPr>
          <w:noProof/>
        </w:rPr>
        <w:t>I vilken mån serviceavtal som den centrala motparten ingått kan hävdas fullt ut om den försätts i resolution.</w:t>
      </w:r>
    </w:p>
    <w:p>
      <w:pPr>
        <w:pStyle w:val="Point0number"/>
        <w:rPr>
          <w:noProof/>
        </w:rPr>
      </w:pPr>
      <w:r>
        <w:rPr>
          <w:noProof/>
        </w:rPr>
        <w:t>I vilken mån den centrala motpartens styrningsstruktur är lämplig för att hantera och säkra efterlevnaden av den centrala motpartens interna riktlinjer för servicenivåavtal.</w:t>
      </w:r>
    </w:p>
    <w:p>
      <w:pPr>
        <w:pStyle w:val="Point0number"/>
        <w:rPr>
          <w:noProof/>
        </w:rPr>
      </w:pPr>
      <w:r>
        <w:rPr>
          <w:noProof/>
        </w:rPr>
        <w:t>I vilken mån den centrala motparten har ett förfarande för att föra över tjänster som tillhandahållits tredjeparter inom ramen för ett servicenivåavtal, ifall kritiska funktioner eller centrala affärsområden skulle separeras.</w:t>
      </w:r>
    </w:p>
    <w:p>
      <w:pPr>
        <w:pStyle w:val="Point0number"/>
        <w:rPr>
          <w:noProof/>
        </w:rPr>
      </w:pPr>
      <w:r>
        <w:rPr>
          <w:noProof/>
        </w:rPr>
        <w:t>I vilken mån det finns beredskapsplaner och åtgärder för att garantera fortsatt tillgång till betalnings- och avvecklingssystem.</w:t>
      </w:r>
    </w:p>
    <w:p>
      <w:pPr>
        <w:pStyle w:val="Point0number"/>
        <w:rPr>
          <w:noProof/>
        </w:rPr>
      </w:pPr>
      <w:r>
        <w:rPr>
          <w:noProof/>
        </w:rPr>
        <w:t>I vilken mån ledningsinformationssystemen garanterar att resolutionsmyndigheterna kan inhämta korrekta och fullständiga uppgifter om centrala affärsområden och kritisk verksamhet i syfte att påskynda beslutsprocessen.</w:t>
      </w:r>
    </w:p>
    <w:p>
      <w:pPr>
        <w:pStyle w:val="Point0number"/>
        <w:rPr>
          <w:noProof/>
        </w:rPr>
      </w:pPr>
      <w:r>
        <w:rPr>
          <w:noProof/>
        </w:rPr>
        <w:t>Ledningsinformationssystemens kapacitet att tillhandahålla uppgifter som är väsentliga för att när som helst på ett effektivt sätt kunna försätta den centrala motparten i resolution även under mycket föränderliga förhållanden.</w:t>
      </w:r>
    </w:p>
    <w:p>
      <w:pPr>
        <w:pStyle w:val="Point0number"/>
        <w:rPr>
          <w:noProof/>
        </w:rPr>
      </w:pPr>
      <w:r>
        <w:rPr>
          <w:noProof/>
        </w:rPr>
        <w:t>I vilken mån den centrala motparten har testat sina ledningsinformationssystem i det stresscenario som fastställts av resolutionsmyndigheten.</w:t>
      </w:r>
    </w:p>
    <w:p>
      <w:pPr>
        <w:pStyle w:val="Point0number"/>
        <w:rPr>
          <w:noProof/>
        </w:rPr>
      </w:pPr>
      <w:r>
        <w:rPr>
          <w:noProof/>
        </w:rPr>
        <w:t>I vilken mån den centrala motparten kan garantera att dess ledningsinformationssystem kommer att fortsätta att fungera för både den berörda och den nya centrala motparten, ifall den kritiska verksamheten och centrala affärsområden avskiljs från den övriga verksamheten och övriga affärsområden.</w:t>
      </w:r>
    </w:p>
    <w:p>
      <w:pPr>
        <w:pStyle w:val="Point0number"/>
        <w:rPr>
          <w:noProof/>
        </w:rPr>
      </w:pPr>
      <w:r>
        <w:rPr>
          <w:noProof/>
        </w:rPr>
        <w:t>Ifall den centrala motparten använder koncerninterna säkerheter – i vilken mån dessa säkerheter tillhandhålls på marknadsvillkor och om riskhanteringssystemen för dessa säkerheter är stabila.</w:t>
      </w:r>
    </w:p>
    <w:p>
      <w:pPr>
        <w:pStyle w:val="Point0number"/>
        <w:rPr>
          <w:noProof/>
        </w:rPr>
      </w:pPr>
      <w:r>
        <w:rPr>
          <w:noProof/>
        </w:rPr>
        <w:t>Ifall den centrala motparten tillämpar ömsesidiga transaktioner – i vilken mån dessa transaktioner görs på marknadsvillkor och om riskhanteringssystemen för denna transaktionsverksamhet är stabila.</w:t>
      </w:r>
    </w:p>
    <w:p>
      <w:pPr>
        <w:pStyle w:val="Point0number"/>
        <w:rPr>
          <w:noProof/>
        </w:rPr>
      </w:pPr>
      <w:r>
        <w:rPr>
          <w:noProof/>
        </w:rPr>
        <w:lastRenderedPageBreak/>
        <w:t>I vilken mån användningen av koncerninterna säkerheter eller ömsesidigt bokförda transaktioner ökar spridningseffekten inom koncernen.</w:t>
      </w:r>
    </w:p>
    <w:p>
      <w:pPr>
        <w:pStyle w:val="Point0number"/>
        <w:rPr>
          <w:noProof/>
        </w:rPr>
      </w:pPr>
      <w:r>
        <w:rPr>
          <w:noProof/>
        </w:rPr>
        <w:t>I vilken mån den centrala motpartens juridiska struktur utgör ett hinder för att resolutionsverktygen används på grund av antalet juridiska personer, koncernstrukturens komplexitet eller problem med att föra affärsområden till koncernenheter.</w:t>
      </w:r>
    </w:p>
    <w:p>
      <w:pPr>
        <w:pStyle w:val="Point0number"/>
        <w:rPr>
          <w:noProof/>
        </w:rPr>
      </w:pPr>
      <w:r>
        <w:rPr>
          <w:noProof/>
        </w:rPr>
        <w:t>I den mån resolutionen av den centrala motparten kan inverka negativt på någon annan del av koncernen, om tillämpligt.</w:t>
      </w:r>
    </w:p>
    <w:p>
      <w:pPr>
        <w:pStyle w:val="Point0number"/>
        <w:rPr>
          <w:noProof/>
        </w:rPr>
      </w:pPr>
      <w:r>
        <w:rPr>
          <w:noProof/>
        </w:rPr>
        <w:t>Förekomst av och stabilitet hos servicenivåavtal.</w:t>
      </w:r>
    </w:p>
    <w:p>
      <w:pPr>
        <w:pStyle w:val="Point0number"/>
        <w:rPr>
          <w:noProof/>
        </w:rPr>
      </w:pPr>
      <w:r>
        <w:rPr>
          <w:noProof/>
        </w:rPr>
        <w:t>Huruvida myndigheter i tredjeland har de nödvändiga resolutionsverktygen för att stödja resolutionsåtgärder från unionens resolutionsmyndigheter, och omfattningen av samordnade åtgärder mellan unionen och myndigheter i tredjeland.</w:t>
      </w:r>
    </w:p>
    <w:p>
      <w:pPr>
        <w:pStyle w:val="Point0number"/>
        <w:rPr>
          <w:noProof/>
        </w:rPr>
      </w:pPr>
      <w:r>
        <w:rPr>
          <w:noProof/>
        </w:rPr>
        <w:t>Möjligheten att använda resolutionsverktyg på ett sätt som uppfyller resolutionsmålen med tanke på de tillgängliga verktygen och den centrala motpartens struktur.</w:t>
      </w:r>
    </w:p>
    <w:p>
      <w:pPr>
        <w:pStyle w:val="Point0number"/>
        <w:rPr>
          <w:noProof/>
        </w:rPr>
      </w:pPr>
      <w:r>
        <w:rPr>
          <w:noProof/>
        </w:rPr>
        <w:t>Särskilda krav för att utfärda nya äganderättsinstrument som avses i artikel 33.1.</w:t>
      </w:r>
    </w:p>
    <w:p>
      <w:pPr>
        <w:pStyle w:val="Point0number"/>
        <w:rPr>
          <w:noProof/>
        </w:rPr>
      </w:pPr>
      <w:r>
        <w:rPr>
          <w:noProof/>
        </w:rPr>
        <w:t>De arrangemang och åtgärder genom vilka resolutionen kunde underlättas i fall där centrala motparter har clearingmedlemmar eller säkerhetsarrangemang som är etablerade i olika jurisdiktioner.</w:t>
      </w:r>
    </w:p>
    <w:p>
      <w:pPr>
        <w:pStyle w:val="Point0number"/>
        <w:rPr>
          <w:noProof/>
        </w:rPr>
      </w:pPr>
      <w:r>
        <w:rPr>
          <w:noProof/>
        </w:rPr>
        <w:t>Trovärdigheten i att använda resolutionsverktyg på ett sätt som uppfyller resolutionsmålen, med tanke på eventuella följder för clearingmedlemmar, andra motparter och anställda, och eventuella åtgärder som myndigheter i tredjeland kan vidta.</w:t>
      </w:r>
    </w:p>
    <w:p>
      <w:pPr>
        <w:pStyle w:val="Point0number"/>
        <w:rPr>
          <w:noProof/>
        </w:rPr>
      </w:pPr>
      <w:r>
        <w:rPr>
          <w:noProof/>
        </w:rPr>
        <w:t>I vilken utsträckning effekterna av institutets resolution på det finansiella systemet och på den finansiella marknadens förtroende kan utvärderas tillräckligt.</w:t>
      </w:r>
    </w:p>
    <w:p>
      <w:pPr>
        <w:pStyle w:val="Point0number"/>
        <w:rPr>
          <w:noProof/>
        </w:rPr>
      </w:pPr>
      <w:r>
        <w:rPr>
          <w:noProof/>
        </w:rPr>
        <w:t>I den mån resolutionen av den centrala motparten skulle kunna ha en betydande direkt eller indirekt negativ effekt på det finansiella systemet, marknadens förtroende eller ekonomin.</w:t>
      </w:r>
    </w:p>
    <w:p>
      <w:pPr>
        <w:pStyle w:val="Point0number"/>
        <w:rPr>
          <w:noProof/>
        </w:rPr>
      </w:pPr>
      <w:r>
        <w:rPr>
          <w:noProof/>
        </w:rPr>
        <w:t>I den mån spridning till andra centrala motparter eller till de finansiella marknaderna skulle kunna begränsas genom tillämpningen av resolutionsverktygen och resolutionsbefogenheterna.</w:t>
      </w:r>
    </w:p>
    <w:p>
      <w:pPr>
        <w:pStyle w:val="Point0number"/>
        <w:rPr>
          <w:noProof/>
        </w:rPr>
      </w:pPr>
      <w:r>
        <w:rPr>
          <w:noProof/>
        </w:rPr>
        <w:t>I den mån resolutionen av den centrala motparten skulle kunna ha en betydande effekt på betalnings- och avvecklingssystem.</w:t>
      </w:r>
    </w:p>
    <w:p>
      <w:pPr>
        <w:pStyle w:val="Institutionquisigne"/>
        <w:rPr>
          <w:noProof/>
        </w:rPr>
      </w:pPr>
    </w:p>
    <w:p>
      <w:pPr>
        <w:pStyle w:val="SectionTitle"/>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62E05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F4AD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FBFEE0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4C19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E08A7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4EDB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734A566"/>
    <w:lvl w:ilvl="0">
      <w:start w:val="1"/>
      <w:numFmt w:val="decimal"/>
      <w:pStyle w:val="ListNumber"/>
      <w:lvlText w:val="%1."/>
      <w:lvlJc w:val="left"/>
      <w:pPr>
        <w:tabs>
          <w:tab w:val="num" w:pos="360"/>
        </w:tabs>
        <w:ind w:left="360" w:hanging="360"/>
      </w:pPr>
    </w:lvl>
  </w:abstractNum>
  <w:abstractNum w:abstractNumId="7">
    <w:nsid w:val="FFFFFF89"/>
    <w:multiLevelType w:val="singleLevel"/>
    <w:tmpl w:val="1F8816D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6 16:40: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ACCOMPAGNANT" w:val="till förslaget till "/>
    <w:docVar w:name="LW_ACCOMPAGNANT.CP" w:val="till förslaget till "/>
    <w:docVar w:name="LW_ANNEX_NBR_FIRST" w:val="1"/>
    <w:docVar w:name="LW_ANNEX_NBR_LAST" w:val="1"/>
    <w:docVar w:name="LW_CONFIDENCE" w:val=" "/>
    <w:docVar w:name="LW_CONST_RESTREINT_UE" w:val="RESTREINT UE"/>
    <w:docVar w:name="LW_CORRIGENDUM" w:val="&lt;UNUSED&gt;"/>
    <w:docVar w:name="LW_COVERPAGE_GUID" w:val="AB173FDE8E954D5AB33852202666D88D"/>
    <w:docVar w:name="LW_CROSSREFERENCE" w:val="{SWD(2016) 368 final}_x000b_{SWD(2016) 369 final}"/>
    <w:docVar w:name="LW_DocType" w:val="ANNEX"/>
    <w:docVar w:name="LW_EMISSION" w:val="28.11.2016"/>
    <w:docVar w:name="LW_EMISSION_ISODATE" w:val="2016-11-28"/>
    <w:docVar w:name="LW_EMISSION_LOCATION" w:val="BRX"/>
    <w:docVar w:name="LW_EMISSION_PREFIX" w:val="Bryssel den "/>
    <w:docVar w:name="LW_EMISSION_SUFFIX" w:val=" "/>
    <w:docVar w:name="LW_ID_DOCSTRUCTURE" w:val="COM/ANNEX"/>
    <w:docVar w:name="LW_ID_DOCTYPE" w:val="SG-017"/>
    <w:docVar w:name="LW_LANGUE" w:val="SV"/>
    <w:docVar w:name="LW_MARKING" w:val="&lt;UNUSED&gt;"/>
    <w:docVar w:name="LW_NOM.INST" w:val="EUROPEISKA KOMMISSIONEN"/>
    <w:docVar w:name="LW_NOM.INST_JOINTDOC" w:val="&lt;EMPTY&gt;"/>
    <w:docVar w:name="LW_OBJETACTEPRINCIPAL" w:val="om ett ramverk för återhämtning och resolution av centrala motparter och om ändring av förordningar (EU) nr 1095/2010, (EU) nr 648/2012 och (EU) nr 2015/2365   _x000b_"/>
    <w:docVar w:name="LW_OBJETACTEPRINCIPAL.CP" w:val="om ett ramverk för återhämtning och resolution av centrala motparter och om ändring av förordningar (EU) nr 1095/2010, (EU) nr 648/2012 och (EU) nr 2015/2365   _x000b_"/>
    <w:docVar w:name="LW_PART_NBR" w:val="1"/>
    <w:docVar w:name="LW_PART_NBR_TOTAL" w:val="1"/>
    <w:docVar w:name="LW_REF.INST.NEW" w:val="COM"/>
    <w:docVar w:name="LW_REF.INST.NEW_ADOPTED" w:val="final"/>
    <w:docVar w:name="LW_REF.INST.NEW_TEXT" w:val="(2016) 856"/>
    <w:docVar w:name="LW_REF.INTERNE" w:val="&lt;UNUSED&gt;"/>
    <w:docVar w:name="LW_SUPERTITRE" w:val="&lt;UNUSED&gt;"/>
    <w:docVar w:name="LW_TITRE.OBJ.CP" w:val="&lt;UNUSED&gt;"/>
    <w:docVar w:name="LW_TYPE.DOC" w:val="BILAGA"/>
    <w:docVar w:name="LW_TYPE.DOC.CP" w:val="BILAGA"/>
    <w:docVar w:name="LW_TYPEACTEPRINCIPAL" w:val="EUROPAPARLAMENTETS OCH RÅDETS FÖRORDNING"/>
    <w:docVar w:name="LW_TYPEACTEPRINCIPAL.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8881-12F4-4150-8331-31407EFA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8</Pages>
  <Words>1953</Words>
  <Characters>13167</Characters>
  <Application>Microsoft Office Word</Application>
  <DocSecurity>0</DocSecurity>
  <Lines>239</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VILCOT Catherine (MARKT)</dc:creator>
  <cp:lastModifiedBy>DIGIT/A3</cp:lastModifiedBy>
  <cp:revision>8</cp:revision>
  <cp:lastPrinted>2016-11-18T18:52:00Z</cp:lastPrinted>
  <dcterms:created xsi:type="dcterms:W3CDTF">2017-01-25T09:46:00Z</dcterms:created>
  <dcterms:modified xsi:type="dcterms:W3CDTF">2017-01-26T15:40:00Z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