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56ED45DAD1F4A5FBA4C4843F35B9E6F"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Temeiurile și obiectivele propunerii</w:t>
      </w:r>
    </w:p>
    <w:p>
      <w:pPr>
        <w:spacing w:before="0" w:after="240"/>
        <w:rPr>
          <w:noProof/>
          <w:szCs w:val="24"/>
        </w:rPr>
      </w:pPr>
      <w:r>
        <w:rPr>
          <w:noProof/>
        </w:rPr>
        <w:t>În 2015, o serie de state membre ale UE au reintrodus temporar controalele la frontiere, în urma fluxurilor record de migranți care au sosit în Uniunea Europeană și a deplasărilor secundare importante. Această situație a constituit o amenințare gravă la adresa ordinii publice sau a securității interne în mai multe state Schengen</w:t>
      </w:r>
      <w:r>
        <w:rPr>
          <w:rStyle w:val="FootnoteReference"/>
          <w:noProof/>
        </w:rPr>
        <w:footnoteReference w:id="1"/>
      </w:r>
      <w:r>
        <w:rPr>
          <w:noProof/>
        </w:rPr>
        <w:t xml:space="preserve">. </w:t>
      </w:r>
    </w:p>
    <w:p>
      <w:pPr>
        <w:spacing w:before="0" w:after="240"/>
        <w:rPr>
          <w:noProof/>
          <w:szCs w:val="24"/>
        </w:rPr>
      </w:pPr>
      <w:r>
        <w:rPr>
          <w:noProof/>
        </w:rPr>
        <w:t>Amenințările au fost cauzate de deficiențe grave în asigurarea eficacității controlului la frontiere în unele părți ale frontierei externe a Uniunii, care pun în pericol funcționarea întregului spațiu Schengen. Prin urmare, Consiliul a recomandat</w:t>
      </w:r>
      <w:r>
        <w:rPr>
          <w:rStyle w:val="FootnoteReference"/>
          <w:noProof/>
        </w:rPr>
        <w:footnoteReference w:id="2"/>
      </w:r>
      <w:r>
        <w:rPr>
          <w:noProof/>
        </w:rPr>
        <w:t>, la propunerea Comisiei</w:t>
      </w:r>
      <w:r>
        <w:rPr>
          <w:rStyle w:val="FootnoteReference"/>
          <w:noProof/>
        </w:rPr>
        <w:footnoteReference w:id="3"/>
      </w:r>
      <w:r>
        <w:rPr>
          <w:noProof/>
        </w:rPr>
        <w:t xml:space="preserve">, ca cele cinci state Schengen cele mai afectate (Austria, Germania, Danemarca, Suedia și Norvegia) să mențină controale temporare proporționale la frontiere în cazul unui număr limitat de secțiuni ale frontierelor lor interne, pentru o perioadă de șase luni. </w:t>
      </w:r>
    </w:p>
    <w:p>
      <w:pPr>
        <w:spacing w:before="0" w:after="240"/>
        <w:rPr>
          <w:noProof/>
          <w:szCs w:val="24"/>
        </w:rPr>
      </w:pPr>
      <w:r>
        <w:rPr>
          <w:noProof/>
        </w:rPr>
        <w:t>Declanșarea procedurii prevăzute la articolul 29 din Codul frontierelor Schengen și adoptarea unei abordări coordonate la nivelul UE față de controalele temporare la frontiere s-au numărat printre inițiativele avute în vedere în foaia de parcurs „Înapoi la Schengen”</w:t>
      </w:r>
      <w:r>
        <w:rPr>
          <w:rStyle w:val="FootnoteReference"/>
          <w:noProof/>
        </w:rPr>
        <w:footnoteReference w:id="4"/>
      </w:r>
      <w:r>
        <w:rPr>
          <w:noProof/>
        </w:rPr>
        <w:t xml:space="preserve">, care viza crearea condițiilor pentru eliminarea tuturor controalelor la frontierele interne și revenirea la o funcționare normală a spațiului Schengen cât mai repede posibil. </w:t>
      </w:r>
    </w:p>
    <w:p>
      <w:pPr>
        <w:spacing w:before="0" w:after="240"/>
        <w:rPr>
          <w:noProof/>
        </w:rPr>
      </w:pPr>
      <w:r>
        <w:rPr>
          <w:noProof/>
        </w:rPr>
        <w:t>La 11 noiembrie 2016, Consiliul a adoptat, la propunerea Comisiei, o decizie de punere în aplicare în temeiul articolului 29 din Codul frontierelor Schengen de formulare a unei recomandări cu privire la prelungirea controlului temporar la frontierele interne în circumstanțe excepționale care periclitează funcționarea generală a spațiului Schengen. S-a considerat că încă mai persistau consecințele circumstanțelor excepționale care au condus la declanșarea procedurii prevăzute la articolul 29.</w:t>
      </w:r>
    </w:p>
    <w:p>
      <w:pPr>
        <w:pBdr>
          <w:top w:val="nil"/>
          <w:left w:val="nil"/>
          <w:bottom w:val="nil"/>
          <w:right w:val="nil"/>
          <w:between w:val="nil"/>
          <w:bar w:val="nil"/>
        </w:pBdr>
        <w:spacing w:before="0" w:after="240"/>
        <w:rPr>
          <w:noProof/>
        </w:rPr>
      </w:pPr>
      <w:r>
        <w:rPr>
          <w:noProof/>
        </w:rPr>
        <w:t>Această recomandare s-a adresat acelorași cinci state Schengen (Austria, Germania, Danemarca, Suedia și Norvegia), a vizat aceleași secțiuni ale frontierelor interne în statele în cauză și a permis menținerea unor controale specifice și proporționale pentru încă trei luni, și anume până la 12 februarie 2017. Cu toate acestea, controlul reintrodus la frontiere a fost supus unor condiții mai stricte decât cele prevăzute în recomandarea din 12 mai 2016 și s-a prevăzut obligația ca statele Schengen în cauză să prezinte lunar rapoarte detaliate</w:t>
      </w:r>
      <w:r>
        <w:rPr>
          <w:rStyle w:val="FootnoteReference"/>
          <w:noProof/>
        </w:rPr>
        <w:footnoteReference w:id="5"/>
      </w:r>
      <w:r>
        <w:rPr>
          <w:noProof/>
        </w:rPr>
        <w:t>.</w:t>
      </w:r>
    </w:p>
    <w:p>
      <w:pPr>
        <w:pBdr>
          <w:top w:val="nil"/>
          <w:left w:val="nil"/>
          <w:bottom w:val="nil"/>
          <w:right w:val="nil"/>
          <w:between w:val="nil"/>
          <w:bar w:val="nil"/>
        </w:pBdr>
        <w:spacing w:before="0" w:after="240"/>
        <w:rPr>
          <w:noProof/>
        </w:rPr>
      </w:pPr>
      <w:r>
        <w:rPr>
          <w:noProof/>
        </w:rPr>
        <w:t xml:space="preserve">În temeiul articolelor 25 și 29 din Codul frontierelor Schengen, această perioadă poate fi prelungită din nou în conformitate cu condițiile și cu procedura prevăzute la articolul 29, dacă circumstanțele excepționale persistă. </w:t>
      </w:r>
    </w:p>
    <w:p>
      <w:pPr>
        <w:spacing w:before="0" w:after="240"/>
        <w:rPr>
          <w:noProof/>
          <w:szCs w:val="24"/>
        </w:rPr>
      </w:pPr>
      <w:r>
        <w:rPr>
          <w:noProof/>
        </w:rPr>
        <w:t>Prezenta recomandare nu aduce atingere celorlalte soluții pe care le pot aplica toate statele membre, inclusiv cele cinci state membre afectate, în temeiul normelor generale privind reintroducerea temporară a controlului la frontierele interne în eventualitatea unei alte amenințări grave la adresa ordinii publice sau a securității interne, care nu este legată de deficiențe grave în gestionarea frontierelor externe. De exemplu, în timpul perioadei de aplicare a recomandării din 12 mai 2016, Franța, care nu era vizată de această recomandare, a notificat reintroducerea și menținerea ulterioară a controalelor la frontierele sale interne din motive legate de evenimente previzibile și de amenințări teroriste</w:t>
      </w:r>
      <w:r>
        <w:rPr>
          <w:rStyle w:val="FootnoteReference"/>
          <w:noProof/>
        </w:rPr>
        <w:footnoteReference w:id="6"/>
      </w:r>
      <w:r>
        <w:rPr>
          <w:noProof/>
        </w:rPr>
        <w:t xml:space="preserve">. </w:t>
      </w:r>
    </w:p>
    <w:p>
      <w:pPr>
        <w:spacing w:before="0" w:after="240"/>
        <w:rPr>
          <w:noProof/>
          <w:szCs w:val="24"/>
        </w:rPr>
      </w:pPr>
      <w:r>
        <w:rPr>
          <w:noProof/>
        </w:rPr>
        <w:t xml:space="preserve">În plus, astfel cum se recunoaște la articolul 23 din Codul frontierelor Schengen, statele membre pot efectua verificări de poliție în zonele de frontieră, în măsura în care acestea nu au un efect echivalent cu cel al verificărilor la frontiere. Datele disponibile ale serviciilor de informații și nivelul sporit de amenințare pot justifica intensificarea acestor controale, care să vizeze inclusiv principalele rețele de transport cu ajutorul cooperării polițienești transfrontaliere, intensificare ce poate avea un rol esențial în furnizarea unui răspuns atât în materie de deplasări secundare necontrolate, cât și în materie de terorism. În vederea revenirii la o funcționare normală a spațiului Schengen și a eliminării treptate a actualelor controale temporare la frontierele interne, Comisia încurajează statele membre să utilizeze această posibilitate. </w:t>
      </w:r>
    </w:p>
    <w:p>
      <w:pPr>
        <w:spacing w:before="0" w:after="240"/>
        <w:rPr>
          <w:noProof/>
          <w:szCs w:val="24"/>
        </w:rPr>
      </w:pPr>
      <w:r>
        <w:rPr>
          <w:noProof/>
        </w:rPr>
        <w:t>Ar trebui subliniat, de asemenea, faptul că nici efectuarea verificărilor de poliție în zonele de frontieră, nici reintroducerea controalelor la frontiere nu pot asigura singure o securitate deplină, fapt demonstrat de recentul atac terorist de la Berlin. Prin urmare, cooperarea sporită și eficace a statelor membre, la toate nivelurile serviciilor competente, în ceea ce privește combaterea terorismului (schimburi de date ale serviciilor de informații, cooperare polițienească și utilizarea bazelor de date ale UE) rămâne fundamentală pentru a se asigura securitatea deplină în spațiul Schengen.</w:t>
      </w:r>
    </w:p>
    <w:p>
      <w:pPr>
        <w:spacing w:before="0" w:after="240"/>
        <w:rPr>
          <w:noProof/>
          <w:szCs w:val="24"/>
        </w:rPr>
      </w:pPr>
      <w:r>
        <w:rPr>
          <w:noProof/>
        </w:rPr>
        <w:t>În același timp, o serie de măsuri propuse de Comisie pentru o mai bună gestionare a frontierelor externe ale Uniunii și protejarea spațiului Schengen au fost puse în aplicare sau sunt în curs de punere în aplicare</w:t>
      </w:r>
      <w:r>
        <w:rPr>
          <w:rStyle w:val="FootnoteReference"/>
          <w:noProof/>
        </w:rPr>
        <w:footnoteReference w:id="7"/>
      </w:r>
      <w:r>
        <w:rPr>
          <w:noProof/>
        </w:rPr>
        <w:t>. Printre măsurile legate de controlul la frontiere se numără și operaționalizarea Poliției de frontieră și a gărzii de coastă la nivel european, instituirea hotspoturilor și viitoarele verificări sistematice în bazele de date relevante în cazul tuturor persoanelor care traversează frontierele externe. Datorită nou-înființatei Poliții de frontieră și gărzi de coastă la nivel european, frontierele externe ale UE sunt în prezent mai bine protejate și echipate pentru a reacționa la o nouă criză. Comisia va continua să colaboreze îndeaproape cu Agenția Europeană pentru Poliția de Frontieră și Garda de Coastă și să asigure faptul că toate obligațiile prevăzute de Regulamentul privind Poliția de frontieră și garda de coastă la nivel european sunt îndeplinite. Aceste măsuri ar trebui să conducă la o protecție mult mai bună a frontierei externe a UE, ceea ce reprezintă o condiție prealabilă indispensabilă pentru eliminarea controalelor la frontierele interne reintroduse temporar și revenirea la o funcționare normală a spațiului Schengen</w:t>
      </w:r>
      <w:r>
        <w:rPr>
          <w:rStyle w:val="FootnoteReference"/>
          <w:noProof/>
        </w:rPr>
        <w:footnoteReference w:id="8"/>
      </w:r>
      <w:r>
        <w:rPr>
          <w:noProof/>
        </w:rPr>
        <w:t xml:space="preserve">. </w:t>
      </w:r>
    </w:p>
    <w:p>
      <w:pPr>
        <w:spacing w:before="0" w:after="240"/>
        <w:rPr>
          <w:noProof/>
          <w:szCs w:val="24"/>
        </w:rPr>
      </w:pPr>
      <w:r>
        <w:rPr>
          <w:noProof/>
        </w:rPr>
        <w:t>Comisia este pe deplin conștientă de faptul că viitoarele fluxuri de migrație la orice secțiune a frontierei UE pot constitui o amenințare gravă la adresa ordinii publice sau a securității interne în unul sau mai multe state membre. Din acest motiv se iau măsuri la diferite secțiuni ale frontierei maritime și terestre în vederea asigurării unei acțiuni coordonate, inclusiv prin eforturi suplimentare care vizează ruta central-mediteraneeană</w:t>
      </w:r>
      <w:r>
        <w:rPr>
          <w:rStyle w:val="FootnoteReference"/>
          <w:noProof/>
        </w:rPr>
        <w:footnoteReference w:id="9"/>
      </w:r>
      <w:r>
        <w:rPr>
          <w:noProof/>
        </w:rPr>
        <w:t xml:space="preserve">, prin intermediul cadrului de parteneriat, și prin adoptarea unor măsuri suplimentare cu privire la secțiunile relevante ale frontierelor externe. Comisia recunoaște, de asemenea, că în ultimii ani au apărut noi provocări în materie de securitate, după cum a arătat foarte recentul atac terorist de la Berlin. În această privință, deși cadrul juridic actual a fost suficient pentru a face față provocărilor întâmpinate până în prezent, Comisia analizează dacă este totuși suficient de adaptat pentru a răspunde evoluției provocărilor în materie de securitate. </w:t>
      </w:r>
    </w:p>
    <w:p>
      <w:pPr>
        <w:pBdr>
          <w:top w:val="nil"/>
          <w:left w:val="nil"/>
          <w:bottom w:val="nil"/>
          <w:right w:val="nil"/>
          <w:between w:val="nil"/>
          <w:bar w:val="nil"/>
        </w:pBdr>
        <w:spacing w:before="0" w:after="240"/>
        <w:rPr>
          <w:noProof/>
        </w:rPr>
      </w:pPr>
      <w:r>
        <w:rPr>
          <w:noProof/>
        </w:rPr>
        <w:t>Comisia se angajează să depună în continuare eforturi în vederea asigurării faptului că instrumentele deja existente sunt utilizate pe deplin, precum și în ceea ce privește noile inițiative necesare pentru a stabiliza și mai mult situația, ținând cont de faptul că dezavantajele generate de controalele prelungite la frontierele interne, și anume costurile economice ridicate și obstacolele în calea liberei circulații a cetățenilor, trebuie să fie compensate de rezultatele obținute în urma controalelor la frontierele interne efectuate până în prezent.</w:t>
      </w:r>
    </w:p>
    <w:p>
      <w:pPr>
        <w:keepNext/>
        <w:pBdr>
          <w:top w:val="nil"/>
          <w:left w:val="nil"/>
          <w:bottom w:val="nil"/>
          <w:right w:val="nil"/>
          <w:between w:val="nil"/>
          <w:bar w:val="nil"/>
        </w:pBdr>
        <w:spacing w:before="0" w:after="240"/>
        <w:rPr>
          <w:b/>
          <w:noProof/>
          <w:u w:val="single"/>
        </w:rPr>
      </w:pPr>
      <w:r>
        <w:rPr>
          <w:b/>
          <w:noProof/>
          <w:u w:val="single"/>
        </w:rPr>
        <w:t>Situația actuală</w:t>
      </w:r>
    </w:p>
    <w:p>
      <w:pPr>
        <w:pBdr>
          <w:top w:val="nil"/>
          <w:left w:val="nil"/>
          <w:bottom w:val="nil"/>
          <w:right w:val="nil"/>
          <w:between w:val="nil"/>
          <w:bar w:val="nil"/>
        </w:pBdr>
        <w:spacing w:before="0" w:after="240"/>
        <w:rPr>
          <w:noProof/>
        </w:rPr>
      </w:pPr>
      <w:r>
        <w:rPr>
          <w:noProof/>
        </w:rPr>
        <w:t>Pe baza rapoartelor lunare prezentate Comisiei de către statele Schengen în cauză și a tuturor informațiilor de care dispune, Comisia poate concluziona că aceste controale au respectat condițiile stabilite în recomandare. Controalele au fost efectuate numai atunci când acest lucru a fost necesar, au rămas proporționale, specifice, limitate în intensitate și au afectat cât mai puțin posibil trecerea respectivelor frontiere interne de către publicul larg.</w:t>
      </w:r>
    </w:p>
    <w:p>
      <w:pPr>
        <w:pBdr>
          <w:top w:val="nil"/>
          <w:left w:val="nil"/>
          <w:bottom w:val="nil"/>
          <w:right w:val="nil"/>
          <w:between w:val="nil"/>
          <w:bar w:val="nil"/>
        </w:pBdr>
        <w:spacing w:before="0" w:after="240"/>
        <w:rPr>
          <w:noProof/>
        </w:rPr>
      </w:pPr>
      <w:r>
        <w:rPr>
          <w:noProof/>
        </w:rPr>
        <w:t xml:space="preserve">Informațiile furnizate de statele Schengen în rapoartele lor confirmă tendința care a rezultat din rapoartele prezentate în temeiul recomandării din 12 mai 2016 (reducerea numărului de persoane cărora li s-a refuzat intrarea, precum și a numărului de cereri de azil primite), ceea ce indică o stabilizare treptată a situației. </w:t>
      </w:r>
    </w:p>
    <w:p>
      <w:pPr>
        <w:pBdr>
          <w:top w:val="nil"/>
          <w:left w:val="nil"/>
          <w:bottom w:val="nil"/>
          <w:right w:val="nil"/>
          <w:between w:val="nil"/>
          <w:bar w:val="nil"/>
        </w:pBdr>
        <w:spacing w:before="0" w:after="240"/>
        <w:rPr>
          <w:rFonts w:eastAsia="Arial Unicode MS"/>
          <w:noProof/>
        </w:rPr>
      </w:pPr>
      <w:r>
        <w:rPr>
          <w:noProof/>
        </w:rPr>
        <w:t>Este adevărat că numărul de migranți în situație neregulamentară și de solicitanți de azil care au sosit în Uniunea Europeană a continuat, de asemenea, să scadă în perioada care a făcut obiectul recomandării. Cu toate acestea, deși lansarea și operaționalizarea Agenției Europene pentru Poliția de Frontieră și Garda de Coastă și continuarea punerii în aplicare a Declarației UE-Turcia din 18 martie 2016 reprezintă etape esențiale în gestionarea situației, în insulele grecești sosesc în continuare zilnic în medie 81 de persoane.</w:t>
      </w:r>
    </w:p>
    <w:p>
      <w:pPr>
        <w:pBdr>
          <w:top w:val="nil"/>
          <w:left w:val="nil"/>
          <w:bottom w:val="nil"/>
          <w:right w:val="nil"/>
          <w:between w:val="nil"/>
          <w:bar w:val="nil"/>
        </w:pBdr>
        <w:spacing w:before="0" w:after="240"/>
        <w:rPr>
          <w:noProof/>
        </w:rPr>
      </w:pPr>
      <w:r>
        <w:rPr>
          <w:noProof/>
        </w:rPr>
        <w:t>De asemenea, în Grecia există în continuare un număr important de migranți în situație neregulamentară și de solicitanți de azil (între 50 000 și 60 000, dintre care 16 000 pe insule). Hotspoturile și taberele din Grecia sunt în continuare suprapopulate, din cauza progreselor insuficiente în materie de prelucrare, transfer și returnare și, pe baza experienței anterioare, persistă riscul deplasărilor secundare ale acestor migranți în situație neregulamentară în alte state membre. În plus, situația din Balcanii de Vest rămâne fragilă, în condițiile în care, de exemplu, 7 000 de migranți se află în prezent în Serbia. În consecință, situația globală rămâne încă fragilă și sunt necesare eforturi suplimentare pentru a reduce în continuare numărul acestor persoane. Prin urmare, persistă consecințele circumstanțelor excepționale în materie de migrație care constituie o amenințare gravă la adresa ordinii publice și a securității interne și care reprezintă un risc pentru funcționarea întregului spațiu Schengen.</w:t>
      </w:r>
    </w:p>
    <w:p>
      <w:pPr>
        <w:keepNext/>
        <w:pBdr>
          <w:top w:val="nil"/>
          <w:left w:val="nil"/>
          <w:bottom w:val="nil"/>
          <w:right w:val="nil"/>
          <w:between w:val="nil"/>
          <w:bar w:val="nil"/>
        </w:pBdr>
        <w:spacing w:before="0" w:after="240"/>
        <w:rPr>
          <w:b/>
          <w:noProof/>
          <w:u w:val="single"/>
        </w:rPr>
      </w:pPr>
      <w:r>
        <w:rPr>
          <w:b/>
          <w:noProof/>
          <w:u w:val="single"/>
        </w:rPr>
        <w:t>Calea de urmat</w:t>
      </w:r>
    </w:p>
    <w:p>
      <w:pPr>
        <w:pBdr>
          <w:top w:val="nil"/>
          <w:left w:val="nil"/>
          <w:bottom w:val="nil"/>
          <w:right w:val="nil"/>
          <w:between w:val="nil"/>
          <w:bar w:val="nil"/>
        </w:pBdr>
        <w:spacing w:before="0" w:after="240"/>
        <w:rPr>
          <w:noProof/>
        </w:rPr>
      </w:pPr>
      <w:r>
        <w:rPr>
          <w:noProof/>
        </w:rPr>
        <w:t xml:space="preserve">În pofida progreselor importante realizate, condițiile stabilite în foaia de parcurs „Înapoi la Schengen” pentru a permite eliminarea tuturor controalelor la frontierele interne și revenirea la o funcționare normală a spațiului Schengen nu sunt pe deplin îndeplinite. </w:t>
      </w:r>
    </w:p>
    <w:p>
      <w:pPr>
        <w:pBdr>
          <w:top w:val="nil"/>
          <w:left w:val="nil"/>
          <w:bottom w:val="nil"/>
          <w:right w:val="nil"/>
          <w:between w:val="nil"/>
          <w:bar w:val="nil"/>
        </w:pBdr>
        <w:spacing w:before="0" w:after="240"/>
        <w:rPr>
          <w:noProof/>
        </w:rPr>
      </w:pPr>
      <w:r>
        <w:rPr>
          <w:noProof/>
        </w:rPr>
        <w:t>În special, în acest stadiu, numărul de migranți rămași în Grecia poate fi încă problematic și poate justifica menținerea măsurilor corespunzătoare. Situația de-a lungul rutei Balcanilor de Vest rămâne fragilă, iar statele membre cele mai afectate de deplasările secundare ale migranților în situație neregulamentară care vin din Grecia rămân expuse riscului generat de deplasările neregulamentare.</w:t>
      </w:r>
    </w:p>
    <w:p>
      <w:pPr>
        <w:pBdr>
          <w:top w:val="nil"/>
          <w:left w:val="nil"/>
          <w:bottom w:val="nil"/>
          <w:right w:val="nil"/>
          <w:between w:val="nil"/>
          <w:bar w:val="nil"/>
        </w:pBdr>
        <w:spacing w:before="0" w:after="240"/>
        <w:rPr>
          <w:noProof/>
        </w:rPr>
      </w:pPr>
      <w:r>
        <w:rPr>
          <w:noProof/>
        </w:rPr>
        <w:t>Agenția Europeană pentru Poliția de Frontieră și Garda de Coastă, al cărei regulament de instituire a intrat în vigoare într-un timp record, beneficiază în prezent de o mobilizare rapidă</w:t>
      </w:r>
      <w:r>
        <w:rPr>
          <w:rStyle w:val="FootnoteReference"/>
          <w:noProof/>
        </w:rPr>
        <w:footnoteReference w:id="10"/>
      </w:r>
      <w:r>
        <w:rPr>
          <w:noProof/>
        </w:rPr>
        <w:t xml:space="preserve">, inclusiv pentru a putea acorda asistență Greciei la frontiera externă din partea de nord a acestei țări începând din luna februarie 2017. Cooperarea dintre Agenția Europeană pentru Poliția de Frontieră și Garda de Coastă și țările terțe înregistrează, de asemenea, progrese: Comisia a înaintat Consiliului o solicitare privind un mandat de negociere pentru un acord privind statutul care să fie încheiat cu două țări terțe vecine (Serbia și fosta Republică iugoslavă a Macedoniei). Acest proces de mobilizare a Poliției de frontieră și a gărzii de coastă la nivel european este în curs și necesită eforturi suplimentare. </w:t>
      </w:r>
    </w:p>
    <w:p>
      <w:pPr>
        <w:pBdr>
          <w:top w:val="nil"/>
          <w:left w:val="nil"/>
          <w:bottom w:val="nil"/>
          <w:right w:val="nil"/>
          <w:between w:val="nil"/>
          <w:bar w:val="nil"/>
        </w:pBdr>
        <w:spacing w:before="0" w:after="240"/>
        <w:rPr>
          <w:noProof/>
        </w:rPr>
      </w:pPr>
      <w:r>
        <w:rPr>
          <w:noProof/>
        </w:rPr>
        <w:t xml:space="preserve">De asemenea, aplicarea în Grecia a normelor Dublin existente se va restabili doar treptat, începând cu jumătatea lunii martie, și sunt necesare eforturi suplimentare pentru a asigura participarea deplină a Greciei în cadrul acestui sistem, în conformitate cu recomandările Comisiei, independent de activitatea în curs care vizează îmbunătățirea normelor în cauză. În plus, mecanismele de transfer de urgență instituite încă din septembrie 2015 trebuie să continue să dea rezultate concrete în ceea ce privește numărul de persoane transferate. În fine, returnarea persoanelor care nu au drept de ședere pe teritoriul Uniunii Europene trebuie să fie intensificată și mai mult. </w:t>
      </w:r>
    </w:p>
    <w:p>
      <w:pPr>
        <w:pBdr>
          <w:top w:val="nil"/>
          <w:left w:val="nil"/>
          <w:bottom w:val="nil"/>
          <w:right w:val="nil"/>
          <w:between w:val="nil"/>
          <w:bar w:val="nil"/>
        </w:pBdr>
        <w:spacing w:before="0" w:after="240"/>
        <w:rPr>
          <w:noProof/>
        </w:rPr>
      </w:pPr>
      <w:r>
        <w:rPr>
          <w:noProof/>
        </w:rPr>
        <w:t>Întrucât aceste elemente indică persistența unor circumstanțe excepționale, Comisia consideră că este justificat să se permită Austriei, Germaniei, Danemarcei, Suediei și Norvegiei să prelungească actualele controale la frontierele interne ca măsură excepțională pentru o nouă perioadă de timp proporțională. Pe baza indicatorilor factuali disponibili în acest stadiu, prelungirea nu ar trebui să depășească trei luni. Comisia va continua să colaboreze cu aceste state membre pentru eliminarea treptată a controalelor temporare la frontierele interne.</w:t>
      </w:r>
    </w:p>
    <w:p>
      <w:pPr>
        <w:keepNext/>
        <w:pBdr>
          <w:top w:val="nil"/>
          <w:left w:val="nil"/>
          <w:bottom w:val="nil"/>
          <w:right w:val="nil"/>
          <w:between w:val="nil"/>
          <w:bar w:val="nil"/>
        </w:pBdr>
        <w:spacing w:before="0" w:after="240"/>
        <w:rPr>
          <w:b/>
          <w:noProof/>
          <w:u w:val="single"/>
        </w:rPr>
      </w:pPr>
      <w:r>
        <w:rPr>
          <w:b/>
          <w:noProof/>
          <w:u w:val="single"/>
        </w:rPr>
        <w:t xml:space="preserve">Domeniul de aplicare al propunerii </w:t>
      </w:r>
    </w:p>
    <w:p>
      <w:pPr>
        <w:pBdr>
          <w:top w:val="nil"/>
          <w:left w:val="nil"/>
          <w:bottom w:val="nil"/>
          <w:right w:val="nil"/>
          <w:between w:val="nil"/>
          <w:bar w:val="nil"/>
        </w:pBdr>
        <w:spacing w:before="0" w:after="240"/>
        <w:rPr>
          <w:rFonts w:eastAsia="Arial Unicode MS"/>
          <w:noProof/>
        </w:rPr>
      </w:pPr>
      <w:r>
        <w:rPr>
          <w:noProof/>
        </w:rPr>
        <w:t xml:space="preserve">Celor cinci state membre care efectuează în prezent controalele temporare la frontierele interne prevăzute în Recomandarea Consiliului din 11 noiembrie 2016 ar trebui să li se permită să le efectueze în continuare timp de trei luni, în condiții stricte. </w:t>
      </w:r>
    </w:p>
    <w:p>
      <w:pPr>
        <w:pBdr>
          <w:top w:val="nil"/>
          <w:left w:val="nil"/>
          <w:bottom w:val="nil"/>
          <w:right w:val="nil"/>
          <w:between w:val="nil"/>
          <w:bar w:val="nil"/>
        </w:pBdr>
        <w:spacing w:before="0" w:after="240"/>
        <w:rPr>
          <w:rFonts w:eastAsia="Arial Unicode MS"/>
          <w:noProof/>
        </w:rPr>
      </w:pPr>
      <w:r>
        <w:rPr>
          <w:noProof/>
        </w:rPr>
        <w:t>Cu toate acestea, având în vedere stabilizarea treptată a situației și obiectivul eliminării treptate a controalelor temporare la frontierele interne, statele membre în cauză ar trebui să analizeze mai întâi dacă alte măsuri, în special verificările de poliție efectuate în apropierea frontierei într-un mod compatibil cu articolul 23 din Codul frontierelor Schengen, pot aborda într-un mod suficient amenințările identificate</w:t>
      </w:r>
      <w:r>
        <w:rPr>
          <w:rStyle w:val="FootnoteReference"/>
          <w:noProof/>
        </w:rPr>
        <w:footnoteReference w:id="11"/>
      </w:r>
      <w:r>
        <w:rPr>
          <w:noProof/>
        </w:rPr>
        <w:t xml:space="preserve"> și să introducă doar ca măsură de ultimă instanță verificările efective la frontierele interne în cauză. În consecință, statele membre care decid să mențină controlul la frontierele interne prevăzut în prezenta recomandare ar trebui, înainte de a opta pentru continuarea acestuia, să examineze toate măsurile alternative disponibile, altele decât controalele la frontiere. Ar trebui ca în notificarea privind menținerea controalelor la frontierele interne, aceste state membre să comunice rezultatul respectivei examinări celorlalte state membre, Parlamentului European și Comisiei.</w:t>
      </w:r>
    </w:p>
    <w:p>
      <w:pPr>
        <w:pBdr>
          <w:top w:val="nil"/>
          <w:left w:val="nil"/>
          <w:bottom w:val="nil"/>
          <w:right w:val="nil"/>
          <w:between w:val="nil"/>
          <w:bar w:val="nil"/>
        </w:pBdr>
        <w:spacing w:before="0" w:after="240"/>
        <w:rPr>
          <w:rFonts w:eastAsia="Arial Unicode MS"/>
          <w:noProof/>
        </w:rPr>
      </w:pPr>
      <w:r>
        <w:rPr>
          <w:noProof/>
        </w:rPr>
        <w:t>Cerințele prevăzute în recomandarea din 11 noiembrie 2016 privind revizuirea săptămânală de către statele membre în cauză a necesității, a frecvenței, a locului și a momentului efectuării controalelor, privind adaptarea controalelor la nivelul amenințării abordate și privind eliminarea lor treptată ori de câte ori este cazul rămân în vigoare în prezenta recomandare. Statele membre în cauză ar trebui, de asemenea, să se consulte în continuare în mod regulat cu statul (statele) membru (membre) relevant(e) în vederea asigurării faptului că respectivele controale la frontierele interne sunt efectuate numai la acele părți ale frontierei interne unde se consideră că acest lucru este necesar și proporțional în conformitate cu Codul frontierelor Schengen.</w:t>
      </w:r>
    </w:p>
    <w:p>
      <w:pPr>
        <w:pBdr>
          <w:top w:val="nil"/>
          <w:left w:val="nil"/>
          <w:bottom w:val="nil"/>
          <w:right w:val="nil"/>
          <w:between w:val="nil"/>
          <w:bar w:val="nil"/>
        </w:pBdr>
        <w:spacing w:before="0" w:after="240"/>
        <w:rPr>
          <w:rFonts w:eastAsia="Arial Unicode MS"/>
          <w:noProof/>
        </w:rPr>
      </w:pPr>
      <w:r>
        <w:rPr>
          <w:noProof/>
        </w:rPr>
        <w:t>Obligația de a prezenta rapoarte detaliate introdusă de Recomandarea Consiliului din 11 noiembrie 2016 va continua să se aplice. După fiecare lună de punere în aplicare a prezentei recomandări, statele membre în cauză ar trebui să informeze prompt Comisia cu privire la rezultatele controalelor efectuate și la evaluarea referitoare la necesitatea menținerii unor astfel de controale, dacă este cazul. Acest raport ar trebui să cuprindă cel puțin numărul total de persoane verificate, numărul total de refuzuri ale intrării aplicate în urma verificărilor, numărul total de decizii de returnare emise în urma verificărilor și numărul total de cereri de azil primite la frontierele interne la care au loc verificările.</w:t>
      </w:r>
    </w:p>
    <w:p>
      <w:pPr>
        <w:pBdr>
          <w:top w:val="nil"/>
          <w:left w:val="nil"/>
          <w:bottom w:val="nil"/>
          <w:right w:val="nil"/>
          <w:between w:val="nil"/>
          <w:bar w:val="nil"/>
        </w:pBdr>
        <w:spacing w:before="0" w:after="240"/>
        <w:rPr>
          <w:rFonts w:eastAsia="Arial Unicode MS"/>
          <w:b/>
          <w:noProof/>
        </w:rPr>
      </w:pPr>
      <w:r>
        <w:rPr>
          <w:noProof/>
        </w:rPr>
        <w:t>Comisia va monitoriza îndeaproape modul în care este aplicată recomandarea și situația de pe teren.</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pPr>
        <w:pBdr>
          <w:top w:val="nil"/>
          <w:left w:val="nil"/>
          <w:bottom w:val="nil"/>
          <w:right w:val="nil"/>
          <w:between w:val="nil"/>
          <w:bar w:val="nil"/>
        </w:pBdr>
        <w:spacing w:before="0" w:after="240"/>
        <w:rPr>
          <w:rFonts w:eastAsia="Arial Unicode MS"/>
          <w:noProof/>
        </w:rPr>
      </w:pPr>
      <w:r>
        <w:rPr>
          <w:noProof/>
        </w:rPr>
        <w:t>Prin prezenta recomandare se urmărește punerea în aplicare a dispozițiilor existente în domeniul de politică vizat.</w:t>
      </w:r>
    </w:p>
    <w:p>
      <w:pPr>
        <w:pStyle w:val="ManualHeading2"/>
        <w:rPr>
          <w:rFonts w:eastAsia="Arial Unicode MS"/>
          <w:noProof/>
        </w:rPr>
      </w:pPr>
      <w:r>
        <w:rPr>
          <w:noProof/>
          <w:color w:val="000000"/>
          <w:u w:color="000000"/>
          <w:bdr w:val="nil"/>
        </w:rPr>
        <w:t>•</w:t>
      </w:r>
      <w:r>
        <w:rPr>
          <w:noProof/>
        </w:rPr>
        <w:tab/>
        <w:t>Coerența cu alte domenii de politică a Uniunii</w:t>
      </w:r>
    </w:p>
    <w:p>
      <w:pPr>
        <w:pBdr>
          <w:top w:val="nil"/>
          <w:left w:val="nil"/>
          <w:bottom w:val="nil"/>
          <w:right w:val="nil"/>
          <w:between w:val="nil"/>
          <w:bar w:val="nil"/>
        </w:pBdr>
        <w:spacing w:before="0" w:after="240"/>
        <w:rPr>
          <w:rFonts w:eastAsia="Arial Unicode MS"/>
          <w:noProof/>
        </w:rPr>
      </w:pPr>
      <w:r>
        <w:rPr>
          <w:noProof/>
        </w:rPr>
        <w:t>Există corelări între prezenta recomandare, piața internă a Uniunii și politica în materie de migrație și de azil.</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rPr>
          <w:noProof/>
        </w:rPr>
      </w:pPr>
      <w:r>
        <w:rPr>
          <w:noProof/>
        </w:rPr>
        <w:t>Articolul 29 din Regulamentul (UE) 2016/399 al Parlamentului European și al Consiliului din 9 martie 2016 cu privire la Codul Uniunii privind regimul de trecere a frontierelor de către persoane (Codul frontierelor Schengen).</w:t>
      </w:r>
    </w:p>
    <w:p>
      <w:pPr>
        <w:pStyle w:val="ManualHeading2"/>
        <w:rPr>
          <w:rFonts w:eastAsia="Arial Unicode MS"/>
          <w:noProof/>
          <w:u w:color="000000"/>
          <w:bdr w:val="nil"/>
        </w:rPr>
      </w:pPr>
      <w:r>
        <w:rPr>
          <w:noProof/>
        </w:rPr>
        <w:t>•</w:t>
      </w:r>
      <w:r>
        <w:rPr>
          <w:noProof/>
        </w:rPr>
        <w:tab/>
        <w:t xml:space="preserve">Subsidiaritatea (în cazul competențelor neexclusive) </w:t>
      </w:r>
    </w:p>
    <w:p>
      <w:pPr>
        <w:pBdr>
          <w:top w:val="nil"/>
          <w:left w:val="nil"/>
          <w:bottom w:val="nil"/>
          <w:right w:val="nil"/>
          <w:between w:val="nil"/>
          <w:bar w:val="nil"/>
        </w:pBdr>
        <w:spacing w:before="0" w:after="240"/>
        <w:rPr>
          <w:noProof/>
        </w:rPr>
      </w:pPr>
      <w:r>
        <w:rPr>
          <w:noProof/>
        </w:rPr>
        <w:t>În conformitate cu articolul 29 din Regulamentul (UE) 2016/399, Consiliul adoptă o recomandare de introducere a controlului temporar la frontierele interne, pe baza unei propuneri a Comisiei.</w:t>
      </w:r>
    </w:p>
    <w:p>
      <w:pPr>
        <w:rPr>
          <w:rFonts w:eastAsia="Arial Unicode MS"/>
          <w:noProof/>
        </w:rPr>
      </w:pPr>
      <w:r>
        <w:rPr>
          <w:noProof/>
        </w:rPr>
        <w:t>Este necesară o acțiune la nivelul Uniunii în cazul în care este periclitată funcționarea generală a spațiului fără controale la frontierele interne.</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Prezenta propunere se limitează la măsurile necesare pentru atingerea obiectivului urmărit.</w:t>
      </w:r>
    </w:p>
    <w:p>
      <w:pPr>
        <w:pStyle w:val="ManualHeading1"/>
        <w:rPr>
          <w:noProof/>
        </w:rPr>
      </w:pPr>
      <w:r>
        <w:rPr>
          <w:noProof/>
        </w:rPr>
        <w:t>3.</w:t>
      </w:r>
      <w:r>
        <w:rPr>
          <w:noProof/>
        </w:rPr>
        <w:tab/>
        <w:t xml:space="preserve">REZULTATE ALE EVALUĂRILOR </w:t>
      </w:r>
      <w:r>
        <w:rPr>
          <w:i/>
          <w:noProof/>
        </w:rPr>
        <w:t>EX POST,</w:t>
      </w:r>
      <w:r>
        <w:rPr>
          <w:noProof/>
        </w:rPr>
        <w:t xml:space="preserve"> CONSULTĂRILOR PĂRȚILOR INTERESATE ȘI EVALUĂRII IMPACTULUI</w:t>
      </w:r>
    </w:p>
    <w:p>
      <w:pPr>
        <w:pStyle w:val="ManualHeading2"/>
        <w:rPr>
          <w:rFonts w:eastAsia="Arial Unicode MS"/>
          <w:noProof/>
          <w:u w:color="000000"/>
          <w:bdr w:val="nil"/>
        </w:rPr>
      </w:pPr>
      <w:r>
        <w:rPr>
          <w:noProof/>
        </w:rPr>
        <w:t>•</w:t>
      </w:r>
      <w:r>
        <w:rPr>
          <w:noProof/>
        </w:rPr>
        <w:tab/>
        <w:t xml:space="preserve">Evaluările </w:t>
      </w:r>
      <w:r>
        <w:rPr>
          <w:i/>
          <w:noProof/>
        </w:rPr>
        <w:t>ex post</w:t>
      </w:r>
      <w:r>
        <w:rPr>
          <w:noProof/>
        </w:rPr>
        <w:t>/verificarea adecvării legislației existente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Consultările părților interesate</w:t>
      </w:r>
    </w:p>
    <w:p>
      <w:pPr>
        <w:rPr>
          <w:noProof/>
        </w:rPr>
      </w:pPr>
      <w:r>
        <w:rPr>
          <w:noProof/>
        </w:rPr>
        <w:t>Având în vedere caracterul urgent al propunerii, o consultare a părților interesate nu a fost fezabilă.</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Evaluarea impactului</w:t>
      </w:r>
    </w:p>
    <w:p>
      <w:pPr>
        <w:rPr>
          <w:noProof/>
        </w:rPr>
      </w:pPr>
      <w:r>
        <w:rPr>
          <w:noProof/>
        </w:rPr>
        <w:t>Dat fiind intervalul de timp limitat avut în vedere și datele transmise de statele membre în cauză, precum și datele disponibile în ceea ce privește situația din Grecia, nu s-a realizat o evaluare a impactului exhaustivă.</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Protecția drepturilor fundamentale a fost luată în considerare în procesul de elaborare a propunerii.</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rFonts w:eastAsia="Arial Unicode MS"/>
          <w:noProof/>
        </w:rPr>
      </w:pPr>
      <w:r>
        <w:rPr>
          <w:noProof/>
          <w:sz w:val="23"/>
        </w:rPr>
        <w:t>Măsura propusă nu are implicații pentru bugetul UE.</w:t>
      </w:r>
    </w:p>
    <w:p>
      <w:pPr>
        <w:pStyle w:val="ManualHeading1"/>
        <w:rPr>
          <w:noProof/>
        </w:rPr>
      </w:pPr>
      <w:r>
        <w:rPr>
          <w:noProof/>
        </w:rPr>
        <w:t>5.</w:t>
      </w:r>
      <w:r>
        <w:rPr>
          <w:noProof/>
        </w:rPr>
        <w:tab/>
        <w:t>ELEMENTE DIVERSE</w:t>
      </w:r>
    </w:p>
    <w:p>
      <w:pPr>
        <w:pBdr>
          <w:top w:val="nil"/>
          <w:left w:val="nil"/>
          <w:bottom w:val="nil"/>
          <w:right w:val="nil"/>
          <w:between w:val="nil"/>
          <w:bar w:val="nil"/>
        </w:pBdr>
        <w:spacing w:before="0" w:after="240"/>
        <w:rPr>
          <w:rFonts w:eastAsia="Arial Unicode MS"/>
          <w:noProof/>
        </w:rPr>
      </w:pPr>
      <w:r>
        <w:rPr>
          <w:noProof/>
        </w:rPr>
        <w:t>Nu se aplică.</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2017/0014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de formulare a unei recomandări cu privire la prelungirea controlului temporar la frontierele interne în circumstanțe excepționale care periclitează funcționarea generală a spațiului Schengen</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Regulamentul (UE) 2016/399 al Parlamentului European și al Consiliului din 9 martie 2016 cu privire la Codul Uniunii privind regimul de trecere a frontierelor de către persoane (Codul frontierelor Schengen)</w:t>
      </w:r>
      <w:r>
        <w:rPr>
          <w:rStyle w:val="FootnoteReference"/>
          <w:noProof/>
        </w:rPr>
        <w:footnoteReference w:id="12"/>
      </w:r>
      <w:r>
        <w:rPr>
          <w:noProof/>
        </w:rPr>
        <w:t>, în special articolul 29,</w:t>
      </w:r>
    </w:p>
    <w:p>
      <w:pPr>
        <w:rPr>
          <w:noProof/>
        </w:rPr>
      </w:pPr>
      <w:r>
        <w:rPr>
          <w:noProof/>
        </w:rPr>
        <w:t>având în vedere propunerea Comisiei Europene,</w:t>
      </w:r>
    </w:p>
    <w:p>
      <w:pPr>
        <w:rPr>
          <w:noProof/>
        </w:rPr>
      </w:pPr>
      <w:r>
        <w:rPr>
          <w:noProof/>
        </w:rPr>
        <w:t>întrucât:</w:t>
      </w:r>
    </w:p>
    <w:p>
      <w:pPr>
        <w:pStyle w:val="ManualConsidrant"/>
        <w:rPr>
          <w:noProof/>
        </w:rPr>
      </w:pPr>
      <w:r>
        <w:rPr>
          <w:noProof/>
        </w:rPr>
        <w:t>(1)</w:t>
      </w:r>
      <w:r>
        <w:rPr>
          <w:noProof/>
        </w:rPr>
        <w:tab/>
        <w:t xml:space="preserve">În conformitate cu articolul 29 din Codul frontierelor Schengen, Consiliul a adoptat, la 12 mai 2016, la propunerea Comisiei, o Decizie de punere în aplicare de formulare a unei recomandări cu privire la controlul temporar la frontierele interne în circumstanțe excepționale care periclitează funcționarea generală a spațiului Schengen. </w:t>
      </w:r>
    </w:p>
    <w:p>
      <w:pPr>
        <w:pStyle w:val="ManualConsidrant"/>
        <w:rPr>
          <w:noProof/>
        </w:rPr>
      </w:pPr>
      <w:r>
        <w:rPr>
          <w:noProof/>
        </w:rPr>
        <w:t>(2)</w:t>
      </w:r>
      <w:r>
        <w:rPr>
          <w:noProof/>
        </w:rPr>
        <w:tab/>
        <w:t xml:space="preserve">Consiliul a recomandat ca cinci state Schengen (Austria, Germania, Danemarca, Suedia și Norvegia) să mențină controlul temporar proporțional la frontiere în cazul unui număr limitat de secțiuni ale frontierelor lor interne pentru o perioadă de șase luni, în vederea abordării amenințării grave la adresa ordinii publice și a securității interne apărute în aceste state în urma combinației dintre deficiențele controalelor efectuate la frontierele externe în Grecia și fluxurile secundare de migranți în situație neregulamentară care au ajuns în UE prin Grecia și care ar putea intenționa să se deplaseze spre alte state Schengen. La data de 11 noiembrie 2016, această perioadă a fost prelungită de către Consiliu, la propunerea Comisiei, pentru încă trei luni. </w:t>
      </w:r>
    </w:p>
    <w:p>
      <w:pPr>
        <w:pStyle w:val="ManualConsidrant"/>
        <w:rPr>
          <w:noProof/>
        </w:rPr>
      </w:pPr>
      <w:r>
        <w:rPr>
          <w:noProof/>
        </w:rPr>
        <w:t>(3)</w:t>
      </w:r>
      <w:r>
        <w:rPr>
          <w:noProof/>
        </w:rPr>
        <w:tab/>
        <w:t xml:space="preserve">În temeiul articolelor 25 și 29 din Codul frontierelor Schengen, perioada inițială recomandată de Consiliu poate fi din nou prelungită dacă circumstanțele excepționale persistă. </w:t>
      </w:r>
    </w:p>
    <w:p>
      <w:pPr>
        <w:pStyle w:val="ManualConsidrant"/>
        <w:rPr>
          <w:noProof/>
        </w:rPr>
      </w:pPr>
      <w:r>
        <w:rPr>
          <w:noProof/>
        </w:rPr>
        <w:t>(4)</w:t>
      </w:r>
      <w:r>
        <w:rPr>
          <w:noProof/>
        </w:rPr>
        <w:tab/>
        <w:t>Recomandarea din 11 noiembrie 2016 prevedea că statele Schengen în cauză trebuiau să prezinte lunar Comisiei rapoarte privind rezultatele controalelor efectuate și privind evaluarea referitoare la necesitatea menținerii unor astfel de controale, dacă era cazul. Comisia a primit astfel de rapoarte din partea tuturor statelor Schengen în cauză. Informațiile din rapoartele respective demonstrează că aceste controale au respectat condițiile stabilite în recomandare. De asemenea, informațiile respective confirmă o stabilizare treptată a situației în aceste state, cu o reducere continuă a numărului de persoane cărora le este refuzată intrarea, precum și a numărului de cereri de azil primite.</w:t>
      </w:r>
    </w:p>
    <w:p>
      <w:pPr>
        <w:pStyle w:val="ManualConsidrant"/>
        <w:rPr>
          <w:noProof/>
        </w:rPr>
      </w:pPr>
      <w:r>
        <w:rPr>
          <w:noProof/>
        </w:rPr>
        <w:t>(5)</w:t>
      </w:r>
      <w:r>
        <w:rPr>
          <w:noProof/>
        </w:rPr>
        <w:tab/>
        <w:t>Totuși, în pofida acestor progrese, condițiile stabilite în foaia de parcurs „Înapoi la Schengen” pentru a se putea elimina toate controalele la frontierele interne și reveni la o funcționare normală a spațiului Schengen nu sunt încă pe deplin îndeplinite. În Grecia continuă să existe un număr important de migranți în situație neregulamentară și, pe baza tendințelor observate în trecut, statele membre cele mai afectate de deplasările secundare ale migranților în situație neregulamentară care vin din Grecia rămân expuse riscului generat de deplasările neregulamentare ale acestora.</w:t>
      </w:r>
    </w:p>
    <w:p>
      <w:pPr>
        <w:pStyle w:val="ManualConsidrant"/>
        <w:rPr>
          <w:noProof/>
        </w:rPr>
      </w:pPr>
      <w:r>
        <w:rPr>
          <w:noProof/>
        </w:rPr>
        <w:t>(6)</w:t>
      </w:r>
      <w:r>
        <w:rPr>
          <w:noProof/>
        </w:rPr>
        <w:tab/>
        <w:t xml:space="preserve">În comunicarea sa intitulată „Înapoi la Schengen – o foaie de parcurs”, Comisia a identificat diferitele politici care trebuie instituite pentru a reveni la un spațiu Schengen pe deplin funcțional. În prezent, Agenția Europeană pentru Poliția de Frontieră și Garda de Coastă devine rapid operațională, ceea ce îi permite să acorde asistență Greciei la frontiera externă din partea de nord a acestei țări începând din luna februarie 2017. </w:t>
      </w:r>
    </w:p>
    <w:p>
      <w:pPr>
        <w:pStyle w:val="ManualConsidrant"/>
        <w:rPr>
          <w:noProof/>
        </w:rPr>
      </w:pPr>
      <w:r>
        <w:rPr>
          <w:noProof/>
        </w:rPr>
        <w:t>(7)</w:t>
      </w:r>
      <w:r>
        <w:rPr>
          <w:noProof/>
        </w:rPr>
        <w:tab/>
        <w:t>Un alt element identificat în foaia de parcurs „Înapoi la Schengen” este punerea în aplicare a Declarației UE-Turcia. Cel de al patrulea raport privind progresele înregistrate</w:t>
      </w:r>
      <w:r>
        <w:rPr>
          <w:rStyle w:val="FootnoteReference"/>
          <w:noProof/>
        </w:rPr>
        <w:footnoteReference w:id="13"/>
      </w:r>
      <w:r>
        <w:rPr>
          <w:noProof/>
        </w:rPr>
        <w:t xml:space="preserve"> confirmă tendința unor rezultate constante, în pofida a numeroase provocări. Totuși, această punere în aplicare trebuie monitorizată în mod constant. Același lucru este valabil și în ceea ce privește cooperarea convenită în cadrul Declarației emise cu ocazia reuniunii liderilor rutei Balcanilor de Vest.</w:t>
      </w:r>
    </w:p>
    <w:p>
      <w:pPr>
        <w:pStyle w:val="ManualConsidrant"/>
        <w:rPr>
          <w:noProof/>
        </w:rPr>
      </w:pPr>
      <w:r>
        <w:rPr>
          <w:noProof/>
        </w:rPr>
        <w:t>(8)</w:t>
      </w:r>
      <w:r>
        <w:rPr>
          <w:noProof/>
        </w:rPr>
        <w:tab/>
        <w:t>Prin urmare, persistă încă circumstanțele excepționale care constituie o amenințare gravă la adresa ordinii publice și a securității interne și care periclitează funcționarea generală a spațiului Schengen.</w:t>
      </w:r>
    </w:p>
    <w:p>
      <w:pPr>
        <w:pStyle w:val="ManualConsidrant"/>
        <w:rPr>
          <w:noProof/>
        </w:rPr>
      </w:pPr>
      <w:r>
        <w:rPr>
          <w:noProof/>
        </w:rPr>
        <w:t>(9)</w:t>
      </w:r>
      <w:r>
        <w:rPr>
          <w:noProof/>
        </w:rPr>
        <w:tab/>
        <w:t xml:space="preserve">Având în vedere elementele de mai sus, pare, prin urmare, justificat, ca măsură de ultimă instanță, să se acorde o prelungire suplimentară a controalelor temporare la frontierele interne în cauză pentru statele Schengen care efectuează în prezent astfel de controale, și anume Austria, Germania, Danemarca, Suedia și țara asociată Norvegia, în conformitate cu articolul 29 din Codul frontierelor Schengen. </w:t>
      </w:r>
    </w:p>
    <w:p>
      <w:pPr>
        <w:pStyle w:val="ManualConsidrant"/>
        <w:rPr>
          <w:noProof/>
        </w:rPr>
      </w:pPr>
      <w:r>
        <w:rPr>
          <w:noProof/>
        </w:rPr>
        <w:t>(10)</w:t>
      </w:r>
      <w:r>
        <w:rPr>
          <w:noProof/>
        </w:rPr>
        <w:tab/>
        <w:t>Pe baza indicatorilor factuali disponibili în acest stadiu, prelungirea respectivă nu ar trebui să depășească trei luni de la data adoptării prezentei decizii de punere în aplicare.</w:t>
      </w:r>
    </w:p>
    <w:p>
      <w:pPr>
        <w:pStyle w:val="ManualConsidrant"/>
        <w:rPr>
          <w:noProof/>
        </w:rPr>
      </w:pPr>
      <w:r>
        <w:rPr>
          <w:noProof/>
        </w:rPr>
        <w:t>(11)</w:t>
      </w:r>
      <w:r>
        <w:rPr>
          <w:noProof/>
        </w:rPr>
        <w:tab/>
        <w:t>Statele membre care decid să efectueze în continuare controalele la frontiera internă prevăzute în prezenta decizie de punere în aplicare ar trebui informeze în mod corespunzător celelalte state membre, Parlamentul European și Comisia.</w:t>
      </w:r>
    </w:p>
    <w:p>
      <w:pPr>
        <w:pStyle w:val="ManualConsidrant"/>
        <w:rPr>
          <w:noProof/>
        </w:rPr>
      </w:pPr>
      <w:r>
        <w:rPr>
          <w:noProof/>
        </w:rPr>
        <w:t>(12)</w:t>
      </w:r>
      <w:r>
        <w:rPr>
          <w:noProof/>
        </w:rPr>
        <w:tab/>
        <w:t>Înainte de a opta pentru astfel de controale, statele membre în cauză ar trebui să examineze dacă nu ar putea fi utilizate măsuri alternative, altele decât controalele la frontieră, pentru a remedia cu eficacitate amenințarea identificată, cum ar fi exercitarea competențelor polițienești într-un mod compatibil cu articolul 23 din Codul frontierelor Schengen, și să decidă reintroducerea controalelor la frontierele interne în cauză numai în ultimă instanță, atunci când astfel de măsuri mai puțin restrictive pentru traficul transfrontalier nu pot aborda într-un mod suficient amenințările identificate. Ar trebui ca, în notificările lor, statele membre în cauză să comunice rezultatul acestui proces de reflecție și motivele pe baza cărora optează pentru controale la frontieră.</w:t>
      </w:r>
    </w:p>
    <w:p>
      <w:pPr>
        <w:pStyle w:val="ManualConsidrant"/>
        <w:rPr>
          <w:noProof/>
        </w:rPr>
      </w:pPr>
      <w:r>
        <w:rPr>
          <w:noProof/>
        </w:rPr>
        <w:t>(13)</w:t>
      </w:r>
      <w:r>
        <w:rPr>
          <w:noProof/>
        </w:rPr>
        <w:tab/>
        <w:t>Controalele prevăzute în prezenta decizie de punere în aplicare ar trebui să continue să fie efectuate numai în măsura necesară, să aibă o intensitate limitată la minimul absolut necesar și să fie adaptate la împrejurări. În consecință, se poate preconiza că orice reducere suplimentară a fluxului ar trebui să conducă la suspendarea controalelor la anumite secțiuni ale frontierei. Ar trebui să se efectueze numai controale specifice, bazate pe o analiză de risc și pe date actualizate în mod constant ale serviciilor de informații pentru a optimiza beneficiile controalelor și a limita efectele negative ale acestora asupra liberei circulații. Ar trebui să se permită statelor Schengen afectate de aceste controale la sectoarele relevante ale frontierei să își exprime cu regularitate opiniile cu privire la necesitatea lor; statul Schengen care a decis reintroducerea unor astfel de controale ar trebui să țină seama de aceste opinii atunci când examinează și revizuiește necesitatea verificărilor respective, cu obiectivul reducerii lor treptate.</w:t>
      </w:r>
    </w:p>
    <w:p>
      <w:pPr>
        <w:pStyle w:val="ManualConsidrant"/>
        <w:rPr>
          <w:noProof/>
        </w:rPr>
      </w:pPr>
      <w:r>
        <w:rPr>
          <w:noProof/>
        </w:rPr>
        <w:t>(14)</w:t>
      </w:r>
      <w:r>
        <w:rPr>
          <w:noProof/>
        </w:rPr>
        <w:tab/>
        <w:t>La sfârșitul fiecărei luni de punere în aplicare a prezentei decizii de punere în aplicare, ar trebui să i se transmită prompt Comisiei un raport complet privind rezultatele verificărilor efectuate, împreună cu o evaluare a necesității continuării acestora, atunci când este cazul. Acest raport ar trebui să cuprindă numărul total de persoane verificate, numărul total de refuzuri ale intrării aplicate în urma verificărilor, numărul total de decizii de returnare emise în urma verificărilor și numărul total de cereri de azil primite la frontierele interne la care au loc verificările.</w:t>
      </w:r>
    </w:p>
    <w:p>
      <w:pPr>
        <w:pStyle w:val="ManualConsidrant"/>
        <w:rPr>
          <w:noProof/>
        </w:rPr>
      </w:pPr>
      <w:r>
        <w:rPr>
          <w:noProof/>
        </w:rPr>
        <w:t>(15)</w:t>
      </w:r>
      <w:r>
        <w:rPr>
          <w:noProof/>
        </w:rPr>
        <w:tab/>
        <w:t>Consiliul ia act de faptul că Comisia a anunțat că va continua să colaboreze cu statele Schengen în cauză pentru a se elimina treptat controalele temporare la frontierele interne, cu obiectivul de a se reveni la o funcționare normală a spațiului Schengen cât mai repede posibil.</w:t>
      </w:r>
    </w:p>
    <w:p>
      <w:pPr>
        <w:pStyle w:val="ManualConsidrant"/>
        <w:rPr>
          <w:noProof/>
        </w:rPr>
      </w:pPr>
      <w:r>
        <w:rPr>
          <w:noProof/>
        </w:rPr>
        <w:t>(16)</w:t>
      </w:r>
      <w:r>
        <w:rPr>
          <w:noProof/>
        </w:rPr>
        <w:tab/>
        <w:t>Consiliul ia act, de asemenea, de faptul că Comisia a anunțat că va monitoriza îndeaproape aplicarea prezentei decizii de punere în aplicare,</w:t>
      </w:r>
    </w:p>
    <w:p>
      <w:pPr>
        <w:pStyle w:val="Formuledadoption"/>
        <w:rPr>
          <w:noProof/>
        </w:rPr>
      </w:pPr>
      <w:r>
        <w:rPr>
          <w:noProof/>
        </w:rPr>
        <w:t xml:space="preserve">RECOMANDĂ: </w:t>
      </w:r>
    </w:p>
    <w:p>
      <w:pPr>
        <w:pStyle w:val="ManualNumPar1"/>
        <w:rPr>
          <w:noProof/>
        </w:rPr>
      </w:pPr>
      <w:r>
        <w:rPr>
          <w:noProof/>
        </w:rPr>
        <w:t>1.</w:t>
      </w:r>
      <w:r>
        <w:rPr>
          <w:noProof/>
        </w:rPr>
        <w:tab/>
        <w:t>Austriei, Germaniei, Danemarcei, Suediei și Norvegiei să prelungească aplicarea controalelor temporare proporționale la frontieră pentru o perioadă maximă de trei luni, cu începere de la data adoptării prezentei decizii de punere în aplicare, la următoarele frontiere interne:</w:t>
      </w:r>
    </w:p>
    <w:p>
      <w:pPr>
        <w:pStyle w:val="Tiret1"/>
        <w:numPr>
          <w:ilvl w:val="0"/>
          <w:numId w:val="9"/>
        </w:numPr>
        <w:rPr>
          <w:noProof/>
        </w:rPr>
      </w:pPr>
      <w:r>
        <w:rPr>
          <w:noProof/>
        </w:rPr>
        <w:t>Austria: la frontiera terestră cu Ungaria și la frontiera terestră cu Slovenia;</w:t>
      </w:r>
    </w:p>
    <w:p>
      <w:pPr>
        <w:pStyle w:val="Tiret1"/>
        <w:rPr>
          <w:noProof/>
        </w:rPr>
      </w:pPr>
      <w:r>
        <w:rPr>
          <w:noProof/>
        </w:rPr>
        <w:t>Germania: la frontiera terestră cu Austria;</w:t>
      </w:r>
    </w:p>
    <w:p>
      <w:pPr>
        <w:pStyle w:val="Tiret1"/>
        <w:rPr>
          <w:noProof/>
        </w:rPr>
      </w:pPr>
      <w:r>
        <w:rPr>
          <w:noProof/>
        </w:rPr>
        <w:t>Danemarca: în porturile daneze cu legături prin feribot cu Germania și la frontiera terestră cu Germania;</w:t>
      </w:r>
    </w:p>
    <w:p>
      <w:pPr>
        <w:pStyle w:val="Tiret1"/>
        <w:rPr>
          <w:noProof/>
        </w:rPr>
      </w:pPr>
      <w:r>
        <w:rPr>
          <w:noProof/>
        </w:rPr>
        <w:t>Suedia: în porturile suedeze din regiunea polițienească Sud și Vest și la podul Öresund;</w:t>
      </w:r>
    </w:p>
    <w:p>
      <w:pPr>
        <w:pStyle w:val="Tiret1"/>
        <w:rPr>
          <w:noProof/>
        </w:rPr>
      </w:pPr>
      <w:r>
        <w:rPr>
          <w:noProof/>
        </w:rPr>
        <w:t>Norvegia: în porturile norvegiene cu legături prin feribot cu Danemarca, Germania și Suedia.</w:t>
      </w:r>
    </w:p>
    <w:p>
      <w:pPr>
        <w:pStyle w:val="ManualNumPar1"/>
        <w:rPr>
          <w:noProof/>
        </w:rPr>
      </w:pPr>
      <w:r>
        <w:rPr>
          <w:noProof/>
        </w:rPr>
        <w:t>2.</w:t>
      </w:r>
      <w:r>
        <w:rPr>
          <w:noProof/>
        </w:rPr>
        <w:tab/>
        <w:t>Înainte de a decide prelungirea suplimentară a unor astfel de controale pe baza prezentei recomandări, statele membre în cauză ar trebui să facă schimb de opinii cu statul (statele) membru (membre) relevant(e) în vederea asigurării faptului că respectivele controale la frontierele interne sunt efectuate numai în cazul în care acest lucru este considerat necesar și proporțional. În plus, statele membre în cauză ar trebui să se asigure că respectivele controale la frontierele interne sunt efectuate numai în ultimă instanță, atunci când alte măsuri alternative nu pot obține același efect, și numai la acele părți ale frontierei interne unde se consideră că este necesar și proporțional, în conformitate cu Codul frontierelor Schengen. Statele membre în cauză ar trebui să informeze în mod corespunzător celelalte state membre, Parlamentul European și Comisia.</w:t>
      </w:r>
    </w:p>
    <w:p>
      <w:pPr>
        <w:pStyle w:val="ManualNumPar1"/>
        <w:rPr>
          <w:noProof/>
        </w:rPr>
      </w:pPr>
      <w:r>
        <w:rPr>
          <w:noProof/>
        </w:rPr>
        <w:t>3.</w:t>
      </w:r>
      <w:r>
        <w:rPr>
          <w:noProof/>
        </w:rPr>
        <w:tab/>
        <w:t>Controalele la frontiere ar trebui să fie în continuare specifice, să se bazeze pe analize ale riscurilor și pe date actualizate în mod constant ale serviciilor de informații și să fie limitate - în ceea ce privește domeniul de aplicare, frecvența, locul și momentul în care sunt efectuate - la ceea ce este strict necesar pentru a răspunde amenințării grave și pentru a proteja ordinea publică și securitatea internă. Statul membru care efectuează controalele la frontierele interne prevăzute în prezenta decizie de punere în aplicare ar trebui să reexamineze săptămânal necesitatea, frecvența, locul și momentul efectuării controalelor, să adapteze intensitatea acestora la nivelul amenințării abordate, să le elimine treptat ori de câte ori este cazul și să prezinte prompt Comisiei, în fiecare lună, un raport.</w:t>
      </w: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În ordine cronologică, Germania, Austria, Slovenia, Ungaria, Suedia, Norvegia, Danemarca.</w:t>
      </w:r>
    </w:p>
  </w:footnote>
  <w:footnote w:id="2">
    <w:p>
      <w:pPr>
        <w:pStyle w:val="FootnoteText"/>
        <w:rPr>
          <w:spacing w:val="-3"/>
        </w:rPr>
      </w:pPr>
      <w:r>
        <w:rPr>
          <w:rStyle w:val="FootnoteReference"/>
        </w:rPr>
        <w:footnoteRef/>
      </w:r>
      <w:r>
        <w:tab/>
      </w:r>
      <w:r>
        <w:rPr>
          <w:rStyle w:val="Initial"/>
          <w:spacing w:val="-3"/>
        </w:rPr>
        <w:t>Decizia de punere în aplicare (UE) 2016/894 a Consiliului din 12 mai 2016 de formulare a unei recomandări cu privire la controlul temporar la frontierele interne în circumstanțe excepționale care periclitează funcționarea generală a spațiului Schengen (JO L 151, p. 8).</w:t>
      </w:r>
    </w:p>
  </w:footnote>
  <w:footnote w:id="3">
    <w:p>
      <w:pPr>
        <w:pStyle w:val="FootnoteText"/>
      </w:pPr>
      <w:r>
        <w:rPr>
          <w:rStyle w:val="FootnoteReference"/>
        </w:rPr>
        <w:footnoteRef/>
      </w:r>
      <w:r>
        <w:tab/>
        <w:t>Propunerea Comisiei de Decizie de punere în aplicare a Consiliului de formulare a unei recomandări cu privire la controlul temporar la frontierele interne în circumstanțe excepționale care periclitează funcționarea generală a spațiului Schengen, COM(2016)275 final din 4 mai 2016.</w:t>
      </w:r>
    </w:p>
  </w:footnote>
  <w:footnote w:id="4">
    <w:p>
      <w:pPr>
        <w:pStyle w:val="FootnoteText"/>
      </w:pPr>
      <w:r>
        <w:rPr>
          <w:rStyle w:val="FootnoteReference"/>
        </w:rPr>
        <w:footnoteRef/>
      </w:r>
      <w:r>
        <w:tab/>
        <w:t>Comunicarea Comisiei către Parlamentul European, Consiliul European și Consiliu din 4.3.2016, „Înapoi la Schengen – o foaie de parcurs”, COM(2016) 120 final.</w:t>
      </w:r>
    </w:p>
  </w:footnote>
  <w:footnote w:id="5">
    <w:p>
      <w:pPr>
        <w:pStyle w:val="FootnoteText"/>
      </w:pPr>
      <w:r>
        <w:rPr>
          <w:rStyle w:val="FootnoteReference"/>
        </w:rPr>
        <w:footnoteRef/>
      </w:r>
      <w:r>
        <w:tab/>
        <w:t>Ca urmare a recomandării din 11 noiembrie 2016, toate cele cinci state Schengen în cauză au informat Comisia că vor efectua la frontierele interne controalele temporare recomandate.</w:t>
      </w:r>
    </w:p>
  </w:footnote>
  <w:footnote w:id="6">
    <w:p>
      <w:pPr>
        <w:pStyle w:val="FootnoteText"/>
      </w:pPr>
      <w:r>
        <w:rPr>
          <w:rStyle w:val="FootnoteReference"/>
        </w:rPr>
        <w:footnoteRef/>
      </w:r>
      <w:r>
        <w:tab/>
        <w:t>Campionatul Euro 2016/Turul Franței, starea de urgență decretată în urma atacului de la Nisa.</w:t>
      </w:r>
    </w:p>
  </w:footnote>
  <w:footnote w:id="7">
    <w:p>
      <w:pPr>
        <w:pStyle w:val="FootnoteText"/>
      </w:pPr>
      <w:r>
        <w:rPr>
          <w:rStyle w:val="FootnoteReference"/>
        </w:rPr>
        <w:footnoteRef/>
      </w:r>
      <w:r>
        <w:tab/>
        <w:t>Propunerea Comisiei de regulament al Parlamentului European și al Consiliului privind Paza europeană de frontieră și de coastă, COM(2015)671 final; Propunerea Comisiei de regulament al Parlamentului European și al Consiliului de modificare a Regulamentului (CE) nr. 562/2006 în ceea ce privește consolidarea controalelor prin consultarea bazelor de date relevante la frontierele externe, COM(2015)670 final.</w:t>
      </w:r>
    </w:p>
  </w:footnote>
  <w:footnote w:id="8">
    <w:p>
      <w:pPr>
        <w:pStyle w:val="FootnoteText"/>
      </w:pPr>
      <w:r>
        <w:rPr>
          <w:rStyle w:val="FootnoteReference"/>
        </w:rPr>
        <w:footnoteRef/>
      </w:r>
      <w:r>
        <w:tab/>
        <w:t>Comunicarea Comisiei către Parlamentul European, Consiliul European și Consiliu, „Înapoi la Schengen – o foaie de parcurs”, COM(2016)120 final.</w:t>
      </w:r>
    </w:p>
  </w:footnote>
  <w:footnote w:id="9">
    <w:p>
      <w:pPr>
        <w:pStyle w:val="FootnoteText"/>
      </w:pPr>
      <w:r>
        <w:rPr>
          <w:rStyle w:val="FootnoteReference"/>
        </w:rPr>
        <w:footnoteRef/>
      </w:r>
      <w:r>
        <w:tab/>
        <w:t>A se vedea Comunicarea Comisiei către Parlamentul European, Consiliul European și Consiliu intitulată „Migrația pe ruta central-mediteraneeană”, JOIN(2017) 4 final.</w:t>
      </w:r>
    </w:p>
  </w:footnote>
  <w:footnote w:id="10">
    <w:p>
      <w:pPr>
        <w:pStyle w:val="FootnoteText"/>
      </w:pPr>
      <w:r>
        <w:rPr>
          <w:rStyle w:val="FootnoteReference"/>
        </w:rPr>
        <w:footnoteRef/>
      </w:r>
      <w:r>
        <w:tab/>
        <w:t>A se vedea Comunicarea privind operaționalizarea Poliției de frontieră și a gărzii de coastă la nivel european, COM(2017) 42.</w:t>
      </w:r>
    </w:p>
  </w:footnote>
  <w:footnote w:id="11">
    <w:p>
      <w:pPr>
        <w:pStyle w:val="FootnoteText"/>
      </w:pPr>
      <w:r>
        <w:rPr>
          <w:rStyle w:val="FootnoteReference"/>
        </w:rPr>
        <w:footnoteRef/>
      </w:r>
      <w:r>
        <w:tab/>
        <w:t>Curtea de Justiție a hotărât că punctele (i) - (iv) de la articolul 23 litera (a) din Codul frontierelor Schengen (Regulamentul 2016/399) reprezintă doar un exemplu și nu stabilesc singurele măsuri polițienești pe care statele membre le pot lua în zona de frontieră (cauza Adil, C-278/12 PPU, punctul 65). Această hotărâre se referă la legislația sau la practica națională care se limitează la zonele de frontieră. În cazul în care competențele polițienești sunt aplicabile pe întreg teritoriul statului membru fără a se face distincție de zone, posibilitatea ca aplicarea lor să contravină interdicției privind măsurile echivalente cu verificările la frontiere este mai mică.</w:t>
      </w:r>
    </w:p>
  </w:footnote>
  <w:footnote w:id="12">
    <w:p>
      <w:pPr>
        <w:pStyle w:val="FootnoteText"/>
      </w:pPr>
      <w:r>
        <w:rPr>
          <w:rStyle w:val="FootnoteReference"/>
        </w:rPr>
        <w:footnoteRef/>
      </w:r>
      <w:r>
        <w:tab/>
        <w:t>JO L 77, 23.3.2016, p. 1.</w:t>
      </w:r>
    </w:p>
  </w:footnote>
  <w:footnote w:id="13">
    <w:p>
      <w:pPr>
        <w:pStyle w:val="FootnoteText"/>
      </w:pPr>
      <w:r>
        <w:rPr>
          <w:rStyle w:val="FootnoteReference"/>
        </w:rPr>
        <w:footnoteRef/>
      </w:r>
      <w:r>
        <w:tab/>
        <w:t>Al patrulea raport privind progresele înregistrate în punerea în aplicare a Declarației UE-Turcia [COM(2016) 792].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78A2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43B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3440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22FB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AC6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163A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2AA973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E0C4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34: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56ED45DAD1F4A5FBA4C4843F35B9E6F"/>
    <w:docVar w:name="LW_CROSSREFERENCE" w:val="&lt;UNUSED&gt;"/>
    <w:docVar w:name="LW_DocType" w:val="COM"/>
    <w:docVar w:name="LW_EMISSION" w:val="25.1.2017"/>
    <w:docVar w:name="LW_EMISSION_ISODATE" w:val="2017-01-25"/>
    <w:docVar w:name="LW_EMISSION_LOCATION" w:val="BRX"/>
    <w:docVar w:name="LW_EMISSION_PREFIX" w:val="Bruxelles, "/>
    <w:docVar w:name="LW_EMISSION_SUFFIX" w:val=" "/>
    <w:docVar w:name="LW_ID_DOCMODEL" w:val="SJ-021"/>
    <w:docVar w:name="LW_ID_DOCSIGNATURE" w:val="SJ-021"/>
    <w:docVar w:name="LW_ID_DOCSTRUCTURE" w:val="COM/PL/ORG"/>
    <w:docVar w:name="LW_ID_DOCTYPE" w:val="SJ-021"/>
    <w:docVar w:name="LW_ID_STATUT" w:val="SJ-021"/>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NLE"/>
    <w:docVar w:name="LW_REF.II.NEW.CP_NUMBER" w:val="0014"/>
    <w:docVar w:name="LW_REF.II.NEW.CP_YEAR" w:val="2017"/>
    <w:docVar w:name="LW_REF.INST.NEW" w:val="COM"/>
    <w:docVar w:name="LW_REF.INST.NEW_ADOPTED" w:val="final"/>
    <w:docVar w:name="LW_REF.INST.NEW_TEXT" w:val="(2017) 40"/>
    <w:docVar w:name="LW_REF.INTERNE" w:val="&lt;UNUSED&gt;"/>
    <w:docVar w:name="LW_SOUS.TITRE.OBJ.CP" w:val="&lt;UNUSED&gt;"/>
    <w:docVar w:name="LW_STATUT.CP" w:val="Propunere de"/>
    <w:docVar w:name="LW_SUPERTITRE" w:val="&lt;UNUSED&gt;"/>
    <w:docVar w:name="LW_TITRE.OBJ.CP" w:val="de formulare a unei recomand\u259?ri cu privire la prelungirea controlului temporar la frontierele interne în circumstan\u539?e excep\u539?ionale care pericliteaz\u259? func\u539?ionarea general\u259? a spa\u539?iului Schengen"/>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
    <w:name w:val="Initial"/>
    <w:basedOn w:val="DefaultParagraphFont"/>
    <w:rPr>
      <w:rFonts w:ascii="Times New Roman" w:hAnsi="Times New Roman" w:cs="Times New Roman" w:hint="defau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sz w:val="18"/>
      <w:szCs w:val="18"/>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
    <w:name w:val="Initial"/>
    <w:basedOn w:val="DefaultParagraphFont"/>
    <w:rPr>
      <w:rFonts w:ascii="Times New Roman" w:hAnsi="Times New Roman" w:cs="Times New Roman" w:hint="defau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sz w:val="18"/>
      <w:szCs w:val="18"/>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8A00-6E29-4F9E-950E-3B9465BC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4101</Words>
  <Characters>24117</Characters>
  <Application>Microsoft Office Word</Application>
  <DocSecurity>0</DocSecurity>
  <Lines>371</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2017-01-20T17:12:00Z</cp:lastPrinted>
  <dcterms:created xsi:type="dcterms:W3CDTF">2017-01-31T11:03:00Z</dcterms:created>
  <dcterms:modified xsi:type="dcterms:W3CDTF">2017-02-01T08:34:00Z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SJ-021</vt:lpwstr>
  </property>
  <property fmtid="{D5CDD505-2E9C-101B-9397-08002B2CF9AE}" pid="10" name="DQCStatus">
    <vt:lpwstr>Green (DQC version 03)</vt:lpwstr>
  </property>
</Properties>
</file>