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B56E016C3164C9AA19B4C52396C646A" style="width:450.5pt;height:4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t>ALLEGATO</w:t>
      </w:r>
    </w:p>
    <w:p>
      <w:pPr>
        <w:pStyle w:val="Titreobjet"/>
        <w:rPr>
          <w:noProof/>
        </w:rPr>
      </w:pPr>
      <w:r>
        <w:rPr>
          <w:noProof/>
        </w:rPr>
        <w:t>della</w:t>
      </w:r>
      <w:r>
        <w:rPr>
          <w:noProof/>
        </w:rPr>
        <w:br/>
      </w:r>
      <w:r>
        <w:rPr>
          <w:noProof/>
        </w:rPr>
        <w:br/>
        <w:t>DIRETTIVA DEL PARLAMENTO EUROPEO E DEL CONSIGLIO</w:t>
      </w:r>
      <w:r>
        <w:rPr>
          <w:noProof/>
        </w:rPr>
        <w:br/>
      </w:r>
      <w:r>
        <w:rPr>
          <w:noProof/>
        </w:rPr>
        <w:br/>
        <w:t>che modifica la direttiva 2003/59/CE sulla qualificazione iniziale e formazione periodica dei conducenti di taluni veicoli stradali adibiti al trasporto di merci o passeggeri e la direttiva 2006/126/CE concernente la patente di guida</w:t>
      </w:r>
    </w:p>
    <w:p>
      <w:pPr>
        <w:rPr>
          <w:noProof/>
        </w:rPr>
      </w:pPr>
      <w:r>
        <w:rPr>
          <w:noProof/>
        </w:rPr>
        <w:t>Gli allegati I e II sono così modificati:</w:t>
      </w:r>
    </w:p>
    <w:p>
      <w:pPr>
        <w:rPr>
          <w:noProof/>
        </w:rPr>
      </w:pPr>
    </w:p>
    <w:p>
      <w:pPr>
        <w:pStyle w:val="Point0"/>
        <w:rPr>
          <w:noProof/>
        </w:rPr>
      </w:pPr>
      <w:r>
        <w:rPr>
          <w:noProof/>
        </w:rPr>
        <w:t>1)</w:t>
      </w:r>
      <w:r>
        <w:rPr>
          <w:noProof/>
        </w:rPr>
        <w:tab/>
        <w:t>l'allegato I è così modificato:</w:t>
      </w:r>
    </w:p>
    <w:p>
      <w:pPr>
        <w:pStyle w:val="Point1"/>
        <w:rPr>
          <w:noProof/>
        </w:rPr>
      </w:pPr>
      <w:r>
        <w:rPr>
          <w:noProof/>
        </w:rPr>
        <w:t>a)</w:t>
      </w:r>
      <w:r>
        <w:rPr>
          <w:noProof/>
        </w:rPr>
        <w:tab/>
        <w:t>la sezione 1 è così modificata:</w:t>
      </w:r>
    </w:p>
    <w:p>
      <w:pPr>
        <w:pStyle w:val="Point2"/>
        <w:rPr>
          <w:noProof/>
        </w:rPr>
      </w:pPr>
      <w:r>
        <w:rPr>
          <w:noProof/>
        </w:rPr>
        <w:t>a)</w:t>
      </w:r>
      <w:r>
        <w:rPr>
          <w:noProof/>
        </w:rPr>
        <w:tab/>
        <w:t>il secondo comma è sostituito dal seguente:</w:t>
      </w:r>
    </w:p>
    <w:p>
      <w:pPr>
        <w:pStyle w:val="Text2"/>
        <w:rPr>
          <w:noProof/>
        </w:rPr>
      </w:pPr>
      <w:r>
        <w:rPr>
          <w:noProof/>
        </w:rPr>
        <w:t>"Il livello minimo di qualificazione deve essere paragonabile almeno al livello 2 del Quadro europeo delle qualifiche di cui all'allegato II della raccomandazione 2008/C 111/01 del Parlamento europeo e del Consiglio(*).</w:t>
      </w:r>
    </w:p>
    <w:p>
      <w:pPr>
        <w:pStyle w:val="Text2"/>
        <w:rPr>
          <w:noProof/>
        </w:rPr>
      </w:pPr>
      <w:r>
        <w:rPr>
          <w:noProof/>
        </w:rPr>
        <w:t>_____</w:t>
      </w:r>
    </w:p>
    <w:p>
      <w:pPr>
        <w:pStyle w:val="Text2"/>
        <w:rPr>
          <w:noProof/>
        </w:rPr>
      </w:pPr>
      <w:r>
        <w:rPr>
          <w:noProof/>
        </w:rPr>
        <w:t>(*) Raccomandazione del Parlamento europeo e del Consiglio, del 23 aprile 2008, sulla costituzione del Quadro europeo delle qualifiche per l'apprendimento permanente (GU C 111 del 6.5.2008, pag. 1).";</w:t>
      </w:r>
    </w:p>
    <w:p>
      <w:pPr>
        <w:rPr>
          <w:noProof/>
        </w:rPr>
      </w:pPr>
    </w:p>
    <w:p>
      <w:pPr>
        <w:pStyle w:val="Point2"/>
        <w:rPr>
          <w:noProof/>
        </w:rPr>
      </w:pPr>
      <w:r>
        <w:rPr>
          <w:noProof/>
        </w:rPr>
        <w:t>b)</w:t>
      </w:r>
      <w:r>
        <w:rPr>
          <w:noProof/>
        </w:rPr>
        <w:tab/>
        <w:t>il punto 1.2 è sostituito dal seguente:</w:t>
      </w:r>
    </w:p>
    <w:p>
      <w:pPr>
        <w:pStyle w:val="Text2"/>
        <w:rPr>
          <w:noProof/>
        </w:rPr>
      </w:pPr>
      <w:r>
        <w:rPr>
          <w:noProof/>
        </w:rPr>
        <w:t>"1.2. Obiettivo: conoscenza delle caratteristiche tecniche e del funzionamento dei dispositivi di sicurezza per poter controllare il veicolo, minimizzarne l'usura e prevenirne le anomalie di funzionamento.</w:t>
      </w:r>
    </w:p>
    <w:p>
      <w:pPr>
        <w:pStyle w:val="Text2"/>
        <w:rPr>
          <w:noProof/>
        </w:rPr>
      </w:pPr>
      <w:r>
        <w:rPr>
          <w:noProof/>
        </w:rPr>
        <w:t>Limiti dell'utilizzo di freni e rallentatori, uso combinato di freni e rallentatore, ricerca del miglior compromesso fra velocità e rapporto del cambio, ricorso all'inerzia del veicolo, utilizzo dei dispositivi di rallentamento e frenatura in discesa, condotta in caso di avaria, uso di dispositivi elettronici e meccanici come il sistema di controllo elettronico della stabilità (ESP), i dispositivi avanzati di frenata di emergenza (AEBS), il sistema di frenatura antibloccaggio (ABS), i sistemi di controllo della trazione (TCS) e i sistemi di monitoraggio dei veicoli (IVMS) ed altri dispositivi omologati di assistenza alla guida o di automazione.";</w:t>
      </w:r>
    </w:p>
    <w:p>
      <w:pPr>
        <w:rPr>
          <w:noProof/>
        </w:rPr>
      </w:pPr>
    </w:p>
    <w:p>
      <w:pPr>
        <w:pStyle w:val="Point2"/>
        <w:rPr>
          <w:noProof/>
        </w:rPr>
      </w:pPr>
      <w:r>
        <w:rPr>
          <w:noProof/>
        </w:rPr>
        <w:t>c)</w:t>
      </w:r>
      <w:r>
        <w:rPr>
          <w:noProof/>
        </w:rPr>
        <w:tab/>
        <w:t xml:space="preserve">al punto 1.3, il secondo comma è sostituito dal seguente: </w:t>
      </w:r>
    </w:p>
    <w:p>
      <w:pPr>
        <w:pStyle w:val="Text2"/>
        <w:rPr>
          <w:noProof/>
        </w:rPr>
      </w:pPr>
      <w:r>
        <w:rPr>
          <w:noProof/>
        </w:rPr>
        <w:t>"Ottimizzazione del consumo di carburante mediante applicazione delle cognizioni tecniche di cui ai punti 1.1 e 1.2, importanza di prevedere il flusso del traffico, mantenimento di una distanza adeguata e utilizzo della dinamica del veicolo, velocità costante, guida regolare e pressione degli pneumatici adeguata.";</w:t>
      </w:r>
    </w:p>
    <w:p>
      <w:pPr>
        <w:rPr>
          <w:noProof/>
        </w:rPr>
      </w:pPr>
    </w:p>
    <w:p>
      <w:pPr>
        <w:pStyle w:val="Point2"/>
        <w:rPr>
          <w:noProof/>
        </w:rPr>
      </w:pPr>
      <w:r>
        <w:rPr>
          <w:noProof/>
        </w:rPr>
        <w:t>d)</w:t>
      </w:r>
      <w:r>
        <w:rPr>
          <w:noProof/>
        </w:rPr>
        <w:tab/>
        <w:t xml:space="preserve">prima del titolo "Patenti di guida C, C+E, C1, C1+E" è inserito il seguente punto 1.3 bis: </w:t>
      </w:r>
    </w:p>
    <w:p>
      <w:pPr>
        <w:pStyle w:val="Text2"/>
        <w:rPr>
          <w:noProof/>
        </w:rPr>
      </w:pPr>
      <w:r>
        <w:rPr>
          <w:noProof/>
        </w:rPr>
        <w:t>"1.3 bis. Obiettivo: capacità di prevedere e valutare i rischi del traffico e di adattare la guida di conseguenza.</w:t>
      </w:r>
    </w:p>
    <w:p>
      <w:pPr>
        <w:pStyle w:val="Text2"/>
        <w:rPr>
          <w:noProof/>
        </w:rPr>
      </w:pPr>
      <w:r>
        <w:rPr>
          <w:noProof/>
        </w:rPr>
        <w:t xml:space="preserve">Cogliere i mutamenti delle condizioni della strada, del traffico e meteorologiche e adeguare ad essi la guida, prevedere il verificarsi di eventi, adeguare la guida ai rischi del traffico e riconoscere le situazioni pericolose e modificare la guida di conseguenza, in particolare in rapporto alle dimensioni e al peso dei veicoli e alla presenza di utenti della strada vulnerabili quali i pedoni, i ciclisti e i conducenti di veicoli a motore a due ruote. </w:t>
      </w:r>
    </w:p>
    <w:p>
      <w:pPr>
        <w:pStyle w:val="Text2"/>
        <w:rPr>
          <w:noProof/>
        </w:rPr>
      </w:pPr>
      <w:r>
        <w:rPr>
          <w:noProof/>
        </w:rPr>
        <w:t>Riconoscere le situazioni potenzialmente pericolose e i casi in cui tali pericoli potenziali rischiano di determinare una situazione in cui non è più possibile evitare un incidente, quindi scegliere e compiere azioni che aumentino i margini di sicurezza in modo che si possa ancora evitare l'incidente qualora il pericolo potenziale dovesse divenire reale.";</w:t>
      </w:r>
    </w:p>
    <w:p>
      <w:pPr>
        <w:rPr>
          <w:noProof/>
        </w:rPr>
      </w:pPr>
    </w:p>
    <w:p>
      <w:pPr>
        <w:pStyle w:val="Point2"/>
        <w:rPr>
          <w:noProof/>
        </w:rPr>
      </w:pPr>
      <w:r>
        <w:rPr>
          <w:noProof/>
        </w:rPr>
        <w:t>e)</w:t>
      </w:r>
      <w:r>
        <w:rPr>
          <w:noProof/>
        </w:rPr>
        <w:tab/>
        <w:t>il punto 1.4 è sostituito dal seguente:</w:t>
      </w:r>
    </w:p>
    <w:p>
      <w:pPr>
        <w:pStyle w:val="Text2"/>
        <w:rPr>
          <w:noProof/>
        </w:rPr>
      </w:pPr>
      <w:r>
        <w:rPr>
          <w:noProof/>
        </w:rPr>
        <w:t>"1.4. Obiettivo: capacità di caricare il veicolo rispettandone i principi di sicurezza e di corretto utilizzo.</w:t>
      </w:r>
    </w:p>
    <w:p>
      <w:pPr>
        <w:pStyle w:val="Text2"/>
        <w:rPr>
          <w:noProof/>
        </w:rPr>
      </w:pPr>
      <w:r>
        <w:rPr>
          <w:noProof/>
        </w:rPr>
        <w:t>Forze che agiscono sui veicoli in movimento, uso dei rapporti del cambio di velocità in funzione del carico del veicolo e delle caratteristiche della carreggiata, uso di sistemi di trasmissione automatica, calcolo del carico utile di un veicolo o di un complesso di veicoli, calcolo del volume totale, ripartizione del carico, conseguenze del sovraccarico sugli assi, stabilità e baricentro del veicolo, tipi di imballaggi e di palette di carico.</w:t>
      </w:r>
    </w:p>
    <w:p>
      <w:pPr>
        <w:pStyle w:val="Text2"/>
        <w:rPr>
          <w:noProof/>
        </w:rPr>
      </w:pPr>
      <w:r>
        <w:rPr>
          <w:noProof/>
        </w:rPr>
        <w:t>Categorie principali di merci che necessitano di fissaggio, tecniche di ancoraggio e di fissaggio, uso delle cinghie di fissaggio, verifica dei dispositivi di fissaggio, uso delle attrezzature di movimentazione, montaggio e smontaggio delle coperture telate.";</w:t>
      </w:r>
    </w:p>
    <w:p>
      <w:pPr>
        <w:rPr>
          <w:noProof/>
        </w:rPr>
      </w:pPr>
    </w:p>
    <w:p>
      <w:pPr>
        <w:pStyle w:val="Point2"/>
        <w:rPr>
          <w:noProof/>
        </w:rPr>
      </w:pPr>
      <w:r>
        <w:rPr>
          <w:noProof/>
        </w:rPr>
        <w:t>f)</w:t>
      </w:r>
      <w:r>
        <w:rPr>
          <w:noProof/>
        </w:rPr>
        <w:tab/>
        <w:t>il punto 1.6 è sostituito dal seguente:</w:t>
      </w:r>
    </w:p>
    <w:p>
      <w:pPr>
        <w:pStyle w:val="Text2"/>
        <w:rPr>
          <w:noProof/>
        </w:rPr>
      </w:pPr>
      <w:r>
        <w:rPr>
          <w:noProof/>
        </w:rPr>
        <w:t>"1.6. Obiettivo: capacità di caricare il veicolo rispettandone i principi di sicurezza e di corretto utilizzo.</w:t>
      </w:r>
    </w:p>
    <w:p>
      <w:pPr>
        <w:pStyle w:val="Text2"/>
        <w:rPr>
          <w:noProof/>
        </w:rPr>
      </w:pPr>
      <w:r>
        <w:rPr>
          <w:noProof/>
        </w:rPr>
        <w:t>Forze che agiscono sui veicoli in movimento, uso dei rapporti del cambio di velocità in funzione del carico del veicolo e delle caratteristiche della carreggiata, uso di sistemi di trasmissione automatica, calcolo del carico utile di un veicolo o di un complesso di veicoli, ripartizione del carico, conseguenze del sovraccarico sugli assi, stabilità e baricentro del veicolo.";</w:t>
      </w:r>
    </w:p>
    <w:p>
      <w:pPr>
        <w:rPr>
          <w:noProof/>
        </w:rPr>
      </w:pPr>
    </w:p>
    <w:p>
      <w:pPr>
        <w:pStyle w:val="Point2"/>
        <w:rPr>
          <w:noProof/>
        </w:rPr>
      </w:pPr>
      <w:r>
        <w:rPr>
          <w:noProof/>
        </w:rPr>
        <w:t>g)</w:t>
      </w:r>
      <w:r>
        <w:rPr>
          <w:noProof/>
        </w:rPr>
        <w:tab/>
        <w:t>al punto 2.1, il secondo comma è sostituito dal seguente:</w:t>
      </w:r>
    </w:p>
    <w:p>
      <w:pPr>
        <w:pStyle w:val="Text2"/>
        <w:rPr>
          <w:noProof/>
        </w:rPr>
      </w:pPr>
      <w:r>
        <w:rPr>
          <w:noProof/>
        </w:rPr>
        <w:t>"Durata massima della prestazione lavorativa nei trasporti; principi, applicazione e conseguenze dei regolamenti (CE) n. 561/2006(*) e (UE) n. 165/2014(**) del Parlamento europeo e del Consiglio; sanzioni per omissione di uso, uso illecito o manomissione del tachigrafo; conoscenza del contesto sociale dell'autotrasporto: diritti e doveri del conducente in materia di qualificazione iniziale e di formazione periodica.</w:t>
      </w:r>
    </w:p>
    <w:p>
      <w:pPr>
        <w:pStyle w:val="Text2"/>
        <w:rPr>
          <w:noProof/>
        </w:rPr>
      </w:pPr>
      <w:r>
        <w:rPr>
          <w:noProof/>
        </w:rPr>
        <w:t>________</w:t>
      </w:r>
    </w:p>
    <w:p>
      <w:pPr>
        <w:pStyle w:val="Text2"/>
        <w:rPr>
          <w:noProof/>
        </w:rPr>
      </w:pPr>
      <w:r>
        <w:rPr>
          <w:noProof/>
        </w:rPr>
        <w:t>(*) Regolamento (CE) n. 561/2006 del Parlamento europeo e del Consiglio, del 15 marzo 2006, relativo all'armonizzazione di alcune disposizioni in materia sociale nel settore dei trasporti su strada e che modifica i regolamenti del Consiglio (CEE) n. 3821/85 e (CE) n. 2135/98 e abroga il regolamento (CEE) n. 3820/85 del Consiglio (GU L 102 dell'11.4.2006, pag. 1).</w:t>
      </w:r>
    </w:p>
    <w:p>
      <w:pPr>
        <w:pStyle w:val="Text2"/>
        <w:rPr>
          <w:noProof/>
        </w:rPr>
      </w:pPr>
      <w:r>
        <w:rPr>
          <w:noProof/>
        </w:rPr>
        <w:t>(**) Regolamento (UE) n. 165/2014 del Parlamento europeo e del Consiglio, del 4 febbraio 2014, relativo ai tachigrafi nel settore dei trasporti su strada, che abroga il regolamento (CEE) n. 3821/85 del Consiglio relativo all'apparecchio di controllo nel settore dei trasporti su strada e modifica il regolamento (CE) n. 561/2006 del Parlamento europeo e del Consiglio relativo all'armonizzazione di alcune disposizioni in materia sociale nel settore dei trasporti su strada (GU L 60 del 28.2.2014, pag. 1).";</w:t>
      </w:r>
    </w:p>
    <w:p>
      <w:pPr>
        <w:rPr>
          <w:noProof/>
        </w:rPr>
      </w:pPr>
    </w:p>
    <w:p>
      <w:pPr>
        <w:pStyle w:val="Point2"/>
        <w:rPr>
          <w:noProof/>
        </w:rPr>
      </w:pPr>
      <w:r>
        <w:rPr>
          <w:noProof/>
        </w:rPr>
        <w:t>h)</w:t>
      </w:r>
      <w:r>
        <w:rPr>
          <w:noProof/>
        </w:rPr>
        <w:tab/>
        <w:t>al punto 3.7, il secondo comma è sostituito dal seguente:</w:t>
      </w:r>
    </w:p>
    <w:p>
      <w:pPr>
        <w:pStyle w:val="Text2"/>
        <w:rPr>
          <w:noProof/>
        </w:rPr>
      </w:pPr>
      <w:r>
        <w:rPr>
          <w:noProof/>
        </w:rPr>
        <w:t>"L'autotrasporto rispetto alle altre modalità di trasporto (concorrenza, spedizionieri), diverse attività connesse all'autotrasporto (trasporti per conto terzi, in conto proprio, attività ausiliare di trasporto), organizzazione dei principali tipi di impresa di trasporti o di attività ausiliare di trasporto, diverse specializzazioni (trasporti su strada con autocisterna, a temperatura controllata, di merci pericolose, di animali ecc.), evoluzione del settore (diversificazione dell'offerta, strada-ferrovia, subappalto ecc.).";</w:t>
      </w:r>
    </w:p>
    <w:p>
      <w:pPr>
        <w:rPr>
          <w:noProof/>
        </w:rPr>
      </w:pPr>
    </w:p>
    <w:p>
      <w:pPr>
        <w:pStyle w:val="Point2"/>
        <w:rPr>
          <w:noProof/>
        </w:rPr>
      </w:pPr>
      <w:r>
        <w:rPr>
          <w:noProof/>
        </w:rPr>
        <w:t>i)</w:t>
      </w:r>
      <w:r>
        <w:rPr>
          <w:noProof/>
        </w:rPr>
        <w:tab/>
        <w:t>al punto 3.8, il secondo comma è sostituito dal seguente:</w:t>
      </w:r>
    </w:p>
    <w:p>
      <w:pPr>
        <w:pStyle w:val="Text2"/>
        <w:rPr>
          <w:noProof/>
        </w:rPr>
      </w:pPr>
      <w:r>
        <w:rPr>
          <w:noProof/>
        </w:rPr>
        <w:t>"L'autotrasporto delle persone rispetto ad altre modalità di trasporto di passeggeri (ferrovia, autovetture private), diverse attività connesse all'autotrasporto di persone, sensibilizzazione verso la disabilità, attraversamento delle frontiere (trasporto internazionale), organizzazione dei principali tipi di impresa di autotrasporto di persone.";</w:t>
      </w:r>
    </w:p>
    <w:p>
      <w:pPr>
        <w:rPr>
          <w:noProof/>
        </w:rPr>
      </w:pPr>
    </w:p>
    <w:p>
      <w:pPr>
        <w:pStyle w:val="Point1"/>
        <w:rPr>
          <w:noProof/>
        </w:rPr>
      </w:pPr>
      <w:r>
        <w:rPr>
          <w:noProof/>
        </w:rPr>
        <w:t>b)</w:t>
      </w:r>
      <w:r>
        <w:rPr>
          <w:noProof/>
        </w:rPr>
        <w:tab/>
        <w:t>la sezione 2 è così modificata:</w:t>
      </w:r>
    </w:p>
    <w:p>
      <w:pPr>
        <w:pStyle w:val="Point2"/>
        <w:rPr>
          <w:noProof/>
        </w:rPr>
      </w:pPr>
      <w:r>
        <w:rPr>
          <w:noProof/>
        </w:rPr>
        <w:t>a)</w:t>
      </w:r>
      <w:r>
        <w:rPr>
          <w:noProof/>
        </w:rPr>
        <w:tab/>
        <w:t>il punto 2.1 è sostituito dal seguente:</w:t>
      </w:r>
    </w:p>
    <w:p>
      <w:pPr>
        <w:pStyle w:val="Text2"/>
        <w:rPr>
          <w:noProof/>
        </w:rPr>
      </w:pPr>
      <w:r>
        <w:rPr>
          <w:noProof/>
        </w:rPr>
        <w:t xml:space="preserve">"2.1. </w:t>
      </w:r>
      <w:r>
        <w:rPr>
          <w:i/>
          <w:noProof/>
        </w:rPr>
        <w:t>Opzione che prevede la frequenza di corsi e un esame</w:t>
      </w:r>
    </w:p>
    <w:p>
      <w:pPr>
        <w:pStyle w:val="Text2"/>
        <w:rPr>
          <w:noProof/>
        </w:rPr>
      </w:pPr>
      <w:r>
        <w:rPr>
          <w:noProof/>
        </w:rPr>
        <w:t>La qualificazione iniziale deve comprendere l'insegnamento di tutte le materie comprese nell'elenco di cui alla sezione 1. La durata di tale qualificazione iniziale deve essere di 280 ore.</w:t>
      </w:r>
    </w:p>
    <w:p>
      <w:pPr>
        <w:pStyle w:val="Text2"/>
        <w:rPr>
          <w:noProof/>
        </w:rPr>
      </w:pPr>
      <w:r>
        <w:rPr>
          <w:noProof/>
        </w:rPr>
        <w:t>L'aspirante conducente deve effettuare almeno 20 ore di guida individuale su un veicolo della categoria pertinente che possieda almeno i requisiti dei veicoli d'esame stabiliti dalla direttiva 2006/126/CE.</w:t>
      </w:r>
    </w:p>
    <w:p>
      <w:pPr>
        <w:pStyle w:val="Text2"/>
        <w:rPr>
          <w:noProof/>
        </w:rPr>
      </w:pPr>
      <w:r>
        <w:rPr>
          <w:noProof/>
        </w:rPr>
        <w:t>Durante la guida individuale di cui sopra, l'aspirante conducente deve essere assistito da un istruttore alle dipendenze di un centro di formazione autorizzato. Ogni conducente può effettuare al massimo 8 delle 20 ore di guida individuale su un terreno speciale oppure con un simulatore di alta qualità, affinché sia possibile valutare l'apprendimento di una guida razionale improntata al rispetto delle norme di sicurezza e, in particolare, il controllo del veicolo in rapporto alle diverse condizioni del fondo stradale e al loro variare in funzione delle condizioni atmosferiche e dell'alternarsi del giorno e della notte, nonché la capacità di ottimizzare il consumo di carburante.</w:t>
      </w:r>
    </w:p>
    <w:p>
      <w:pPr>
        <w:pStyle w:val="Text2"/>
        <w:rPr>
          <w:noProof/>
        </w:rPr>
      </w:pPr>
      <w:r>
        <w:rPr>
          <w:noProof/>
        </w:rPr>
        <w:t>Gli Stati membri possono acconsentire a che parte della formazione sia svolta per mezzo di tecnologie dell'informazione e della comunicazione, come l'e-learning, garantendo nel contempo che la formazione sia di qualità adeguata, e possono riconoscere come parte della formazione le attività di formazione specifiche prescritte da altre normative dell'Unione. Fra di esse rientrano, ma non in via esclusiva, le attività di formazione prescritte dalla direttiva 2008/68/CE del Parlamento europeo e del Consiglio(*) relativa al trasporto di merci pericolose, quelle riguardanti la sensibilizzazione verso la disabilità di cui al regolamento (UE) n. 181/2011 del Parlamento europeo e del Consiglio(**) e le attività di formazione relative al trasporto di animali di cui al regolamento (CE) n. 1/2005 del Consiglio (***).</w:t>
      </w:r>
    </w:p>
    <w:p>
      <w:pPr>
        <w:pStyle w:val="Text2"/>
        <w:rPr>
          <w:noProof/>
        </w:rPr>
      </w:pPr>
      <w:r>
        <w:rPr>
          <w:noProof/>
        </w:rPr>
        <w:t>Per i conducenti di cui all'articolo 5, paragrafo 5, la durata della qualificazione iniziale prescritta è di 70 ore, di cui 5 di guida individuale.</w:t>
      </w:r>
    </w:p>
    <w:p>
      <w:pPr>
        <w:pStyle w:val="Text2"/>
        <w:rPr>
          <w:noProof/>
        </w:rPr>
      </w:pPr>
      <w:r>
        <w:rPr>
          <w:noProof/>
        </w:rPr>
        <w:t>A formazione conclusa, le autorità competenti degli Stati membri o l'entità da esse designata devono sottoporre il conducente a un esame scritto oppure orale. L'esame deve prevedere almeno una domanda per ciascuno degli obiettivi indicati nell'elenco delle materie di cui alla sezione 1.</w:t>
      </w:r>
    </w:p>
    <w:p>
      <w:pPr>
        <w:pStyle w:val="Text2"/>
        <w:rPr>
          <w:noProof/>
        </w:rPr>
      </w:pPr>
      <w:r>
        <w:rPr>
          <w:noProof/>
        </w:rPr>
        <w:t>_________</w:t>
      </w:r>
    </w:p>
    <w:p>
      <w:pPr>
        <w:pStyle w:val="Text2"/>
        <w:rPr>
          <w:noProof/>
        </w:rPr>
      </w:pPr>
      <w:r>
        <w:rPr>
          <w:noProof/>
        </w:rPr>
        <w:t>(*) Direttiva 2008/68/CE del Parlamento europeo e del Consiglio, del 24 settembre 2008, relativa al trasporto interno di merci pericolose (GU L 260 del 30.9.2008, pag. 13).</w:t>
      </w:r>
    </w:p>
    <w:p>
      <w:pPr>
        <w:pStyle w:val="Text2"/>
        <w:rPr>
          <w:noProof/>
        </w:rPr>
      </w:pPr>
      <w:r>
        <w:rPr>
          <w:noProof/>
        </w:rPr>
        <w:t>(**) Regolamento (UE) n. 181/2011 del Parlamento europeo e del Consiglio, del 16 febbraio 2011, relativo ai diritti dei passeggeri nel trasporto effettuato con autobus e che modifica il regolamento (CE) n. 2006/2004 (GU L 55 del 28.2.2011, pag. 1).</w:t>
      </w:r>
    </w:p>
    <w:p>
      <w:pPr>
        <w:pStyle w:val="Text2"/>
        <w:rPr>
          <w:noProof/>
        </w:rPr>
      </w:pPr>
      <w:r>
        <w:rPr>
          <w:noProof/>
        </w:rPr>
        <w:t>(***) Regolamento (CE) n. 1/2005 del Consiglio, del 22 dicembre 2004, sulla protezione degli animali durante il trasporto e le operazioni correlate che modifica le direttive 64/432/CEE e 93/119/CE e il regolamento (CE) n. 1255/97 (GU L 3 del 5.1.2005, pag. 1).";</w:t>
      </w:r>
    </w:p>
    <w:p>
      <w:pPr>
        <w:rPr>
          <w:noProof/>
        </w:rPr>
      </w:pPr>
    </w:p>
    <w:p>
      <w:pPr>
        <w:pStyle w:val="Point2"/>
        <w:rPr>
          <w:noProof/>
        </w:rPr>
      </w:pPr>
      <w:r>
        <w:rPr>
          <w:noProof/>
        </w:rPr>
        <w:t>b)</w:t>
      </w:r>
      <w:r>
        <w:rPr>
          <w:noProof/>
        </w:rPr>
        <w:tab/>
        <w:t>al punto 2.2, lettera b), il secondo comma è sostituito dal seguente:</w:t>
      </w:r>
    </w:p>
    <w:p>
      <w:pPr>
        <w:pStyle w:val="Text2"/>
        <w:rPr>
          <w:noProof/>
        </w:rPr>
      </w:pPr>
      <w:r>
        <w:rPr>
          <w:noProof/>
        </w:rPr>
        <w:t>"I veicoli utilizzati per gli esami di pratica devono possedere almeno i requisiti dei veicoli d'esame stabiliti dalla direttiva 2006/126/CE.";</w:t>
      </w:r>
    </w:p>
    <w:p>
      <w:pPr>
        <w:rPr>
          <w:noProof/>
        </w:rPr>
      </w:pPr>
    </w:p>
    <w:p>
      <w:pPr>
        <w:pStyle w:val="Point1"/>
        <w:rPr>
          <w:noProof/>
        </w:rPr>
      </w:pPr>
      <w:r>
        <w:rPr>
          <w:noProof/>
        </w:rPr>
        <w:t>c)</w:t>
      </w:r>
      <w:r>
        <w:rPr>
          <w:noProof/>
        </w:rPr>
        <w:tab/>
        <w:t>le sezioni 3 e 4 sono sostituite dalle seguenti:</w:t>
      </w:r>
    </w:p>
    <w:p>
      <w:pPr>
        <w:pStyle w:val="Text1"/>
        <w:rPr>
          <w:noProof/>
        </w:rPr>
      </w:pPr>
      <w:r>
        <w:rPr>
          <w:noProof/>
        </w:rPr>
        <w:t>"</w:t>
      </w:r>
      <w:r>
        <w:rPr>
          <w:b/>
          <w:noProof/>
        </w:rPr>
        <w:t>Sezione 3: Qualificazione iniziale accelerata di cui all'articolo 3, paragrafo 2</w:t>
      </w:r>
    </w:p>
    <w:p>
      <w:pPr>
        <w:pStyle w:val="Text1"/>
        <w:rPr>
          <w:noProof/>
        </w:rPr>
      </w:pPr>
      <w:r>
        <w:rPr>
          <w:noProof/>
        </w:rPr>
        <w:t>Per la qualificazione iniziale accelerata deve essere previsto l'insegnamento di tutte le materie comprese nell'elenco di cui alla sezione 1. La durata prescritta è di 140 ore.</w:t>
      </w:r>
    </w:p>
    <w:p>
      <w:pPr>
        <w:pStyle w:val="Text1"/>
        <w:rPr>
          <w:noProof/>
        </w:rPr>
      </w:pPr>
      <w:r>
        <w:rPr>
          <w:noProof/>
        </w:rPr>
        <w:t>L'aspirante conducente deve effettuare almeno 10 ore di guida individuale su un veicolo della categoria pertinente che possieda almeno i requisiti dei veicoli d'esame stabiliti dalla direttiva 2006/126/CE.</w:t>
      </w:r>
    </w:p>
    <w:p>
      <w:pPr>
        <w:pStyle w:val="Text1"/>
        <w:rPr>
          <w:noProof/>
        </w:rPr>
      </w:pPr>
      <w:r>
        <w:rPr>
          <w:noProof/>
        </w:rPr>
        <w:t>Durante la guida individuale di cui sopra, l'aspirante conducente deve essere assistito da un istruttore alle dipendenze di un centro di formazione autorizzato. Ogni conducente può effettuare al massimo 4 delle 10 ore di guida individuale su un terreno speciale oppure con un simulatore di alta qualità, affinché sia possibile valutare l'apprendimento di una guida razionale improntata al rispetto delle norme di sicurezza e, in particolare, il controllo del veicolo in rapporto alle diverse condizioni del fondo stradale e al loro variare in funzione delle condizioni atmosferiche e dell'alternarsi del giorno e della notte, nonché la capacità di ottimizzare il consumo di carburante.</w:t>
      </w:r>
    </w:p>
    <w:p>
      <w:pPr>
        <w:pStyle w:val="Text1"/>
        <w:rPr>
          <w:noProof/>
        </w:rPr>
      </w:pPr>
      <w:r>
        <w:rPr>
          <w:noProof/>
        </w:rPr>
        <w:t>Le disposizioni di cui al punto 2.1, quarto comma, si applicano anche alla qualificazione iniziale accelerata.</w:t>
      </w:r>
    </w:p>
    <w:p>
      <w:pPr>
        <w:pStyle w:val="Text1"/>
        <w:rPr>
          <w:noProof/>
        </w:rPr>
      </w:pPr>
      <w:r>
        <w:rPr>
          <w:noProof/>
        </w:rPr>
        <w:t>Per i conducenti di cui all'articolo 5, paragrafo 5, la durata prescritta per la qualificazione iniziale accelerata è di 35 ore, di cui 2 ore e mezza di guida individuale.</w:t>
      </w:r>
    </w:p>
    <w:p>
      <w:pPr>
        <w:pStyle w:val="Text1"/>
        <w:rPr>
          <w:noProof/>
        </w:rPr>
      </w:pPr>
      <w:r>
        <w:rPr>
          <w:noProof/>
        </w:rPr>
        <w:t>A formazione conclusa, le autorità competenti degli Stati membri o l'entità da esse designata devono sottoporre il conducente a un esame scritto oppure orale. L'esame deve prevedere almeno una domanda per ciascuno degli obiettivi indicati nell'elenco delle materie di cui alla sezione 1.</w:t>
      </w:r>
    </w:p>
    <w:p>
      <w:pPr>
        <w:pStyle w:val="Text1"/>
        <w:rPr>
          <w:noProof/>
        </w:rPr>
      </w:pPr>
    </w:p>
    <w:p>
      <w:pPr>
        <w:pStyle w:val="Text1"/>
        <w:rPr>
          <w:noProof/>
        </w:rPr>
      </w:pPr>
      <w:r>
        <w:rPr>
          <w:b/>
          <w:noProof/>
        </w:rPr>
        <w:t>Sezione 4: Obbligo di formazione periodica di cui all'articolo 3, paragrafo 1, lettera b)</w:t>
      </w:r>
    </w:p>
    <w:p>
      <w:pPr>
        <w:pStyle w:val="Text1"/>
        <w:rPr>
          <w:noProof/>
        </w:rPr>
      </w:pPr>
      <w:r>
        <w:rPr>
          <w:noProof/>
        </w:rPr>
        <w:t>I corsi obbligatori di formazione periodica devono essere organizzati da un centro di formazione autorizzato. La durata prescritta per tali corsi è di 35 ore ogni cinque anni, suddivisi per periodi di almeno sette ore. Parte di questa formazione periodica può essere svolta con simulatori di alta qualità e facendo uso di tecnologie dell'informazione e della comunicazione, come l'e-learning, garantendo nel contempo che la formazione sia di qualità adeguata. Almeno uno dei periodi di sette ore deve riguardare un tema connesso alla sicurezza stradale. I contenuti della formazione devono rispondere alle esigenze di formazione specifiche per i trasporti effettuati dal conducente e agli sviluppi della legislazione e della tecnologia pertinenti. Nei periodi di sette ore devono essere trattate materie diverse.</w:t>
      </w:r>
    </w:p>
    <w:p>
      <w:pPr>
        <w:pStyle w:val="Text1"/>
        <w:rPr>
          <w:noProof/>
        </w:rPr>
      </w:pPr>
      <w:r>
        <w:rPr>
          <w:noProof/>
        </w:rPr>
        <w:t>Le attività di formazione specifiche già svolte prescritte da altre normative dell'Unione possono essere riconosciute come uno dei periodi di sette ore. Fra di esse rientrano, ma non in via esclusiva, le attività di formazione prescritte dalla direttiva 2008/68/CE relativa al trasporto di merci pericolose, quelle riguardanti il trasporto di animali di cui al regolamento (CE) n. 1/2005 e le attività di formazione per il trasporto delle persone relative alla sensibilizzazione verso la disabilità di cui al regolamento (UE) n. 181/2011.";</w:t>
      </w:r>
    </w:p>
    <w:p>
      <w:pPr>
        <w:rPr>
          <w:noProof/>
        </w:rPr>
      </w:pPr>
    </w:p>
    <w:p>
      <w:pPr>
        <w:pStyle w:val="Point0"/>
        <w:rPr>
          <w:noProof/>
        </w:rPr>
      </w:pPr>
      <w:r>
        <w:rPr>
          <w:noProof/>
        </w:rPr>
        <w:t>2)</w:t>
      </w:r>
      <w:r>
        <w:rPr>
          <w:noProof/>
        </w:rPr>
        <w:tab/>
        <w:t>l'allegato II è così modificato:</w:t>
      </w:r>
    </w:p>
    <w:p>
      <w:pPr>
        <w:rPr>
          <w:noProof/>
        </w:rPr>
      </w:pPr>
    </w:p>
    <w:p>
      <w:pPr>
        <w:pStyle w:val="Point1"/>
        <w:rPr>
          <w:noProof/>
        </w:rPr>
      </w:pPr>
      <w:r>
        <w:rPr>
          <w:noProof/>
        </w:rPr>
        <w:t>a)</w:t>
      </w:r>
      <w:r>
        <w:rPr>
          <w:noProof/>
        </w:rPr>
        <w:tab/>
        <w:t>il titolo è sostituito dal seguente:</w:t>
      </w:r>
    </w:p>
    <w:p>
      <w:pPr>
        <w:pStyle w:val="Text2"/>
        <w:rPr>
          <w:noProof/>
        </w:rPr>
      </w:pPr>
      <w:r>
        <w:rPr>
          <w:noProof/>
        </w:rPr>
        <w:t>"REQUISITI RELATIVI AL MODELLO DELL'UNIONE EUROPEA DI CARTA DI QUALIFICAZIONE DEL CONDUCENTE";</w:t>
      </w:r>
    </w:p>
    <w:p>
      <w:pPr>
        <w:rPr>
          <w:noProof/>
        </w:rPr>
      </w:pPr>
    </w:p>
    <w:p>
      <w:pPr>
        <w:pStyle w:val="Point1"/>
        <w:rPr>
          <w:noProof/>
        </w:rPr>
      </w:pPr>
      <w:r>
        <w:rPr>
          <w:noProof/>
        </w:rPr>
        <w:t>b)</w:t>
      </w:r>
      <w:r>
        <w:rPr>
          <w:noProof/>
        </w:rPr>
        <w:tab/>
        <w:t>La sezione 2 riguardante la facciata 1 della carta di qualificazione del conducente è così modificata:</w:t>
      </w:r>
    </w:p>
    <w:p>
      <w:pPr>
        <w:pStyle w:val="Point2letter"/>
        <w:numPr>
          <w:ilvl w:val="5"/>
          <w:numId w:val="40"/>
        </w:numPr>
        <w:rPr>
          <w:noProof/>
        </w:rPr>
      </w:pPr>
      <w:r>
        <w:rPr>
          <w:noProof/>
        </w:rPr>
        <w:t>alla lettera d), il punto 9) è sostituito dal seguente:</w:t>
      </w:r>
    </w:p>
    <w:p>
      <w:pPr>
        <w:pStyle w:val="Text2"/>
        <w:rPr>
          <w:noProof/>
        </w:rPr>
      </w:pPr>
      <w:r>
        <w:rPr>
          <w:noProof/>
        </w:rPr>
        <w:t>"9. categorie di veicoli per le quali il conducente risponde agli obblighi di qualificazione iniziale e di formazione periodica;";</w:t>
      </w:r>
    </w:p>
    <w:p>
      <w:pPr>
        <w:pStyle w:val="Point2letter"/>
        <w:rPr>
          <w:noProof/>
        </w:rPr>
      </w:pPr>
      <w:r>
        <w:rPr>
          <w:noProof/>
        </w:rPr>
        <w:t>alla lettera e), il primo comma è sostituito dal seguente:</w:t>
      </w:r>
    </w:p>
    <w:p>
      <w:pPr>
        <w:pStyle w:val="Text2"/>
        <w:rPr>
          <w:noProof/>
        </w:rPr>
      </w:pPr>
      <w:r>
        <w:rPr>
          <w:noProof/>
        </w:rPr>
        <w:t>"la dicitura "modello dell'Unione europea" nella lingua o nelle lingue dello Stato membro che rilascia la carta e la dicitura "carta di qualificazione del conducente" nelle altre lingue ufficiali dell'Unione, stampate in blu in modo da costituire lo sfondo della carta:";</w:t>
      </w:r>
    </w:p>
    <w:p>
      <w:pPr>
        <w:rPr>
          <w:noProof/>
        </w:rPr>
      </w:pPr>
    </w:p>
    <w:p>
      <w:pPr>
        <w:pStyle w:val="Point1"/>
        <w:rPr>
          <w:noProof/>
        </w:rPr>
      </w:pPr>
      <w:r>
        <w:rPr>
          <w:noProof/>
        </w:rPr>
        <w:t>c)</w:t>
      </w:r>
      <w:r>
        <w:rPr>
          <w:noProof/>
        </w:rPr>
        <w:tab/>
        <w:t>alla sezione 2, i punti 9 e 10 della lettera a) riguardante la facciata 2 della carta di qualificazione del conducente sono così modificati:</w:t>
      </w:r>
    </w:p>
    <w:p>
      <w:pPr>
        <w:pStyle w:val="Text2"/>
        <w:rPr>
          <w:noProof/>
        </w:rPr>
      </w:pPr>
      <w:r>
        <w:rPr>
          <w:noProof/>
        </w:rPr>
        <w:t>"9. le categorie di veicoli per le quali il conducente risponde agli obblighi di qualificazione iniziale e di formazione periodica;</w:t>
      </w:r>
    </w:p>
    <w:p>
      <w:pPr>
        <w:pStyle w:val="Text2"/>
        <w:rPr>
          <w:noProof/>
        </w:rPr>
      </w:pPr>
      <w:r>
        <w:rPr>
          <w:noProof/>
        </w:rPr>
        <w:t>10. il codice armonizzato 95 dell'Unione europea di cui all'allegato I della direttiva 2006/126/CE;".</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261A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160CB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352312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3A052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AA98E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A024DF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2CC46B4"/>
    <w:lvl w:ilvl="0">
      <w:start w:val="1"/>
      <w:numFmt w:val="decimal"/>
      <w:pStyle w:val="ListNumber"/>
      <w:lvlText w:val="%1."/>
      <w:lvlJc w:val="left"/>
      <w:pPr>
        <w:tabs>
          <w:tab w:val="num" w:pos="360"/>
        </w:tabs>
        <w:ind w:left="360" w:hanging="360"/>
      </w:pPr>
    </w:lvl>
  </w:abstractNum>
  <w:abstractNum w:abstractNumId="7">
    <w:nsid w:val="FFFFFF89"/>
    <w:multiLevelType w:val="singleLevel"/>
    <w:tmpl w:val="6372733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AF240E"/>
    <w:multiLevelType w:val="hybridMultilevel"/>
    <w:tmpl w:val="C646F1F6"/>
    <w:styleLink w:val="Lettered"/>
    <w:lvl w:ilvl="0" w:tplc="C646F1F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4D04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6211B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D6518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AC4A3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C03A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EA470C">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D4B93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A7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30136F6"/>
    <w:multiLevelType w:val="hybridMultilevel"/>
    <w:tmpl w:val="84BE107A"/>
    <w:styleLink w:val="Dash"/>
    <w:lvl w:ilvl="0" w:tplc="750E125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60830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EFA2D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79C97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6C23B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2A45F7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EAE6E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8C30A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6C095D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10"/>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9"/>
  </w:num>
  <w:num w:numId="18">
    <w:abstractNumId w:val="20"/>
  </w:num>
  <w:num w:numId="19">
    <w:abstractNumId w:val="8"/>
  </w:num>
  <w:num w:numId="20">
    <w:abstractNumId w:val="15"/>
  </w:num>
  <w:num w:numId="21">
    <w:abstractNumId w:val="17"/>
  </w:num>
  <w:num w:numId="22">
    <w:abstractNumId w:val="18"/>
  </w:num>
  <w:num w:numId="23">
    <w:abstractNumId w:val="11"/>
  </w:num>
  <w:num w:numId="24">
    <w:abstractNumId w:val="16"/>
  </w:num>
  <w:num w:numId="25">
    <w:abstractNumId w:val="23"/>
  </w:num>
  <w:num w:numId="26">
    <w:abstractNumId w:val="19"/>
  </w:num>
  <w:num w:numId="27">
    <w:abstractNumId w:val="13"/>
  </w:num>
  <w:num w:numId="28">
    <w:abstractNumId w:val="21"/>
  </w:num>
  <w:num w:numId="29">
    <w:abstractNumId w:val="12"/>
  </w:num>
  <w:num w:numId="30">
    <w:abstractNumId w:val="14"/>
  </w:num>
  <w:num w:numId="31">
    <w:abstractNumId w:val="9"/>
  </w:num>
  <w:num w:numId="32">
    <w:abstractNumId w:val="20"/>
  </w:num>
  <w:num w:numId="33">
    <w:abstractNumId w:val="8"/>
  </w:num>
  <w:num w:numId="34">
    <w:abstractNumId w:val="15"/>
  </w:num>
  <w:num w:numId="35">
    <w:abstractNumId w:val="17"/>
  </w:num>
  <w:num w:numId="36">
    <w:abstractNumId w:val="18"/>
  </w:num>
  <w:num w:numId="37">
    <w:abstractNumId w:val="11"/>
  </w:num>
  <w:num w:numId="38">
    <w:abstractNumId w:val="16"/>
  </w:num>
  <w:num w:numId="39">
    <w:abstractNumId w:val="2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2"/>
  <w:doNotDisplayPageBoundaries/>
  <w:hideSpellingErrors/>
  <w:hideGrammaticalErrors/>
  <w:attachedTemplate r:id="rId1"/>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11:1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BB56E016C3164C9AA19B4C52396C646A"/>
    <w:docVar w:name="LW_CROSSREFERENCE" w:val="{SWD(2017) 26 final}_x000b_{SWD(2017) 27 final}"/>
    <w:docVar w:name="LW_DocType" w:val="ANNEX"/>
    <w:docVar w:name="LW_EMISSION" w:val="1.2.2017"/>
    <w:docVar w:name="LW_EMISSION_ISODATE" w:val="2017-02-01"/>
    <w:docVar w:name="LW_EMISSION_LOCATION" w:val="BRX"/>
    <w:docVar w:name="LW_EMISSION_PREFIX" w:val="Bruxelles, "/>
    <w:docVar w:name="LW_EMISSION_SUFFIX" w:val=" "/>
    <w:docVar w:name="LW_ID_DOCSTRUCTURE" w:val="COM/ANNEX"/>
    <w:docVar w:name="LW_ID_DOCTYPE" w:val="SG-017"/>
    <w:docVar w:name="LW_LANGUE" w:val="IT"/>
    <w:docVar w:name="LW_MARKING" w:val="&lt;UNUSED&gt;"/>
    <w:docVar w:name="LW_NOM.INST" w:val="COMMISSIONE EUROPE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7) 47"/>
    <w:docVar w:name="LW_REF.INTERNE" w:val="&lt;UNUSED&gt;"/>
    <w:docVar w:name="LW_SUPERTITRE" w:val="&lt;UNUSED&gt;"/>
    <w:docVar w:name="LW_TITRE.OBJ.CP" w:val="della_x000b__x000b_DIRETTIVA DEL PARLAMENTO EUROPEO E DEL CONSIGLIO_x000b__x000b_che modifica la direttiva 2003/59/CE sulla qualificazione iniziale e formazione periodica dei conducenti di taluni veicoli stradali adibiti al trasporto di merci o passeggeri e la direttiva 2006/126/CE concernente la patente di guida"/>
    <w:docVar w:name="LW_TYPE.DOC.CP" w:val="ALLEGATO"/>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Dash">
    <w:name w:val="Dash"/>
    <w:pPr>
      <w:numPr>
        <w:numId w:val="1"/>
      </w:numPr>
    </w:pPr>
  </w:style>
  <w:style w:type="numbering" w:customStyle="1" w:styleId="Lettered">
    <w:name w:val="Lettered"/>
    <w:pPr>
      <w:numPr>
        <w:numId w:val="2"/>
      </w:numPr>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customStyle="1" w:styleId="Pointlett">
    <w:name w:val="Point lett"/>
    <w:basedOn w:val="Normal"/>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27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FC2B-7A71-49B4-8CE5-6731FDC8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7</Pages>
  <Words>2198</Words>
  <Characters>12555</Characters>
  <Application>Microsoft Office Word</Application>
  <DocSecurity>0</DocSecurity>
  <Lines>241</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LUKAC Ivan (MOVE)</dc:creator>
  <cp:lastModifiedBy>DIGIT/A3</cp:lastModifiedBy>
  <cp:revision>8</cp:revision>
  <cp:lastPrinted>2016-11-29T10:18:00Z</cp:lastPrinted>
  <dcterms:created xsi:type="dcterms:W3CDTF">2017-01-26T19:48:00Z</dcterms:created>
  <dcterms:modified xsi:type="dcterms:W3CDTF">2017-02-01T08:11:00Z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