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AEE2AE67830490F807FB170B71A0C0F" style="width:450.75pt;height:39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MOTIVERING</w:t>
      </w:r>
    </w:p>
    <w:p>
      <w:pPr>
        <w:pStyle w:val="ManualHeading1"/>
        <w:rPr>
          <w:noProof/>
        </w:rPr>
      </w:pPr>
      <w:r>
        <w:rPr>
          <w:noProof/>
        </w:rPr>
        <w:t>1.</w:t>
      </w:r>
      <w:r>
        <w:rPr>
          <w:noProof/>
        </w:rPr>
        <w:tab/>
        <w:t>BAKGRUND TILL FÖRSLAGET</w:t>
      </w:r>
    </w:p>
    <w:p>
      <w:pPr>
        <w:pStyle w:val="Text1"/>
        <w:ind w:left="0"/>
        <w:rPr>
          <w:noProof/>
        </w:rPr>
      </w:pPr>
      <w:r>
        <w:rPr>
          <w:noProof/>
        </w:rPr>
        <w:t xml:space="preserve">(1) Enligt artikel 281.3 i det fördjupade partnerskaps- och samarbetsavtalet mellan Europeiska unionen och dess medlemsstater, å ena sidan, och Republiken Kazakstan, å andra sidan, (nedan kallat </w:t>
      </w:r>
      <w:r>
        <w:rPr>
          <w:i/>
          <w:noProof/>
        </w:rPr>
        <w:t>avtalet</w:t>
      </w:r>
      <w:r>
        <w:rPr>
          <w:noProof/>
        </w:rPr>
        <w:t>) får hela avtalet eller delar av det tillämpas provisoriskt. Den provisoriska tillämpningen av avtalet mellan Europeiska unionen och Republiken Kazakstan inleddes den 1 maj 2016.</w:t>
      </w:r>
    </w:p>
    <w:p>
      <w:pPr>
        <w:pStyle w:val="Text1"/>
        <w:ind w:left="0"/>
        <w:rPr>
          <w:noProof/>
        </w:rPr>
      </w:pPr>
      <w:r>
        <w:rPr>
          <w:noProof/>
        </w:rPr>
        <w:t>(2) Vid sitt möte den 6 oktober 2016 beslutade samarbetsrådet mellan Europeiska unionen och Republiken Kazakstan att anta sin arbetsordning genom ett utbyte av verbalnoter. I arbetsordningen ska det anges hur samarbetsrådet ska arbeta (bl.a. hur möten ska förberedas och organiseras).</w:t>
      </w:r>
    </w:p>
    <w:p>
      <w:pPr>
        <w:pStyle w:val="Text1"/>
        <w:ind w:left="0"/>
        <w:rPr>
          <w:noProof/>
        </w:rPr>
      </w:pPr>
      <w:r>
        <w:rPr>
          <w:noProof/>
        </w:rPr>
        <w:t>(3) Samarbetsrådet kommer i fullgörandet av sina uppgifter att biträdas av en samarbetskommitté. Samarbetsrådet får besluta att inrätta specialiserade underkommittéer och andra organ som kan bistå det vid fullgörandet av dess uppgifter.</w:t>
      </w:r>
    </w:p>
    <w:p>
      <w:pPr>
        <w:pStyle w:val="Text1"/>
        <w:ind w:left="0"/>
        <w:rPr>
          <w:noProof/>
        </w:rPr>
      </w:pPr>
      <w:r>
        <w:rPr>
          <w:noProof/>
        </w:rPr>
        <w:t>(4) Samarbetsrådet kommer att inrätta en underkommitté för tullsamarbete.</w:t>
      </w:r>
    </w:p>
    <w:p>
      <w:pPr>
        <w:pStyle w:val="Text1"/>
        <w:ind w:left="0"/>
        <w:rPr>
          <w:noProof/>
        </w:rPr>
      </w:pPr>
      <w:r>
        <w:rPr>
          <w:noProof/>
        </w:rPr>
        <w:t>(5) Det krävs ett rådsbeslut, baserat på ett gemensamt förslag från Europeiska kommissionen och unionens höga representant för utrikes frågor och säkerhetspolitik, för att fastställa den ståndpunkt som ska antas av samarbetsrådet vid dess första möte om sin arbetsordning samt om arbetsordningen för samarbetskommittén, de specialiserade underkommittéerna och andra organ som inrättas av samarbetsrådet.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2017/0019 (NLE)</w:t>
      </w:r>
    </w:p>
    <w:p>
      <w:pPr>
        <w:pStyle w:val="Statut"/>
        <w:rPr>
          <w:noProof/>
        </w:rPr>
      </w:pPr>
      <w:r>
        <w:rPr>
          <w:noProof/>
        </w:rPr>
        <w:t>Gemensamt förslag till</w:t>
      </w:r>
    </w:p>
    <w:p>
      <w:pPr>
        <w:pStyle w:val="Typedudocument"/>
        <w:rPr>
          <w:noProof/>
        </w:rPr>
      </w:pPr>
      <w:r>
        <w:rPr>
          <w:noProof/>
        </w:rPr>
        <w:t>RÅDETS BESLUT</w:t>
      </w:r>
    </w:p>
    <w:p>
      <w:pPr>
        <w:pStyle w:val="Titreobjet"/>
        <w:rPr>
          <w:noProof/>
        </w:rPr>
      </w:pPr>
      <w:r>
        <w:rPr>
          <w:noProof/>
        </w:rPr>
        <w:t>om den ståndpunkt som ska antas på Europeiska unionens vägnar i det samarbetsråd som inrättats inom ramen för det fördjupade partnerskaps- och samarbetsavtalet mellan Europeiska unionen och dess medlemsstater, å ena sidan, och Republiken Kazakstan, å andra sidan, vad gäller samarbetsrådets, samarbetskommitténs, de särskilda underkommittéernas och andra organs arbetsarrangemang</w:t>
      </w:r>
    </w:p>
    <w:p>
      <w:pPr>
        <w:pStyle w:val="Institutionquiagit"/>
        <w:rPr>
          <w:noProof/>
        </w:rPr>
      </w:pPr>
      <w:r>
        <w:rPr>
          <w:noProof/>
        </w:rPr>
        <w:t>EUROPEISKA UNIONENS RÅD HAR ANTAGIT DETTA BESLUT</w:t>
      </w:r>
    </w:p>
    <w:p>
      <w:pPr>
        <w:rPr>
          <w:noProof/>
        </w:rPr>
      </w:pPr>
      <w:r>
        <w:rPr>
          <w:noProof/>
        </w:rPr>
        <w:t>med beaktande av fördraget om Europeiska unionen, särskilt artikel 37,</w:t>
      </w:r>
    </w:p>
    <w:p>
      <w:pPr>
        <w:rPr>
          <w:noProof/>
        </w:rPr>
      </w:pPr>
      <w:r>
        <w:rPr>
          <w:noProof/>
        </w:rPr>
        <w:t>med beaktande av fördraget om Europeiska unionens funktionssätt, särskilt artiklarna 207 och 209 jämförda med artikel 218.9,</w:t>
      </w:r>
    </w:p>
    <w:p>
      <w:pPr>
        <w:rPr>
          <w:noProof/>
        </w:rPr>
      </w:pPr>
      <w:r>
        <w:rPr>
          <w:noProof/>
        </w:rPr>
        <w:t>med beaktande av det gemensamma förslaget från Europeiska kommissionen och unionens höga representant för utrikes frågor och säkerhetspolitik, och</w:t>
      </w:r>
    </w:p>
    <w:p>
      <w:pPr>
        <w:rPr>
          <w:noProof/>
        </w:rPr>
      </w:pPr>
      <w:r>
        <w:rPr>
          <w:noProof/>
        </w:rPr>
        <w:t>av följande skäl:</w:t>
      </w:r>
    </w:p>
    <w:p>
      <w:pPr>
        <w:pStyle w:val="ManualConsidrant"/>
        <w:rPr>
          <w:noProof/>
        </w:rPr>
      </w:pPr>
      <w:r>
        <w:t>(1)</w:t>
      </w:r>
      <w:r>
        <w:tab/>
      </w:r>
      <w:r>
        <w:rPr>
          <w:noProof/>
        </w:rPr>
        <w:t>Enligt artikel 281.3 i det fördjupade partnerskaps- och samarbetsavtalet mellan Europeiska unionen och dess medlemsstater, å ena sidan, och Republiken Kazakstan, å andra sidan,</w:t>
      </w:r>
      <w:r>
        <w:rPr>
          <w:rStyle w:val="FootnoteReference"/>
          <w:noProof/>
        </w:rPr>
        <w:footnoteReference w:id="1"/>
      </w:r>
      <w:r>
        <w:rPr>
          <w:noProof/>
        </w:rPr>
        <w:t xml:space="preserve"> (nedan kallat </w:t>
      </w:r>
      <w:r>
        <w:rPr>
          <w:i/>
          <w:noProof/>
        </w:rPr>
        <w:t>avtalet</w:t>
      </w:r>
      <w:r>
        <w:rPr>
          <w:noProof/>
        </w:rPr>
        <w:t>) får hela avtalet eller delar av det tillämpas provisoriskt.</w:t>
      </w:r>
    </w:p>
    <w:p>
      <w:pPr>
        <w:pStyle w:val="ManualConsidrant"/>
        <w:rPr>
          <w:noProof/>
        </w:rPr>
      </w:pPr>
      <w:r>
        <w:t>(2)</w:t>
      </w:r>
      <w:r>
        <w:tab/>
      </w:r>
      <w:r>
        <w:rPr>
          <w:noProof/>
        </w:rPr>
        <w:t>I artikel 3 i rådets beslut (EU) 2016/123</w:t>
      </w:r>
      <w:r>
        <w:rPr>
          <w:rStyle w:val="FootnoteReference"/>
          <w:noProof/>
        </w:rPr>
        <w:footnoteReference w:id="2"/>
      </w:r>
      <w:r>
        <w:rPr>
          <w:noProof/>
        </w:rPr>
        <w:t xml:space="preserve"> anges vilka delar av avtalet som ska tillämpas provisoriskt. Avtalet tillämpas provisoriskt från och med den 1 maj 2016.</w:t>
      </w:r>
    </w:p>
    <w:p>
      <w:pPr>
        <w:pStyle w:val="ManualConsidrant"/>
        <w:rPr>
          <w:noProof/>
        </w:rPr>
      </w:pPr>
      <w:r>
        <w:t>(3)</w:t>
      </w:r>
      <w:r>
        <w:tab/>
      </w:r>
      <w:r>
        <w:rPr>
          <w:noProof/>
        </w:rPr>
        <w:t>Enligt artikel 268.7 i avtalet ska samarbetsrådet självt fastställa sin arbetsordning.</w:t>
      </w:r>
    </w:p>
    <w:p>
      <w:pPr>
        <w:pStyle w:val="ManualConsidrant"/>
        <w:rPr>
          <w:noProof/>
        </w:rPr>
      </w:pPr>
      <w:r>
        <w:t>(4)</w:t>
      </w:r>
      <w:r>
        <w:tab/>
      </w:r>
      <w:r>
        <w:rPr>
          <w:noProof/>
        </w:rPr>
        <w:t>Enligt artiklarna 268.6 och 269.3 i avtalet ska ordförandeskapet i samarbetsrådet och samarbetskommittén växelvis innehas av en företrädare för Europeiska unionen och en företrädare för Republiken Kazakstan.</w:t>
      </w:r>
    </w:p>
    <w:p>
      <w:pPr>
        <w:pStyle w:val="ManualConsidrant"/>
        <w:rPr>
          <w:noProof/>
        </w:rPr>
      </w:pPr>
      <w:r>
        <w:t>(5)</w:t>
      </w:r>
      <w:r>
        <w:tab/>
      </w:r>
      <w:r>
        <w:rPr>
          <w:noProof/>
        </w:rPr>
        <w:t>Enligt artikel 269.1 i avtalet ska samarbetsrådet i fullgörandet av sina uppgifter biträdas av en samarbetskommitté.</w:t>
      </w:r>
    </w:p>
    <w:p>
      <w:pPr>
        <w:pStyle w:val="ManualConsidrant"/>
        <w:rPr>
          <w:noProof/>
        </w:rPr>
      </w:pPr>
      <w:r>
        <w:t>(6)</w:t>
      </w:r>
      <w:r>
        <w:tab/>
      </w:r>
      <w:r>
        <w:rPr>
          <w:noProof/>
        </w:rPr>
        <w:t>Enligt artikel 269.7 i avtalet ska samarbetsrådet i sin arbetsordning fastställa uppgifter och arbetssätt för samarbetskommittén och de underkommittéer eller organ som inrättas av samarbetsrådet.</w:t>
      </w:r>
    </w:p>
    <w:p>
      <w:pPr>
        <w:pStyle w:val="ManualConsidrant"/>
        <w:rPr>
          <w:noProof/>
        </w:rPr>
      </w:pPr>
      <w:r>
        <w:rPr>
          <w:noProof/>
        </w:rPr>
        <w:br w:type="page"/>
      </w:r>
      <w:r>
        <w:t>(7)</w:t>
      </w:r>
      <w:r>
        <w:tab/>
      </w:r>
      <w:r>
        <w:rPr>
          <w:noProof/>
        </w:rPr>
        <w:t>Enligt artikel 269.5 i avtalet får samarbetskommittén sammanträda i en särskild sammansättning för att hantera alla relevanta frågor som har samband med avdelning III (Handel och affärsverksamhet). Enligt artikel 269.6 i avtalet får samarbetsrådet besluta att inrätta specialiserade underkommittéer eller andra organ som kan biträda det i dess arbete. Samarbetsrådet bör fastställa sammansättningen och uppgifterna för sådana underkommittéer eller organ och hur de ska fungera.</w:t>
      </w:r>
    </w:p>
    <w:p>
      <w:pPr>
        <w:pStyle w:val="ManualConsidrant"/>
        <w:rPr>
          <w:noProof/>
        </w:rPr>
      </w:pPr>
      <w:r>
        <w:t>(8)</w:t>
      </w:r>
      <w:r>
        <w:tab/>
      </w:r>
      <w:r>
        <w:rPr>
          <w:noProof/>
        </w:rPr>
        <w:t>Enligt artikel 268.1 i avtalet ska samarbetsrådet övervaka och regelbundet se över genomförandet av avtalet.</w:t>
      </w:r>
      <w:r>
        <w:rPr>
          <w:noProof/>
          <w:sz w:val="19"/>
        </w:rPr>
        <w:t xml:space="preserve"> </w:t>
      </w:r>
      <w:r>
        <w:rPr>
          <w:noProof/>
        </w:rPr>
        <w:t>I enlighet med artikel 268.4 i avtalet får samarbetsrådet delegera vilka som helst av sina befogenheter till samarbetskommittén, inbegripet befogenheten att fatta bindande beslut. Enligt artikel 268.3 i avtalet har samarbetsrådet befogenhet att, grundat på samsyn mellan parterna, uppdatera eller ändra bilagorna till avtalet, utan att det påverkar tillämpningen av eventuella särskilda bestämmelser i avdelning III (Handel och affärsverksamhet).</w:t>
      </w:r>
    </w:p>
    <w:p>
      <w:pPr>
        <w:pStyle w:val="ManualConsidrant"/>
        <w:rPr>
          <w:noProof/>
        </w:rPr>
      </w:pPr>
      <w:r>
        <w:t>(9)</w:t>
      </w:r>
      <w:r>
        <w:tab/>
      </w:r>
      <w:r>
        <w:rPr>
          <w:noProof/>
        </w:rPr>
        <w:t>Enligt artikel 25.3 i avtalet ska samarbetsrådet inrätta en underkommitté för tullsamarbete. En regelbunden dialog ska äga rum om de frågor som omfattas av kapitel 2 i avtalet. Samarbetskommittén får också fastställa regler för genomförandet av sådan dialog, i enlighet med artikel 25.4 i avtalet.</w:t>
      </w:r>
    </w:p>
    <w:p>
      <w:pPr>
        <w:pStyle w:val="ManualConsidrant"/>
        <w:rPr>
          <w:noProof/>
        </w:rPr>
      </w:pPr>
      <w:r>
        <w:t>(10)</w:t>
      </w:r>
      <w:r>
        <w:tab/>
      </w:r>
      <w:r>
        <w:rPr>
          <w:noProof/>
        </w:rPr>
        <w:t>För att ett effektivt genomförande av avtalet ska kunna säkerställas bör samarbetsrådets, samarbetskommitténs och underkommittéernas arbetsordningar antas snarast möjligt.</w:t>
      </w:r>
    </w:p>
    <w:p>
      <w:pPr>
        <w:pStyle w:val="ManualConsidrant"/>
        <w:rPr>
          <w:noProof/>
        </w:rPr>
      </w:pPr>
      <w:r>
        <w:t>(11)</w:t>
      </w:r>
      <w:r>
        <w:tab/>
      </w:r>
      <w:r>
        <w:rPr>
          <w:noProof/>
        </w:rPr>
        <w:t>Europeiska unionens ståndpunkt i samarbetsrådet bör därför baseras på de åtföljande utkasten till beslut.</w:t>
      </w:r>
    </w:p>
    <w:p>
      <w:pPr>
        <w:pStyle w:val="Formuledadoption"/>
        <w:rPr>
          <w:noProof/>
        </w:rPr>
      </w:pPr>
      <w:r>
        <w:rPr>
          <w:noProof/>
        </w:rPr>
        <w:t>HÄRIGENOM FÖRESKRIVS FÖLJANDE.</w:t>
      </w:r>
    </w:p>
    <w:p>
      <w:pPr>
        <w:pStyle w:val="Titrearticle"/>
        <w:rPr>
          <w:noProof/>
        </w:rPr>
      </w:pPr>
      <w:r>
        <w:rPr>
          <w:noProof/>
        </w:rPr>
        <w:br w:type="page"/>
        <w:t>Artikel 1</w:t>
      </w:r>
    </w:p>
    <w:p>
      <w:pPr>
        <w:pStyle w:val="Point0"/>
        <w:rPr>
          <w:noProof/>
        </w:rPr>
      </w:pPr>
      <w:r>
        <w:rPr>
          <w:noProof/>
        </w:rPr>
        <w:t>1.</w:t>
      </w:r>
      <w:r>
        <w:rPr>
          <w:noProof/>
        </w:rPr>
        <w:tab/>
        <w:t>Den ståndpunkt som ska intas på Europeiska unionens vägnar i det samarbetsråd som inrättas genom artikel 268.1 i det fördjupade partnerskaps- och samarbetsavtalet mellan Europeiska unionen och dess medlemsstater, å ena sidan, och Republiken Kazakstan, å andra sidan, ska baseras på de utkast till samarbetsrådets beslut som åtföljer detta beslut vad gäller</w:t>
      </w:r>
    </w:p>
    <w:p>
      <w:pPr>
        <w:pStyle w:val="Tiret1"/>
        <w:numPr>
          <w:ilvl w:val="0"/>
          <w:numId w:val="6"/>
        </w:numPr>
        <w:rPr>
          <w:noProof/>
        </w:rPr>
      </w:pPr>
      <w:r>
        <w:rPr>
          <w:noProof/>
        </w:rPr>
        <w:t>antagandet av samarbetsrådets arbetsordning samt arbetsordningen för samarbetskommittén, underkommittéer eller andra organ,</w:t>
      </w:r>
    </w:p>
    <w:p>
      <w:pPr>
        <w:pStyle w:val="Tiret1"/>
        <w:rPr>
          <w:noProof/>
        </w:rPr>
      </w:pPr>
      <w:r>
        <w:rPr>
          <w:noProof/>
        </w:rPr>
        <w:t>inrättandet av underkommittén för rättvisa, frihet och säkerhet, underkommittén för energi, transport, miljö och klimatförändring samt underkommittén för tullsamarbete.</w:t>
      </w:r>
    </w:p>
    <w:p>
      <w:pPr>
        <w:pStyle w:val="Point0"/>
        <w:rPr>
          <w:noProof/>
        </w:rPr>
      </w:pPr>
      <w:r>
        <w:rPr>
          <w:noProof/>
        </w:rPr>
        <w:t>2.</w:t>
      </w:r>
      <w:r>
        <w:rPr>
          <w:noProof/>
        </w:rPr>
        <w:tab/>
        <w:t>Mindre ändringar av utkasten till samarbetsrådets beslut får godkännas av företrädare för unionen i samarbetsrådet utan något nytt beslut av Europeiska unionens råd.</w:t>
      </w:r>
    </w:p>
    <w:p>
      <w:pPr>
        <w:pStyle w:val="Titrearticle"/>
        <w:rPr>
          <w:noProof/>
        </w:rPr>
      </w:pPr>
      <w:r>
        <w:rPr>
          <w:noProof/>
        </w:rPr>
        <w:t>Artikel 2</w:t>
      </w:r>
    </w:p>
    <w:p>
      <w:pPr>
        <w:rPr>
          <w:noProof/>
        </w:rPr>
      </w:pPr>
      <w:r>
        <w:rPr>
          <w:noProof/>
        </w:rPr>
        <w:t>Unionens höga representant för utrikes frågor och säkerhetspolitik ska vara ordförande för samarbetsrådet på unionens sida, i enlighet med dennes ansvarsområden enligt fördragen och i egenskap av ordförande för rådet (utrikes frågor).</w:t>
      </w:r>
    </w:p>
    <w:p>
      <w:pPr>
        <w:pStyle w:val="Titrearticle"/>
        <w:rPr>
          <w:noProof/>
        </w:rPr>
      </w:pPr>
      <w:r>
        <w:rPr>
          <w:noProof/>
        </w:rPr>
        <w:t>Artikel 3</w:t>
      </w:r>
    </w:p>
    <w:p>
      <w:pPr>
        <w:rPr>
          <w:noProof/>
        </w:rPr>
      </w:pPr>
      <w:r>
        <w:rPr>
          <w:noProof/>
        </w:rPr>
        <w:t>Detta beslut träder i kraft samma dag som det antas.</w:t>
      </w:r>
    </w:p>
    <w:p>
      <w:pPr>
        <w:rPr>
          <w:noProof/>
        </w:rPr>
      </w:pPr>
    </w:p>
    <w:p>
      <w:pPr>
        <w:pStyle w:val="Fait"/>
        <w:rPr>
          <w:noProof/>
        </w:rPr>
      </w:pPr>
      <w:r>
        <w:rPr>
          <w:noProof/>
        </w:rP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29, 4.2.2016, s. 3.</w:t>
      </w:r>
    </w:p>
  </w:footnote>
  <w:footnote w:id="2">
    <w:p>
      <w:pPr>
        <w:pStyle w:val="FootnoteText"/>
      </w:pPr>
      <w:r>
        <w:rPr>
          <w:rStyle w:val="FootnoteReference"/>
        </w:rPr>
        <w:footnoteRef/>
      </w:r>
      <w:r>
        <w:tab/>
        <w:t>Rådets beslut (EU) 2016/123 om undertecknande på Europeiska unionens vägnar och om provisorisk tillämpning av det fördjupade partnerskaps- och samarbetsavtalet mellan Europeiska unionen och dess medlemsstater, å ena sidan, och Republiken Kazakstan, å andra sidan (EUT L 29, 4.2.2016,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B645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5A3E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7AB1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EA6FF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FA44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58821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64EEC4"/>
    <w:lvl w:ilvl="0">
      <w:start w:val="1"/>
      <w:numFmt w:val="decimal"/>
      <w:pStyle w:val="ListNumber"/>
      <w:lvlText w:val="%1."/>
      <w:lvlJc w:val="left"/>
      <w:pPr>
        <w:tabs>
          <w:tab w:val="num" w:pos="360"/>
        </w:tabs>
        <w:ind w:left="360" w:hanging="360"/>
      </w:pPr>
    </w:lvl>
  </w:abstractNum>
  <w:abstractNum w:abstractNumId="7">
    <w:nsid w:val="FFFFFF89"/>
    <w:multiLevelType w:val="singleLevel"/>
    <w:tmpl w:val="F146B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2"/>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3 13:21: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AEE2AE67830490F807FB170B71A0C0F"/>
    <w:docVar w:name="LW_CROSSREFERENCE" w:val="&lt;UNUSED&gt;"/>
    <w:docVar w:name="LW_DocType" w:val="COM"/>
    <w:docVar w:name="LW_EMISSION" w:val="3.2.2017"/>
    <w:docVar w:name="LW_EMISSION_ISODATE" w:val="2017-02-03"/>
    <w:docVar w:name="LW_EMISSION_LOCATION" w:val="BRX"/>
    <w:docVar w:name="LW_EMISSION_PREFIX" w:val="Bryssel den "/>
    <w:docVar w:name="LW_EMISSION_SUFFIX" w:val=" "/>
    <w:docVar w:name="LW_ID_DOCMODEL" w:val="SG-064"/>
    <w:docVar w:name="LW_ID_DOCSIGNATURE" w:val="SJ-019"/>
    <w:docVar w:name="LW_ID_DOCSTRUCTURE" w:val="COM/PL/ORG"/>
    <w:docVar w:name="LW_ID_DOCTYPE" w:val="SG-064"/>
    <w:docVar w:name="LW_ID_STATUT" w:val="SG-064"/>
    <w:docVar w:name="LW_INTERETEEE.CP" w:val="&lt;UNUSED&gt;"/>
    <w:docVar w:name="LW_LANGUE" w:val="SV"/>
    <w:docVar w:name="LW_MARKING" w:val="&lt;UNUSED&gt;"/>
    <w:docVar w:name="LW_NOM.INST" w:val="EUROPEISKA KOMMISSIONEN"/>
    <w:docVar w:name="LW_NOM.INST_JOINTDOC" w:val="UNIONENS HÖGA_x000b_REPRESENTANT FÖR_x000b_ UTRIKES FRÅGOR OCH_x000b_SÄKERHETSPOLITIK"/>
    <w:docVar w:name="LW_PART_NBR" w:val="1"/>
    <w:docVar w:name="LW_PART_NBR_TOTAL" w:val="1"/>
    <w:docVar w:name="LW_REF.II.NEW.CP" w:val="NLE"/>
    <w:docVar w:name="LW_REF.II.NEW.CP_NUMBER" w:val="0019"/>
    <w:docVar w:name="LW_REF.II.NEW.CP_YEAR" w:val="2017"/>
    <w:docVar w:name="LW_REF.INST.NEW" w:val="JOIN"/>
    <w:docVar w:name="LW_REF.INST.NEW_ADOPTED" w:val="final"/>
    <w:docVar w:name="LW_REF.INST.NEW_TEXT" w:val="(2017) 5"/>
    <w:docVar w:name="LW_REF.INTERNE" w:val="&lt;UNUSED&gt;"/>
    <w:docVar w:name="LW_SOUS.TITRE.OBJ.CP" w:val="&lt;UNUSED&gt;"/>
    <w:docVar w:name="LW_STATUT.CP" w:val="Gemensamt förslag till"/>
    <w:docVar w:name="LW_SUPERTITRE" w:val="&lt;UNUSED&gt;"/>
    <w:docVar w:name="LW_TITRE.OBJ.CP" w:val="om den ståndpunkt som ska antas på Europeiska unionens vägnar i det samarbetsråd som inrättats inom ramen för det fördjupade partnerskaps- och samarbetsavtalet mellan Europeiska unionen och dess medlemsstater, å ena sidan, och Republiken Kazakstan, å andra sidan, vad gäller samarbetsrådets, samarbetskommitténs, de särskilda underkommittéernas och andra organs arbetsarrangemang"/>
    <w:docVar w:name="LW_TYPE.DOC.CP" w:val="RÅDETS BESLUT"/>
    <w:docVar w:name="Stamp" w:val="\\dossiers.dgt.cec.eu.int\dossiers\EEAS\EEAS-2016-00382\EEAS-2016-00382-00-00-EN-REV-00.DOCX"/>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character" w:styleId="FollowedHyperlink">
    <w:name w:val="FollowedHyperlink"/>
    <w:uiPriority w:val="99"/>
    <w:semiHidden/>
    <w:unhideWhenUsed/>
    <w:rPr>
      <w:color w:val="800080"/>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rPr>
      <w:rFonts w:ascii="Times New Roman" w:hAnsi="Times New Roman"/>
      <w:sz w:val="24"/>
      <w:lang w:val="en-G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character" w:styleId="FollowedHyperlink">
    <w:name w:val="FollowedHyperlink"/>
    <w:uiPriority w:val="99"/>
    <w:semiHidden/>
    <w:unhideWhenUsed/>
    <w:rPr>
      <w:color w:val="800080"/>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rPr>
      <w:rFonts w:ascii="Times New Roman" w:hAnsi="Times New Roman"/>
      <w:sz w:val="24"/>
      <w:lang w:val="en-G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92F4-FE90-439F-97BA-976C54E8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844</Words>
  <Characters>5339</Characters>
  <Application>Microsoft Office Word</Application>
  <DocSecurity>0</DocSecurity>
  <Lines>102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2016-12-22T15:18:00Z</cp:lastPrinted>
  <dcterms:created xsi:type="dcterms:W3CDTF">2017-01-31T13:21:00Z</dcterms:created>
  <dcterms:modified xsi:type="dcterms:W3CDTF">2017-02-03T12:21:00Z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SG-064</vt:lpwstr>
  </property>
  <property fmtid="{D5CDD505-2E9C-101B-9397-08002B2CF9AE}" pid="10" name="DQCStatus">
    <vt:lpwstr>Green (DQC version 03)</vt:lpwstr>
  </property>
</Properties>
</file>