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0C57C4424B6414D80C5791FC9425C03" style="width:450.75pt;height:379.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Text1"/>
        <w:ind w:left="0"/>
        <w:rPr>
          <w:noProof/>
        </w:rPr>
      </w:pPr>
      <w:r>
        <w:rPr>
          <w:noProof/>
        </w:rPr>
        <w:t>(1) Člen 281(3) Sporazuma o okrepljenem partnerstvu in sodelovanju med Evropsko unijo in njenimi državami članicami na eni strani ter Republiko Kazahstan na drugi strani (v nadaljnjem besedilu: Sporazum) določa začasno uporabo Sporazuma v celoti ali delno. Začasna uporaba Sporazuma med Evropsko unijo in Republiko Kazahstan se je začela 1. maja 2016.</w:t>
      </w:r>
    </w:p>
    <w:p>
      <w:pPr>
        <w:pStyle w:val="Text1"/>
        <w:ind w:left="0"/>
        <w:rPr>
          <w:noProof/>
        </w:rPr>
      </w:pPr>
      <w:r>
        <w:rPr>
          <w:noProof/>
        </w:rPr>
        <w:t>(2) Svet za sodelovanje med Evropsko unijo in Republiko Kazahstan, ki se je sestal 6. oktobra 2016, je sklenil, da se njegov poslovnik sprejme z izmenjavo verbalnih not. V poslovniku bo določeno njegovo delovanje, vključno s pripravo in organizacijo zasedanj.</w:t>
      </w:r>
    </w:p>
    <w:p>
      <w:pPr>
        <w:pStyle w:val="Text1"/>
        <w:ind w:left="0"/>
        <w:rPr>
          <w:noProof/>
        </w:rPr>
      </w:pPr>
      <w:r>
        <w:rPr>
          <w:noProof/>
        </w:rPr>
        <w:t>(3) Svetu za sodelovanje pomaga pri opravljanju njegovih nalog Odbor za sodelovanje. Svet za sodelovanje se lahko odloči za ustanovitev posebnih pododborov ali kakršnega koli drugega telesa, ki mu lahko pomaga pri izvrševanju njegovih nalog.</w:t>
      </w:r>
    </w:p>
    <w:p>
      <w:pPr>
        <w:pStyle w:val="Text1"/>
        <w:ind w:left="0"/>
        <w:rPr>
          <w:noProof/>
        </w:rPr>
      </w:pPr>
      <w:r>
        <w:rPr>
          <w:noProof/>
        </w:rPr>
        <w:t>(4) Svet za sodelovanje bo ustanovil pododbor za carinsko sodelovanje.</w:t>
      </w:r>
    </w:p>
    <w:p>
      <w:pPr>
        <w:pStyle w:val="Text1"/>
        <w:ind w:left="0"/>
        <w:rPr>
          <w:noProof/>
        </w:rPr>
      </w:pPr>
      <w:r>
        <w:rPr>
          <w:noProof/>
        </w:rPr>
        <w:t>(5) Treba je sprejeti sklep Sveta na podlagi skupnega predloga Evropske komisije in visokega predstavnika Unije za zunanje zadeve in varnostno politiko, da se določi stališče, ki ga bo sprejel Svet za sodelovanje na svojem prvem zasedanju o svojem poslovniku, poslovniku Odbora za sodelovanje in poslovnikih posebnih pododborov ali kakršnega koli drugega telesa, ki jih ustanovi Svet za sodelovanje.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2017/0019 (NLE)</w:t>
      </w:r>
    </w:p>
    <w:p>
      <w:pPr>
        <w:pStyle w:val="Statut"/>
        <w:rPr>
          <w:noProof/>
        </w:rPr>
      </w:pPr>
      <w:r>
        <w:rPr>
          <w:noProof/>
        </w:rPr>
        <w:t>Skupni predlog</w:t>
      </w:r>
    </w:p>
    <w:p>
      <w:pPr>
        <w:pStyle w:val="Typedudocument"/>
        <w:rPr>
          <w:noProof/>
        </w:rPr>
      </w:pPr>
      <w:r>
        <w:rPr>
          <w:noProof/>
        </w:rPr>
        <w:t>SKLEP SVETA</w:t>
      </w:r>
    </w:p>
    <w:p>
      <w:pPr>
        <w:pStyle w:val="Titreobjet"/>
        <w:rPr>
          <w:noProof/>
        </w:rPr>
      </w:pPr>
      <w:r>
        <w:rPr>
          <w:noProof/>
        </w:rPr>
        <w:t>o stališču, ki se sprejme v imenu Evropske unije v Svetu za sodelovanje, ustanovljenem na podlagi Sporazuma o okrepljenem partnerstvu in sodelovanju med Evropsko unijo in njenimi državami članicami ter Republiko Kazahstan, glede načina delovanja Sveta za sodelovanje, Odbora za sodelovanje, posebnih pododborov ali kakršnih koli drugih teles</w:t>
      </w:r>
    </w:p>
    <w:p>
      <w:pPr>
        <w:pStyle w:val="Institutionquiagit"/>
        <w:rPr>
          <w:noProof/>
        </w:rPr>
      </w:pPr>
      <w:r>
        <w:rPr>
          <w:noProof/>
        </w:rPr>
        <w:t>SVET EVROPSKE UNIJE JE –</w:t>
      </w:r>
    </w:p>
    <w:p>
      <w:pPr>
        <w:rPr>
          <w:noProof/>
        </w:rPr>
      </w:pPr>
      <w:r>
        <w:rPr>
          <w:noProof/>
        </w:rPr>
        <w:t>ob upoštevanju Pogodbe o Evropski uniji in zlasti člena 37 Pogodbe,</w:t>
      </w:r>
    </w:p>
    <w:p>
      <w:pPr>
        <w:rPr>
          <w:noProof/>
        </w:rPr>
      </w:pPr>
      <w:r>
        <w:rPr>
          <w:noProof/>
        </w:rPr>
        <w:t>ob upoštevanju Pogodbe o delovanju Evropske unije in zlasti členov 207 in 209 v povezavi s členom 218(9) Pogodbe,</w:t>
      </w:r>
    </w:p>
    <w:p>
      <w:pPr>
        <w:rPr>
          <w:noProof/>
        </w:rPr>
      </w:pPr>
      <w:r>
        <w:rPr>
          <w:noProof/>
        </w:rPr>
        <w:t>ob upoštevanju skupnega predloga Evropske komisije in visokega predstavnika Unije za zunanje zadeve in varnostno politiko,</w:t>
      </w:r>
    </w:p>
    <w:p>
      <w:pPr>
        <w:rPr>
          <w:noProof/>
        </w:rPr>
      </w:pPr>
      <w:r>
        <w:rPr>
          <w:noProof/>
        </w:rPr>
        <w:t>ob upoštevanju naslednjega:</w:t>
      </w:r>
    </w:p>
    <w:p>
      <w:pPr>
        <w:pStyle w:val="ManualConsidrant"/>
        <w:rPr>
          <w:noProof/>
        </w:rPr>
      </w:pPr>
      <w:r>
        <w:t>(1)</w:t>
      </w:r>
      <w:r>
        <w:tab/>
      </w:r>
      <w:r>
        <w:rPr>
          <w:noProof/>
        </w:rPr>
        <w:t>Člen 281(3) Sporazuma o okrepljenem partnerstvu in sodelovanju med Evropsko unijo in njenimi državami članicami na eni strani ter Republiko Kazahstan na drugi strani</w:t>
      </w:r>
      <w:r>
        <w:rPr>
          <w:rStyle w:val="FootnoteReference"/>
          <w:noProof/>
        </w:rPr>
        <w:footnoteReference w:id="1"/>
      </w:r>
      <w:r>
        <w:rPr>
          <w:noProof/>
        </w:rPr>
        <w:t xml:space="preserve"> (v nadaljnjem besedilu: Sporazum) določa začasno uporabo Sporazuma v celoti ali delno.</w:t>
      </w:r>
    </w:p>
    <w:p>
      <w:pPr>
        <w:pStyle w:val="ManualConsidrant"/>
        <w:rPr>
          <w:noProof/>
        </w:rPr>
      </w:pPr>
      <w:r>
        <w:t>(2)</w:t>
      </w:r>
      <w:r>
        <w:tab/>
      </w:r>
      <w:r>
        <w:rPr>
          <w:noProof/>
        </w:rPr>
        <w:t>Člen 3 Sklepa Sveta (EU) 2016/123</w:t>
      </w:r>
      <w:r>
        <w:rPr>
          <w:rStyle w:val="FootnoteReference"/>
          <w:noProof/>
        </w:rPr>
        <w:footnoteReference w:id="2"/>
      </w:r>
      <w:r>
        <w:rPr>
          <w:noProof/>
        </w:rPr>
        <w:t xml:space="preserve"> določa, kateri deli Sporazuma se začasno uporabljajo. Sporazum se začasno uporablja od 1. maja 2016.</w:t>
      </w:r>
    </w:p>
    <w:p>
      <w:pPr>
        <w:pStyle w:val="ManualConsidrant"/>
        <w:rPr>
          <w:noProof/>
        </w:rPr>
      </w:pPr>
      <w:r>
        <w:t>(3)</w:t>
      </w:r>
      <w:r>
        <w:tab/>
      </w:r>
      <w:r>
        <w:rPr>
          <w:noProof/>
        </w:rPr>
        <w:t>V skladu s členom 268(7) Sporazuma Svet za sodelovanje sprejme svoj poslovnik.</w:t>
      </w:r>
    </w:p>
    <w:p>
      <w:pPr>
        <w:pStyle w:val="ManualConsidrant"/>
        <w:rPr>
          <w:noProof/>
        </w:rPr>
      </w:pPr>
      <w:r>
        <w:t>(4)</w:t>
      </w:r>
      <w:r>
        <w:tab/>
      </w:r>
      <w:r>
        <w:rPr>
          <w:noProof/>
        </w:rPr>
        <w:t>V skladu s členom 268(6) in členom 269(3) Sporazuma Svetu za sodelovanje in Odboru za sodelovanje izmenično predsedujeta predstavnik Evropske unije in predstavnik Republike Kazahstan.</w:t>
      </w:r>
    </w:p>
    <w:p>
      <w:pPr>
        <w:pStyle w:val="ManualConsidrant"/>
        <w:rPr>
          <w:noProof/>
        </w:rPr>
      </w:pPr>
      <w:r>
        <w:t>(5)</w:t>
      </w:r>
      <w:r>
        <w:tab/>
      </w:r>
      <w:r>
        <w:rPr>
          <w:noProof/>
        </w:rPr>
        <w:t>V skladu s členom 269(1) Sporazuma Svetu za sodelovanje pri opravljanju njegovih nalog pomaga Odbor za sodelovanje.</w:t>
      </w:r>
    </w:p>
    <w:p>
      <w:pPr>
        <w:pStyle w:val="ManualConsidrant"/>
        <w:rPr>
          <w:noProof/>
        </w:rPr>
      </w:pPr>
      <w:r>
        <w:t>(6)</w:t>
      </w:r>
      <w:r>
        <w:tab/>
      </w:r>
      <w:r>
        <w:rPr>
          <w:noProof/>
        </w:rPr>
        <w:t>V skladu s členom 269(7) Sporazuma Svet za sodelovanje v svojem poslovniku določi naloge in delovanje Odbora za sodelovanje ter kakršnega koli pododbora ali telesa, ki ga ustanovi Sveta za sodelovanje.</w:t>
      </w:r>
    </w:p>
    <w:p>
      <w:pPr>
        <w:pStyle w:val="ManualConsidrant"/>
        <w:rPr>
          <w:noProof/>
        </w:rPr>
      </w:pPr>
      <w:r>
        <w:rPr>
          <w:noProof/>
        </w:rPr>
        <w:br w:type="page"/>
      </w:r>
      <w:r>
        <w:t>(7)</w:t>
      </w:r>
      <w:r>
        <w:tab/>
      </w:r>
      <w:r>
        <w:rPr>
          <w:noProof/>
        </w:rPr>
        <w:t>V skladu s členom 269(5) Sporazuma se lahko Odbor za sodelovanje sestane v posebni sestavi, da obravnava ustrezna vprašanja, povezana z naslovom III (Trgovina in poslovanje). V skladu s členom 269(6) Sporazuma se lahko Svet za sodelovanje odloči za ustanovitev posebnih pododborov ali kakršnega koli drugega telesa, ki mu lahko pomaga pri izvrševanju njegovih nalog. Svet za sodelovanje bi moral določi sestavo in naloge takšnih pododborov ali teles in način njihovega delovanja.</w:t>
      </w:r>
    </w:p>
    <w:p>
      <w:pPr>
        <w:pStyle w:val="ManualConsidrant"/>
        <w:rPr>
          <w:noProof/>
        </w:rPr>
      </w:pPr>
      <w:r>
        <w:t>(8)</w:t>
      </w:r>
      <w:r>
        <w:tab/>
      </w:r>
      <w:r>
        <w:rPr>
          <w:noProof/>
        </w:rPr>
        <w:t>V skladu s členom 268(1) Sporazuma mora Svet za sodelovanje nadzorovati in redno preverjati izvajanje Sporazuma.</w:t>
      </w:r>
      <w:r>
        <w:rPr>
          <w:noProof/>
          <w:sz w:val="19"/>
        </w:rPr>
        <w:t xml:space="preserve"> </w:t>
      </w:r>
      <w:r>
        <w:rPr>
          <w:noProof/>
        </w:rPr>
        <w:t>V skladu s členom 268(4) Sporazuma lahko Svet za sodelovanje na Odbor za sodelovanje prenese katera koli svoja pooblastila, vključno s pooblastilom za sprejemanje zavezujočih odločitev. V skladu s členom 268(3) Sporazuma lahko Svet za sodelovanje na podlagi soglasja pogodbenic posodobi ali spremeni priloge k Sporazumu brez poseganja v katere koli posebne določbe naslova III (Trgovina in poslovanje).</w:t>
      </w:r>
    </w:p>
    <w:p>
      <w:pPr>
        <w:pStyle w:val="ManualConsidrant"/>
        <w:rPr>
          <w:noProof/>
        </w:rPr>
      </w:pPr>
      <w:r>
        <w:t>(9)</w:t>
      </w:r>
      <w:r>
        <w:tab/>
      </w:r>
      <w:r>
        <w:rPr>
          <w:noProof/>
        </w:rPr>
        <w:t>V skladu s členom 25(3) Sporazuma Svet za sodelovanje ustanovi pododbor za carinsko sodelovanje. O vprašanjih, zajetih v poglavju 2 Sporazuma, poteka reden dialog. Odbor za sodelovanje lahko določi tudi pravila za vodenje takšnega dialoga, kot je določeno v členu 25(4) Sporazuma.</w:t>
      </w:r>
    </w:p>
    <w:p>
      <w:pPr>
        <w:pStyle w:val="ManualConsidrant"/>
        <w:rPr>
          <w:noProof/>
        </w:rPr>
      </w:pPr>
      <w:r>
        <w:t>(10)</w:t>
      </w:r>
      <w:r>
        <w:tab/>
      </w:r>
      <w:r>
        <w:rPr>
          <w:noProof/>
        </w:rPr>
        <w:t>Da bi zagotovili učinkovito izvajanje Sporazuma bi bilo treba poslovnike Sveta za sodelovanje, Odbora za sodelovanje in pododborov sprejeti čim prej.</w:t>
      </w:r>
    </w:p>
    <w:p>
      <w:pPr>
        <w:pStyle w:val="ManualConsidrant"/>
        <w:rPr>
          <w:noProof/>
        </w:rPr>
      </w:pPr>
      <w:r>
        <w:t>(11)</w:t>
      </w:r>
      <w:r>
        <w:tab/>
      </w:r>
      <w:r>
        <w:rPr>
          <w:noProof/>
        </w:rPr>
        <w:t>Stališče Evropske unije v Svetu za sodelovanje bi zato moralo temeljiti na priloženih osnutkih sklepov –</w:t>
      </w:r>
    </w:p>
    <w:p>
      <w:pPr>
        <w:pStyle w:val="Formuledadoption"/>
        <w:rPr>
          <w:noProof/>
        </w:rPr>
      </w:pPr>
      <w:r>
        <w:rPr>
          <w:noProof/>
        </w:rPr>
        <w:t>SPREJEL NASLEDNJI SKLEP:</w:t>
      </w:r>
    </w:p>
    <w:p>
      <w:pPr>
        <w:pStyle w:val="Titrearticle"/>
        <w:rPr>
          <w:noProof/>
        </w:rPr>
      </w:pPr>
      <w:r>
        <w:rPr>
          <w:noProof/>
        </w:rPr>
        <w:br w:type="page"/>
        <w:t>Člen 1</w:t>
      </w:r>
    </w:p>
    <w:p>
      <w:pPr>
        <w:pStyle w:val="Point0"/>
        <w:rPr>
          <w:noProof/>
        </w:rPr>
      </w:pPr>
      <w:r>
        <w:rPr>
          <w:noProof/>
        </w:rPr>
        <w:t>1.</w:t>
      </w:r>
      <w:r>
        <w:rPr>
          <w:noProof/>
        </w:rPr>
        <w:tab/>
        <w:t>Stališče, ki se sprejme v imenu Evropske unije v Svetu za sodelovanje, ustanovljenem s členom 268(1) Sporazuma o okrepljenem partnerstvu in sodelovanju med Evropsko unijo in njenimi državami članicami na eni strani ter Republiko Kazahstan na drugi strani, temelji na osnutkih sklepov Sveta za sodelovanje, ki so priloženi temu sklepu, v zvezi s:</w:t>
      </w:r>
    </w:p>
    <w:p>
      <w:pPr>
        <w:pStyle w:val="Tiret1"/>
        <w:numPr>
          <w:ilvl w:val="0"/>
          <w:numId w:val="6"/>
        </w:numPr>
        <w:rPr>
          <w:noProof/>
        </w:rPr>
      </w:pPr>
      <w:r>
        <w:rPr>
          <w:noProof/>
        </w:rPr>
        <w:t>sprejetjem poslovnika Sveta za sodelovanje in poslovnikov Odbora za sodelovanje, posebnih pododborov ali katerih koli drugih teles;</w:t>
      </w:r>
    </w:p>
    <w:p>
      <w:pPr>
        <w:pStyle w:val="Tiret1"/>
        <w:rPr>
          <w:noProof/>
        </w:rPr>
      </w:pPr>
      <w:r>
        <w:rPr>
          <w:noProof/>
        </w:rPr>
        <w:t>ustanovitvijo pododbora za pravosodje, svobodo in varnost, pododbora za energetiko, promet, okolje in podnebne spremembe ter pododbora za carinsko sodelovanje.</w:t>
      </w:r>
    </w:p>
    <w:p>
      <w:pPr>
        <w:pStyle w:val="Point0"/>
        <w:rPr>
          <w:noProof/>
        </w:rPr>
      </w:pPr>
      <w:r>
        <w:rPr>
          <w:noProof/>
        </w:rPr>
        <w:t>2.</w:t>
      </w:r>
      <w:r>
        <w:rPr>
          <w:noProof/>
        </w:rPr>
        <w:tab/>
        <w:t>Predstavniki Unije v Svetu za sodelovanje se lahko strinjajo z manjšimi tehničnimi spremembami osnutkov sklepov Sveta za sodelovanje brez dodatnega sklepa Sveta Evropske unije.</w:t>
      </w:r>
    </w:p>
    <w:p>
      <w:pPr>
        <w:pStyle w:val="Titrearticle"/>
        <w:rPr>
          <w:noProof/>
        </w:rPr>
      </w:pPr>
      <w:r>
        <w:rPr>
          <w:noProof/>
        </w:rPr>
        <w:t>Člen 2</w:t>
      </w:r>
    </w:p>
    <w:p>
      <w:pPr>
        <w:rPr>
          <w:noProof/>
        </w:rPr>
      </w:pPr>
      <w:r>
        <w:rPr>
          <w:noProof/>
        </w:rPr>
        <w:t>Svetu za sodelovanje v imenu Unije predseduje visoki predstavnik Unije za zunanje zadeve in varnostno politiko v skladu z njegovimi nalogami na podlagi pogodb in v skladu z njegovo funkcijo predsednika Sveta za zunanje zadeve.</w:t>
      </w:r>
    </w:p>
    <w:p>
      <w:pPr>
        <w:pStyle w:val="Titrearticle"/>
        <w:rPr>
          <w:noProof/>
        </w:rPr>
      </w:pPr>
      <w:r>
        <w:rPr>
          <w:noProof/>
        </w:rPr>
        <w:t>Člen 3</w:t>
      </w:r>
    </w:p>
    <w:p>
      <w:pPr>
        <w:rPr>
          <w:noProof/>
        </w:rPr>
      </w:pPr>
      <w:r>
        <w:rPr>
          <w:noProof/>
        </w:rPr>
        <w:t>Ta sklep začne veljati na dan sprejetja.</w:t>
      </w:r>
    </w:p>
    <w:p>
      <w:pPr>
        <w:rPr>
          <w:noProof/>
        </w:rPr>
      </w:pPr>
    </w:p>
    <w:p>
      <w:pPr>
        <w:pStyle w:val="Fait"/>
        <w:rPr>
          <w:noProof/>
        </w:rPr>
      </w:pPr>
      <w:r>
        <w:rPr>
          <w:noProof/>
        </w:rP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UL L 29, 4.2.2016, str. 3.</w:t>
      </w:r>
    </w:p>
  </w:footnote>
  <w:footnote w:id="2">
    <w:p>
      <w:pPr>
        <w:pStyle w:val="FootnoteText"/>
      </w:pPr>
      <w:r>
        <w:rPr>
          <w:rStyle w:val="FootnoteReference"/>
        </w:rPr>
        <w:footnoteRef/>
      </w:r>
      <w:r>
        <w:tab/>
        <w:t>Sklep Sveta (EU) 2016/123 o podpisu Sporazuma o okrepljenem partnerstvu in sodelovanju med Evropsko unijo in njenimi državami članicami na eni strani ter Republiko Kazahstan na drugi strani, v imenu Evropske unije, in o njegovi začasni uporabi (UL L 29, 4.2.2016,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AB6450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25A3E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FF7AB1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EA6FF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FA44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58821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364EEC4"/>
    <w:lvl w:ilvl="0">
      <w:start w:val="1"/>
      <w:numFmt w:val="decimal"/>
      <w:pStyle w:val="ListNumber"/>
      <w:lvlText w:val="%1."/>
      <w:lvlJc w:val="left"/>
      <w:pPr>
        <w:tabs>
          <w:tab w:val="num" w:pos="360"/>
        </w:tabs>
        <w:ind w:left="360" w:hanging="360"/>
      </w:pPr>
    </w:lvl>
  </w:abstractNum>
  <w:abstractNum w:abstractNumId="7">
    <w:nsid w:val="FFFFFF89"/>
    <w:multiLevelType w:val="singleLevel"/>
    <w:tmpl w:val="F146BB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12"/>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03 13:22:1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0C57C4424B6414D80C5791FC9425C03"/>
    <w:docVar w:name="LW_CROSSREFERENCE" w:val="&lt;UNUSED&gt;"/>
    <w:docVar w:name="LW_DocType" w:val="COM"/>
    <w:docVar w:name="LW_EMISSION" w:val="3.2.2017"/>
    <w:docVar w:name="LW_EMISSION_ISODATE" w:val="2017-02-03"/>
    <w:docVar w:name="LW_EMISSION_LOCATION" w:val="BRX"/>
    <w:docVar w:name="LW_EMISSION_PREFIX" w:val="Bruselj, "/>
    <w:docVar w:name="LW_EMISSION_SUFFIX" w:val=" "/>
    <w:docVar w:name="LW_ID_DOCMODEL" w:val="SG-064"/>
    <w:docVar w:name="LW_ID_DOCSIGNATURE" w:val="SJ-019"/>
    <w:docVar w:name="LW_ID_DOCSTRUCTURE" w:val="COM/PL/ORG"/>
    <w:docVar w:name="LW_ID_DOCTYPE" w:val="SG-064"/>
    <w:docVar w:name="LW_ID_STATUT" w:val="SG-064"/>
    <w:docVar w:name="LW_INTERETEEE.CP" w:val="&lt;UNUSED&gt;"/>
    <w:docVar w:name="LW_LANGUE" w:val="SL"/>
    <w:docVar w:name="LW_MARKING" w:val="&lt;UNUSED&gt;"/>
    <w:docVar w:name="LW_NOM.INST" w:val="EVROPSKA KOMISIJA"/>
    <w:docVar w:name="LW_NOM.INST_JOINTDOC" w:val="VISOKI PREDSTAVNIK_x000b_UNIJE ZA ZUNANJE _x000b_ZADEVE IN_x000b_ VARNOSTNO POLITIKO"/>
    <w:docVar w:name="LW_PART_NBR" w:val="1"/>
    <w:docVar w:name="LW_PART_NBR_TOTAL" w:val="1"/>
    <w:docVar w:name="LW_REF.II.NEW.CP" w:val="NLE"/>
    <w:docVar w:name="LW_REF.II.NEW.CP_NUMBER" w:val="0019"/>
    <w:docVar w:name="LW_REF.II.NEW.CP_YEAR" w:val="2017"/>
    <w:docVar w:name="LW_REF.INST.NEW" w:val="JOIN"/>
    <w:docVar w:name="LW_REF.INST.NEW_ADOPTED" w:val="final"/>
    <w:docVar w:name="LW_REF.INST.NEW_TEXT" w:val="(2017) 5"/>
    <w:docVar w:name="LW_REF.INTERNE" w:val="&lt;UNUSED&gt;"/>
    <w:docVar w:name="LW_SOUS.TITRE.OBJ.CP" w:val="&lt;UNUSED&gt;"/>
    <w:docVar w:name="LW_STATUT.CP" w:val="Skupni predlog"/>
    <w:docVar w:name="LW_SUPERTITRE" w:val="&lt;UNUSED&gt;"/>
    <w:docVar w:name="LW_TITRE.OBJ.CP" w:val="o stali\u353?\u269?u, ki se sprejme v imenu Evropske unije v Svetu za sodelovanje, ustanovljenem na podlagi Sporazuma o okrepljenem partnerstvu in sodelovanju med Evropsko unijo in njenimi dr\u382?avami \u269?lanicami ter Republiko Kazahstan, glede na\u269?ina delovanja Sveta za sodelovanje, Odbora za sodelovanje, posebnih pododborov ali kakr\u353?nih koli drugih teles"/>
    <w:docVar w:name="LW_TYPE.DOC.CP" w:val="SKLEP SVETA"/>
    <w:docVar w:name="Stamp" w:val="\\dossiers.dgt.cec.eu.int\dossiers\EEAS\EEAS-2016-00382\EEAS-2016-00382-00-00-EN-REV-00.DOCX"/>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character" w:styleId="FollowedHyperlink">
    <w:name w:val="FollowedHyperlink"/>
    <w:uiPriority w:val="99"/>
    <w:semiHidden/>
    <w:unhideWhenUsed/>
    <w:rPr>
      <w:color w:val="800080"/>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character" w:styleId="FollowedHyperlink">
    <w:name w:val="FollowedHyperlink"/>
    <w:uiPriority w:val="99"/>
    <w:semiHidden/>
    <w:unhideWhenUsed/>
    <w:rPr>
      <w:color w:val="800080"/>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7C0BD-867A-4CCE-9F2D-06C108A5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859</Words>
  <Characters>4977</Characters>
  <Application>Microsoft Office Word</Application>
  <DocSecurity>0</DocSecurity>
  <Lines>99</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2016-12-22T15:18:00Z</cp:lastPrinted>
  <dcterms:created xsi:type="dcterms:W3CDTF">2017-01-27T15:17:00Z</dcterms:created>
  <dcterms:modified xsi:type="dcterms:W3CDTF">2017-02-03T12:22:00Z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SG-064</vt:lpwstr>
  </property>
  <property fmtid="{D5CDD505-2E9C-101B-9397-08002B2CF9AE}" pid="10" name="DQCStatus">
    <vt:lpwstr>Green (DQC version 03)</vt:lpwstr>
  </property>
</Properties>
</file>