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26F3773F807945B79313C058C6BC08D6" style="width:450.8pt;height:422.3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spacing w:after="720"/>
        <w:jc w:val="center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Avaliação de impacto da proposta de Regulamento do Parlamento Europeu e do Conselho que estabelece um plano plurianual relativo às unidades populacionais de pequenos pelágicos e correspondentes pescarias no mar Adriático</w:t>
      </w:r>
    </w:p>
    <w:p>
      <w:pPr>
        <w:jc w:val="both"/>
        <w:rPr>
          <w:b/>
          <w:noProof/>
        </w:rPr>
      </w:pPr>
      <w:r>
        <w:rPr>
          <w:b/>
          <w:noProof/>
        </w:rPr>
        <w:t>A. Necessidade de agir</w:t>
      </w:r>
    </w:p>
    <w:p>
      <w:pPr>
        <w:jc w:val="both"/>
        <w:rPr>
          <w:b/>
          <w:noProof/>
        </w:rPr>
      </w:pPr>
      <w:r>
        <w:rPr>
          <w:b/>
          <w:noProof/>
        </w:rPr>
        <w:t>1. Contexto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Dois grandes problemas afetam os pequenos peixes pelágicos (biqueirão e sardinha) no mar Adriático: 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1) Uma forte sobrepesca, devido à sobrecapacidade da frota, a fatores ambientais (fora do âmbito da presente proposta) e a medidas de gestão inadequadas; 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2) Um quadro de governação ineficaz, em consequência de medidas de gestão inadequadas (a limitação do esforço exercido nesta pesca não está adaptada às características destes peixes nem a estas pescarias) e da complexidade e instabilidade das regras em vigor. 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Se nada mudar, as unidades populacionais e as pescarias que delas dependem poderão vir a desaparecer, o que prejudicará as espécies predadoras que comem biqueirão e sardinha e terá consequências socioeconómicas negativas para o setor da pesca e setores secundários, como o da transformação. As partes interessadas mais afetadas são os setores da pesca da Croácia, de Itália e, em muito menor medida, da Eslovénia. O setor da transformação é um importante setor secundário, especialmente na Croácia e em Itália.</w:t>
      </w:r>
    </w:p>
    <w:p>
      <w:pPr>
        <w:jc w:val="both"/>
        <w:rPr>
          <w:b/>
          <w:noProof/>
        </w:rPr>
      </w:pPr>
      <w:r>
        <w:rPr>
          <w:b/>
          <w:noProof/>
        </w:rPr>
        <w:t>2. Objetivos e valor acrescentado da iniciativa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Os objetivos da presente proposta são: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atingir e manter o rendimento máximo sustentável para o biqueirão e a sardinha até 2020, o mais tardar;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assegurar a sustentabilidade do setor das pescas; criar um quadro de gestão eficaz, mais simples e mais estável;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responsabilizar mais as partes interessadas; -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Facilitar o cumprimento da obrigação de desembarcar.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A presente proposta deverá garantir a recuperação das unidades populacionais de sardinha e de biqueirão até 2020 e assegurar a sustentabilidade do setor das pescas, com um aumento dos salários dos pescadores (+4 % em média) e da rentabilidade do setor (+8 % em média).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As unidades populacionais de biqueirão e de sardinha e os navios de pesca em causa circulam livremente através das fronteiras internacionais, pelo que uma ação limitada ao nível dos Estados-Membros dificilmente permitirá alcançar os objetivos acima referidos. Para que sejam eficazes, as medidas devem ser tomadas de forma coordenada e aplicadas a toda a zona de distribuição da unidade populacional e a todas as frotas em causa.</w:t>
      </w:r>
    </w:p>
    <w:p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/>
          <w:b/>
          <w:noProof/>
        </w:rPr>
        <w:t>B. Soluções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As opções estratégicas consideradas na avaliação de impacto foram as seguintes: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Utilizar instrumentos não legislativos (não vinculativos);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lastRenderedPageBreak/>
        <w:t xml:space="preserve">Manter o </w:t>
      </w:r>
      <w:r>
        <w:rPr>
          <w:rFonts w:ascii="Times New Roman" w:hAnsi="Times New Roman"/>
          <w:i/>
          <w:noProof/>
        </w:rPr>
        <w:t>status quo</w:t>
      </w:r>
      <w:r>
        <w:rPr>
          <w:rFonts w:ascii="Times New Roman" w:hAnsi="Times New Roman"/>
          <w:noProof/>
        </w:rPr>
        <w:t xml:space="preserve"> (cenário de base);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Elaborar um regulamento da UE com o objetivo de tornar sustentável a pesca das unidades populacionais até 2018 ou até 2020 (duas subopções); -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Alterar o quadro de gestão atual (legislação nacional e internacional).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A </w:t>
      </w:r>
      <w:r>
        <w:rPr>
          <w:rFonts w:ascii="Times New Roman" w:hAnsi="Times New Roman"/>
          <w:b/>
          <w:noProof/>
        </w:rPr>
        <w:t>opção preferida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</w:rPr>
        <w:t>e proposta</w:t>
      </w:r>
      <w:r>
        <w:rPr>
          <w:rFonts w:ascii="Times New Roman" w:hAnsi="Times New Roman"/>
          <w:noProof/>
        </w:rPr>
        <w:t xml:space="preserve"> é o estabelecimento de um regulamento da UE que fixe 2020 como data-limite, uma vez que satisfaz todos os objetivos acima referidos.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Nenhuma das partes interessadas consultadas considerou viável a legislação não vinculativa. Apenas uma parte interessada considerou suficiente o quadro atual. Com exceção de Malta, todos os inquiridos consideraram que a alteração do atual quadro não seria suficiente. O Conselho Consultivo para o Mar Mediterrâneo (composto por representantes da sociedade civil e do setor), as ONG, as autoridades públicas, os institutos científicos, a Croácia, a Itália e a Eslovénia são favoráveis à elaboração de um regulamento da UE, com uma forte preferência pela subopção «2020».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b/>
          <w:noProof/>
        </w:rPr>
        <w:t>C. Impactos da opção preferida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No que diz respeito aos </w:t>
      </w:r>
      <w:r>
        <w:rPr>
          <w:rFonts w:ascii="Times New Roman" w:hAnsi="Times New Roman"/>
          <w:b/>
          <w:noProof/>
        </w:rPr>
        <w:t>benefícios da opção preferida</w:t>
      </w:r>
      <w:r>
        <w:rPr>
          <w:rFonts w:ascii="Times New Roman" w:hAnsi="Times New Roman"/>
          <w:noProof/>
        </w:rPr>
        <w:t xml:space="preserve">, o principal efeito benéfico para o ambiente seria a possibilidade de pesca, de forma sustentável, até 2020, do biqueirão e da sardinha, após anos de sobre-exploração, e um setor das pescas mais saudável e sustentável. O quadro de gestão seria também mais simples, mais estável e transparente, e conferiria maior responsabilidade aos Estados-Membros e aos pescadores, na medida em que participariam na conceção de algumas das regras de gestão. Provavelmente, os predadores grandes e lucrativos, como o atum-rabilho, também beneficiariam do aumento da sardinha e do biqueirão . 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Com um plano plurianual da UE, é provável que em 2021 as unidades populacionais estejam em melhor estado (cerca de 20 %, em comparação com a situação atual) e os pescadores tenham melhores condições de trabalho (um aumento do salário de ±5 % e da rentabilidade de ±10 %).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Relativamente aos </w:t>
      </w:r>
      <w:r>
        <w:rPr>
          <w:rFonts w:ascii="Times New Roman" w:hAnsi="Times New Roman"/>
          <w:b/>
          <w:noProof/>
        </w:rPr>
        <w:t>custos da opção preferida</w:t>
      </w:r>
      <w:r>
        <w:rPr>
          <w:rFonts w:ascii="Times New Roman" w:hAnsi="Times New Roman"/>
          <w:noProof/>
        </w:rPr>
        <w:t>, prevê-se que, para garantir níveis de pesca que possam ser mantidos a longo prazo e a sustentabilidade e o lucro do setor das pescas, as capturas de biqueirão e sardinha baixem (+/- 25-30 %) até 2021, o que resultaria numa diminuição das receitas totais do setor das pescas (+/- 25 %) e do emprego (+/-10 %). Seriam afetados a Croácia, a Itália e, em menor medida, os pescadores eslovenos que pescam com cercadores com rede de cerco com retenida e arrastões da pesca pelágica. Dado que as capturas diminuem, é provável que os preços na primeira venda aumentem, o que poderia compensar de certo modo a redução das receitas do setor das pescas devido a uma diminuição das capturas, mas seria negativo para os consumidores e o setor da transformação (em especial na Croácia e na Itália), que podem ter de aumentar as importações provenientes de outros países.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No respeitante ao </w:t>
      </w:r>
      <w:r>
        <w:rPr>
          <w:rFonts w:ascii="Times New Roman" w:hAnsi="Times New Roman"/>
          <w:b/>
          <w:noProof/>
        </w:rPr>
        <w:t>impacto nas PME</w:t>
      </w:r>
      <w:r>
        <w:rPr>
          <w:rFonts w:ascii="Times New Roman" w:hAnsi="Times New Roman"/>
          <w:noProof/>
        </w:rPr>
        <w:t>, refira-se que a política comum das pescas está orientada especificamente para as PME, que, no setor das pescas, são a regra, mais do que a exceção. Quase todas as empresas de pesca e a grande maioria das empresas de transformação interessadas nas pescarias de biqueirão e sardinha no Adriático são microempresas ou PME. Excluí-las do âmbito de aplicação da presente proposta com fundamento na sua dimensão equivaleria a excluir a grande maioria do setor, tornando a presente proposta ineficaz. O plano plurianual da UE aplica-se, portanto, a todas as empresas, incluindo as PME e as microempresas. Todos os impactos acima descritos podem, pois, afetar todas as empresas, em grau variável, em função do modo como os Estados-Membros decidirão repartir pelos diferentes segmentos da frota as reduções da pesca impostas.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lastRenderedPageBreak/>
        <w:t xml:space="preserve">A proposta não deverá ter impacto nos </w:t>
      </w:r>
      <w:r>
        <w:rPr>
          <w:rFonts w:ascii="Times New Roman" w:hAnsi="Times New Roman"/>
          <w:b/>
          <w:noProof/>
        </w:rPr>
        <w:t>orçamentos nacionais</w:t>
      </w:r>
      <w:r>
        <w:rPr>
          <w:rFonts w:ascii="Times New Roman" w:hAnsi="Times New Roman"/>
          <w:noProof/>
        </w:rPr>
        <w:t xml:space="preserve"> dos Estados-Membros, uma vez que a monitorização e a recolha dos dados necessários já são realizados e que haveria apenas que aumentar a sua frequência.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Quanto a </w:t>
      </w:r>
      <w:r>
        <w:rPr>
          <w:rFonts w:ascii="Times New Roman" w:hAnsi="Times New Roman"/>
          <w:b/>
          <w:noProof/>
        </w:rPr>
        <w:t>outros impactos significativos</w:t>
      </w:r>
      <w:r>
        <w:rPr>
          <w:rFonts w:ascii="Times New Roman" w:hAnsi="Times New Roman"/>
          <w:noProof/>
        </w:rPr>
        <w:t>, espera-se que uma maior rentabilidade do setor das pescas no mar Adriático o torne mais competitivo e, em combinação com melhores salários, mais atrativo.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b/>
          <w:noProof/>
        </w:rPr>
        <w:t>D. Seguimento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No respeitante ao reexame desta política, refira-se que a Comissão deve apresentar ao Parlamento Europeu e ao Conselho um relatório sobre a aplicação do plano no prazo de cinco anos após a entrada em vigor do plano e, posteriormente, de cinco em cinco anos.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76906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ED5"/>
    <w:multiLevelType w:val="hybridMultilevel"/>
    <w:tmpl w:val="63B2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6025E"/>
    <w:multiLevelType w:val="hybridMultilevel"/>
    <w:tmpl w:val="0C7C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que acompanha o documento"/>
    <w:docVar w:name="LW_CONFIDENCE" w:val=" "/>
    <w:docVar w:name="LW_CONST_RESTREINT_UE" w:val="RESTREINT UE"/>
    <w:docVar w:name="LW_CORRIGENDUM" w:val="&lt;UNUSED&gt;"/>
    <w:docVar w:name="LW_COVERPAGE_GUID" w:val="26F3773F807945B79313C058C6BC08D6"/>
    <w:docVar w:name="LW_CROSSREFERENCE" w:val="{COM(2017) 97 final}_x000b_{SWD(2017) 64 final}"/>
    <w:docVar w:name="LW_DocType" w:val="NORMAL"/>
    <w:docVar w:name="LW_EMISSION" w:val="24.2.2017"/>
    <w:docVar w:name="LW_EMISSION_ISODATE" w:val="2017-02-24"/>
    <w:docVar w:name="LW_EMISSION_LOCATION" w:val="BRX"/>
    <w:docVar w:name="LW_EMISSION_PREFIX" w:val="Bruxelas, "/>
    <w:docVar w:name="LW_EMISSION_SUFFIX" w:val=" "/>
    <w:docVar w:name="LW_ID_DOCTYPE_NONLW" w:val="CP-02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.CP" w:val="que estabelece um plano plurianual relativo às unidades populacionais de pequenos pelágicos no mar Adriático e às pescarias que exploram essas unidades populacionais"/>
    <w:docVar w:name="LW_PART_NBR" w:val="1"/>
    <w:docVar w:name="LW_PART_NBR_TOTAL" w:val="1"/>
    <w:docVar w:name="LW_REF.INST.NEW" w:val="SWD"/>
    <w:docVar w:name="LW_REF.INST.NEW_ADOPTED" w:val="final"/>
    <w:docVar w:name="LW_REF.INST.NEW_TEXT" w:val="(2017) 63"/>
    <w:docVar w:name="LW_REF.INTERNE" w:val="&lt;UNUSED&gt;"/>
    <w:docVar w:name="LW_SUPERTITRE" w:val="&lt;UNUSED&gt;"/>
    <w:docVar w:name="LW_TITRE.OBJ.CP" w:val="&lt;UNUSED&gt;"/>
    <w:docVar w:name="LW_TYPE.DOC.CP" w:val="DOCUMENTO DE TRABALHO DOS SERVIÇOS DA COMISSÃO_x000b__x000b_RESUMO DA AVALIAÇÃO DE IMPACTO_x000b_"/>
    <w:docVar w:name="LW_TYPEACTEPRINCIPAL.CP" w:val="PROPOSTA DE REGULAMENTO DO PARLAMENTO EUROPEU E DO CONSELHO"/>
    <w:docVar w:name="Stamp" w:val="\\dossiers.dgt.cec.eu.int\dossiers\MARE\MARE-2016-00626\MARE-2016-00626-00-02-EN-REV-00.20161003121253479970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B593-8396-4CC1-A8D9-44FC263B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1090</Words>
  <Characters>5814</Characters>
  <Application>Microsoft Office Word</Application>
  <DocSecurity>0</DocSecurity>
  <Lines>89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dcterms:created xsi:type="dcterms:W3CDTF">2017-02-16T09:57:00Z</dcterms:created>
  <dcterms:modified xsi:type="dcterms:W3CDTF">2017-02-24T10:45:00Z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</Properties>
</file>