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C6FFCD521734961BBB90669CFB996E5" style="width:450.4pt;height:422.8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after="720"/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Valutazzjoni tal-impatt dwar proposta għal Regolament tal-Parlament Ewropew u tal-Kunsill li jistabbilixxi pjan pluriennali għall-istokkijiet pelaġiċi ż-żgħar u għas-sajd tagħhom fil-Baħar Adrijatiku</w:t>
      </w:r>
    </w:p>
    <w:p>
      <w:pPr>
        <w:jc w:val="both"/>
        <w:rPr>
          <w:b/>
          <w:noProof/>
        </w:rPr>
      </w:pPr>
      <w:r>
        <w:rPr>
          <w:b/>
          <w:noProof/>
        </w:rPr>
        <w:t>A. Il-ħtieġa li tittieħed azzjoni</w:t>
      </w:r>
    </w:p>
    <w:p>
      <w:pPr>
        <w:jc w:val="both"/>
        <w:rPr>
          <w:b/>
          <w:noProof/>
        </w:rPr>
      </w:pPr>
      <w:r>
        <w:rPr>
          <w:b/>
          <w:noProof/>
        </w:rPr>
        <w:t>1. Il-kuntest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Hemm żewġ problemi ewlenin marbutin mal-ħut pelaġiku ż-żgħir (jiġifieri l-inċova u s-sardin) fil-Baħar Adrijatiku: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1) hemm problema serja ta’ sajd eċċessiv għal dan il-ħut minħabba kapaċità żejda tal-flotta, minħabba fatturi ambjentali (li ma jaqgħux fil-kamp ta’ applikazzjoni ta’ din il-proposta), u minħabba miżuri ta’ ġestjoni li mhumiex adegwati;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2) il-qafas ta’ governanza mhuwiex effettiv minħabba l-miżuri ta’ ġestjoni li mhumiex adegwati (li jillimitaw l-isforz tas-sajd, li mhuwiex adattat għall-karatteristiċi ta’ dan it-tip ta’ ħut u ta’ dan it-tip ta’ sajd) u minħabba l-kumplessità u n-nuqqas ta’ stabbiltà tar-regoli attwali.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Jekk ma jinbidel xejn, hemm ir-riskju li dawn l-istokkijiet u s-sajd li jiddependi fuqhom jisfaxxaw. Dan se jkollu impatti negattivi fuq il-ħut predatorju li jiekol l-inċova u s-sardin u impatti soċjoekonomiċi negattivi fuq is-settur tas-sajd u s-setturi sekondarji bħall-industrija tal-ipproċessar. L-aktar partijiet interessati affettwati huma s-setturi tas-sajd Kroati u Taljani, u b’mod ferm aktar limitat, dawk tas-Slovenja. Is-settur tal-ipproċessar huwa settur sekondarju ewlieni, b’mod partikulari fil-Kroazja u fl-Italja.</w:t>
      </w:r>
    </w:p>
    <w:p>
      <w:pPr>
        <w:jc w:val="both"/>
        <w:rPr>
          <w:b/>
          <w:noProof/>
        </w:rPr>
      </w:pPr>
      <w:r>
        <w:rPr>
          <w:b/>
          <w:noProof/>
        </w:rPr>
        <w:t>2. L-għanijiet tal-inizjattiva u l-valur miżjud tagħha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L-għanijiet ta’ din il-proposta huma: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li jinkiseb rendiment massimu sostenibbli għall-inċova u għas-sardin sa mhux aktar tard mill-2020 u li dan jinżamm;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li jinkiseb settur tas-sajd sostenibbli; li jiġi pprovdut qafas ta’ ġestjoni effettiv li jkun aktar sempliċi u aktar stabbli;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li l-partijiet interessati jingħataw aktar responsabbiltà; u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li tiġi ffaċilitata l-implimentazzjoni tal-obbligu tal-ħatt l-art.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Din il-proposta mistennija tiżgura l-irkupru tal-istokkijiet tal-inċova u tas-sardin sal-2020 u tizgura li s-settur tas-sajd ikun sostenibbli, u li jkun hemm titjib fis-salarji tas-sajjieda (ta’ + 4 % bħala medja) u iktar profittabilità għas-settur tas-sajd (ta’ + 8 % bħala medja).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Minħabba li l-istokkijiet tal-inċova u tas-sardin u l-bastimenti tas-sajd ikkonċernati jgħaddu b’mod ħieles minn naħa għall-oħra tal-fruntieri internazzjonali, l-azzjoni fil-livell tal-Istati Membri biss x’aktarx li mhix se tkun effettiva biex jintlaħqu l-għanijiet imsemmijin hawn fuq. Sabiex dawn il-miżuri jkunu effettivi, dawn għandhom jiġu implimentati b’mod ikkoordinat u għandhom japplikaw għaż-żona kollha fejn jinsab l-istokk u għall-flotot kollha kkonċernati.</w:t>
      </w:r>
    </w:p>
    <w:p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noProof/>
        </w:rPr>
        <w:t>B. Soluzzjonijiet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L-għażliet tal-politika li tqiesu f’din il-valutazzjoni tal-impatt jinkludu dawn li ġejjin: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l-użu ta’ strumenti mhux leġiżlattivi (“liġijiet mhux vinkolanti”);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iż-żamma tal-istatus quo bħala x-xenarju ta’ referenza;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l-iżvilupp ta’ Regolament tal-UE bil-għan li jkun hemm sajd sostenibbli ta’ dawn l-istokkijiet jew sal-2018 jew sal-2020 (żewġ għażliet sekondarji); u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l-emendar tal-qafas ta’ ġestjoni attwali (leġiżlazzjoni nazzjonali u internazzjonali).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L-</w:t>
      </w:r>
      <w:r>
        <w:rPr>
          <w:rFonts w:ascii="Times New Roman" w:hAnsi="Times New Roman"/>
          <w:b/>
          <w:noProof/>
        </w:rPr>
        <w:t>għażla ppreferuta proposta</w:t>
      </w:r>
      <w:r>
        <w:rPr>
          <w:rFonts w:ascii="Times New Roman" w:hAnsi="Times New Roman"/>
          <w:noProof/>
        </w:rPr>
        <w:t xml:space="preserve"> hija l-iżvilupp ta’ Regolament tal-UE li jistabbilixxi l-2020 bħala l-limitu taż-żmien biex jintlaħqu l-għanijiet kollha msemmijin hawn fuq.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L-ebda parti interessata kkonsultata ma semmiet il-liġijiet mhux vinkolanti bħala għażla fattibbli. Parti interessata waħda biss qieset il-qafas attwali bħala biżżejjed. Dawk kollha li wieġbu, minbarra Malta, ħassew li l-emendar tal-qafas attwali ma kienx se jkun biżżejjed. Il-Kunsill Konsultattiv tal-Mediterran (li huwa magħmul minn rappreżentanti tas-soċjetà ċivili u tal-industrija), l-NGOs, l-awtoritajiet pubbliċi, l-istituti xjentifiċi, u l-Italja, il-Kroazja u s-Slovenja jappoġġaw l-iżvilupp ta’ Regolament tal-UE, u jippreferu ħafna l-għażla sekondarja tal-“2020”. 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noProof/>
        </w:rPr>
        <w:t>C. L-impatti tal-għażla ppreferuta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F’dak li għandu x’jaqsam mal-</w:t>
      </w:r>
      <w:r>
        <w:rPr>
          <w:rFonts w:ascii="Times New Roman" w:hAnsi="Times New Roman"/>
          <w:b/>
          <w:noProof/>
        </w:rPr>
        <w:t>benefiċċji tal-għażla ppreferuta</w:t>
      </w:r>
      <w:r>
        <w:rPr>
          <w:rFonts w:ascii="Times New Roman" w:hAnsi="Times New Roman"/>
          <w:noProof/>
        </w:rPr>
        <w:t xml:space="preserve">, il-benefiċċju ambjentali ewlieni se jkun li, wara snin ta’ sfruttament żejjed tal-inċova u tas-sardin, dan it-tip ta’ ħut se jibda jiġi mistad b’mod sostenibbli sal-2020 u s-settur tas-sajd se jkun iktar b’saħħtu u sostenibbli. Il-qafas ta’ ġestjoni attwali se jkun aktar sempliċi, aktar stabbli u trasparenti u se jagħti aktar responsabbiltà lill-Istati Membri u lis-sajjieda, minħabba li huma jistgħu jiġu involuti fit-tfassil ta’ xi wħud mir-regoli tal-ġestjoni. Iż-żieda fl-inċova u fis-sardin x’aktarx li se tkun ta’ benefiċċju għal predaturi akbar li huma ta’ valur bħalma hu t-tonn. 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Sal-2021, il-pjan pluriennali tal-UE x’aktarx li se jwassal għal titjib fl-istokkijiet (ta’ madwar 20 % meta mqabbel mal-istatus quo) u għal kundizzjonijiet tax-xogħol aħjar għas-sajjieda (b’żieda ta’ madwar 5 % fis-salarju u ta’ madwar 10 % fil-profittabilità).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F’dak li għandu x’jaqsam mal-</w:t>
      </w:r>
      <w:r>
        <w:rPr>
          <w:rFonts w:ascii="Times New Roman" w:hAnsi="Times New Roman"/>
          <w:b/>
          <w:noProof/>
        </w:rPr>
        <w:t>ispejjeż tal-għażla ppreferuta</w:t>
      </w:r>
      <w:r>
        <w:rPr>
          <w:rFonts w:ascii="Times New Roman" w:hAnsi="Times New Roman"/>
          <w:noProof/>
        </w:rPr>
        <w:t>, huwa mistenni li sal-2021, biex jiġi żgurat li l-livelli tas-sajd ikunu jistgħu jinżammu fit-tul u li s-settur tas-sajd ikun sostenibbli u jkun iħalli qligħ, il-qabdiet tal-inċova u tas-sardin ikollhom jonqsu (b’madwar 25 sa 30 %), li se jwassal għal tnaqqis fid-dħul għas-settur tas-sajd (ta’ madwar 25 %) u għal tnaqqis fl-impjiegi (ta’ madwar 10 %). Dan jikkonċerna s-sajjieda mill-Kroazja u mill-Italja u b’mod aktar limitat dawk mis-Slovenja li jistadu b’bastimenti tas-sajd bit-tartarun tal-borża jew b’bastimenti tat-tkarkir għall-ħut pelaġiku. Hekk kif jonqsu l-qabdiet, il-prezzijiet x’aktarx jiżdiedu mal-ewwel bejgħ u dan jista’ jagħmel tajjeb, sa ċertu punt, għad-dħul imnaqqas tas-settur tas-sajd minħabba t-tnaqqis fil-qabdiet, iżda se jkun ħażin għall-konsumaturi u għas-settur tal-ipproċessar (b’mod partikulari fil-Kroazja u fl-Italja), li jistgħu jispiċċaw ikollhom iżidu l-importazzjonijiet tagħhom minn pajjiżi oħrajn.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F’dak li għandu x’jaqsam mal-</w:t>
      </w:r>
      <w:r>
        <w:rPr>
          <w:rFonts w:ascii="Times New Roman" w:hAnsi="Times New Roman"/>
          <w:b/>
          <w:noProof/>
        </w:rPr>
        <w:t>impatt fuq l-SMEs</w:t>
      </w:r>
      <w:r>
        <w:rPr>
          <w:rFonts w:ascii="Times New Roman" w:hAnsi="Times New Roman"/>
          <w:noProof/>
        </w:rPr>
        <w:t>, ta’ min jinnota li l-politika komuni tas-sajd hija politika mmirata b’mod speċifiku biex tittratta l-SMEs, li huma n-norma fis-settur tas-sajd, aktar milli l-eċċezzjoni. Fis-sajd għas-sardin u għall-inċova li jseħħ fil-Baħar Adrijatiku, kważi l-impriżi kollha tas-sajd u l-biċċa l-kbira tal-kumpaniji fis-settur tal-ipproċessar huma mikrointrapriżi jew SMEs. Għalhekk m’hemm l-ebda raġuni għaliex dawn għandhom jiġu esklużi mill-kamp ta’ applikazzjoni ta’ din il-proposta abbażi tad-daqs tagħhom għax inkella l-biċċa l-kbira tas-settur ikun eskluż u din il-proposta tispiċċa ma tkunx effettiva. Għaldaqstant, il-pjan pluriennali tal-UE se jkun japplika għan-negozji kollha, inklużi l-SMEs u l-mikrointrapriżi. Għalhekk x’aktarx li l-impatti kollha deskritti hawn fuq se jkunu japplikaw għall-intrapriżi kollha fi gradi differenti, skont kif l-Istati Membri jiddeċiedu li jallokaw it-tnaqqis meħtieġ fis-sajd għas-segmenti differenti tal-flotta.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Mhu mistenni jkun hemm l-ebda impatt fuq il-</w:t>
      </w:r>
      <w:r>
        <w:rPr>
          <w:rFonts w:ascii="Times New Roman" w:hAnsi="Times New Roman"/>
          <w:b/>
          <w:noProof/>
        </w:rPr>
        <w:t>baġits nazzjonali</w:t>
      </w:r>
      <w:r>
        <w:rPr>
          <w:rFonts w:ascii="Times New Roman" w:hAnsi="Times New Roman"/>
          <w:noProof/>
        </w:rPr>
        <w:t xml:space="preserve"> tal-Istati Membri, minħabba li diġà hemm il-monitoraġġ u l-ġbir tad-dejta rilevanti u se jkun hemm bżonn biss li tiżdied il-frekwenza tagħhom.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F’dak li għandu x’jaqsam ma’ </w:t>
      </w:r>
      <w:r>
        <w:rPr>
          <w:rFonts w:ascii="Times New Roman" w:hAnsi="Times New Roman"/>
          <w:b/>
          <w:noProof/>
        </w:rPr>
        <w:t>impatti sinifikanti oħrajn</w:t>
      </w:r>
      <w:r>
        <w:rPr>
          <w:rFonts w:ascii="Times New Roman" w:hAnsi="Times New Roman"/>
          <w:noProof/>
        </w:rPr>
        <w:t>, hu mistenni li l-profittabilità mtejba tas-settur tas-sajd fil-Baħar Adrijatiku se tagħmel is-settur aktar kompetittiv u, flimkien mat-titjib fis-salarji, se twassal biex is-settur ikun iktar attraenti.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noProof/>
        </w:rPr>
        <w:t>D. Segwitu</w:t>
      </w:r>
    </w:p>
    <w:p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F’dak li għandu x’jaqsam mar-rieżami ta’ din il-politika, ta’ min jinnota li l-Kummissjoni se tibgħat rapport lill-Parlament Ewropew u lill-Kunsill dwar l-implimentazzjoni tal-pjan ħames snin wara d-dħul fis-seħħ tiegħu u kull ħames snin wara dik id-data.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6906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ED5"/>
    <w:multiLevelType w:val="hybridMultilevel"/>
    <w:tmpl w:val="63B2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25E"/>
    <w:multiLevelType w:val="hybridMultilevel"/>
    <w:tmpl w:val="0C7C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i jakkumpanja d-dokument"/>
    <w:docVar w:name="LW_CONFIDENCE" w:val=" "/>
    <w:docVar w:name="LW_CONST_RESTREINT_UE" w:val="RESTREINT UE"/>
    <w:docVar w:name="LW_CORRIGENDUM" w:val="&lt;UNUSED&gt;"/>
    <w:docVar w:name="LW_COVERPAGE_GUID" w:val="2C6FFCD521734961BBB90669CFB996E5"/>
    <w:docVar w:name="LW_CROSSREFERENCE" w:val="{COM(2017) 97 final}_x000b_{SWD(2017) 64 final}"/>
    <w:docVar w:name="LW_DocType" w:val="NORMAL"/>
    <w:docVar w:name="LW_EMISSION" w:val="24.2.2017"/>
    <w:docVar w:name="LW_EMISSION_ISODATE" w:val="2017-02-24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li jistabbilixxi pjan pluriennali g\u295?all-istokkijiet pela\u289?i\u267?i \u380?-\u380?g\u295?ar fil-Ba\u295?ar Adrijatiku u g\u295?as-sajd li jisfrutta dawk l-istokkijiet"/>
    <w:docVar w:name="LW_PART_NBR" w:val="1"/>
    <w:docVar w:name="LW_PART_NBR_TOTAL" w:val="1"/>
    <w:docVar w:name="LW_REF.INST.NEW" w:val="SWD"/>
    <w:docVar w:name="LW_REF.INST.NEW_ADOPTED" w:val="final"/>
    <w:docVar w:name="LW_REF.INST.NEW_TEXT" w:val="(2017) 63"/>
    <w:docVar w:name="LW_REF.INTERNE" w:val="&lt;UNUSED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PROPOSTA G\u294?AL REGOLAMENT TAL-PARLAMENT EWROPEW U TAL-KUNSILL"/>
    <w:docVar w:name="Stamp" w:val="\\dossiers.dgt.cec.eu.int\dossiers\MARE\MARE-2016-00626\MARE-2016-00626-00-02-EN-REV-00.2016100312125347997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48EB-9669-40EF-9E93-90CD187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991</Words>
  <Characters>6556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dcterms:created xsi:type="dcterms:W3CDTF">2017-02-16T09:57:00Z</dcterms:created>
  <dcterms:modified xsi:type="dcterms:W3CDTF">2017-02-24T10:45:00Z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