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59E273CB1D544948BF4BC9A9802E3EA8" style="width:451.4pt;height:366.25pt">
            <v:imagedata r:id="rId7" o:title=""/>
          </v:shape>
        </w:pict>
      </w:r>
    </w:p>
    <w:bookmarkEnd w:id="0"/>
    <w:p>
      <w:pPr>
        <w:rPr>
          <w:noProof/>
          <w:lang w:eastAsia="en-GB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pStyle w:val="Heading2"/>
        <w:ind w:left="130"/>
        <w:rPr>
          <w:rFonts w:cs="EC Square Sans Pro"/>
          <w:b w:val="0"/>
          <w:bCs w:val="0"/>
          <w:noProof/>
          <w:lang w:val="cs-CZ"/>
        </w:rPr>
      </w:pPr>
      <w:bookmarkStart w:id="1" w:name="_GoBack"/>
      <w:bookmarkEnd w:id="1"/>
      <w:r>
        <w:rPr>
          <w:noProof/>
          <w:color w:val="164194"/>
          <w:lang w:val="cs-CZ"/>
        </w:rPr>
        <w:lastRenderedPageBreak/>
        <w:t>Příloha 2: Pět scénářů: přehled politik</w:t>
      </w:r>
    </w:p>
    <w:p>
      <w:pPr>
        <w:spacing w:before="3"/>
        <w:rPr>
          <w:rFonts w:ascii="EC Square Sans Pro" w:eastAsia="EC Square Sans Pro" w:hAnsi="EC Square Sans Pro" w:cs="EC Square Sans Pro"/>
          <w:b/>
          <w:bCs/>
          <w:noProof/>
          <w:sz w:val="16"/>
          <w:szCs w:val="16"/>
          <w:lang w:val="cs-CZ"/>
        </w:rPr>
      </w:pPr>
    </w:p>
    <w:p>
      <w:pPr>
        <w:tabs>
          <w:tab w:val="left" w:pos="3178"/>
          <w:tab w:val="left" w:pos="5049"/>
          <w:tab w:val="left" w:pos="6823"/>
          <w:tab w:val="left" w:pos="8491"/>
        </w:tabs>
        <w:spacing w:line="200" w:lineRule="atLeast"/>
        <w:ind w:left="1453"/>
        <w:rPr>
          <w:rFonts w:ascii="EC Square Sans Pro" w:eastAsia="EC Square Sans Pro" w:hAnsi="EC Square Sans Pro" w:cs="EC Square Sans Pro"/>
          <w:noProof/>
          <w:sz w:val="20"/>
          <w:lang w:val="cs-CZ"/>
        </w:rPr>
      </w:pPr>
      <w:r>
        <w:rPr>
          <w:noProof/>
          <w:lang w:val="cs-CZ"/>
        </w:rPr>
        <w:tab/>
      </w:r>
      <w:r>
        <w:rPr>
          <w:noProof/>
          <w:lang w:val="cs-CZ"/>
        </w:rPr>
        <w:tab/>
      </w:r>
      <w:r>
        <w:rPr>
          <w:noProof/>
          <w:lang w:val="cs-CZ"/>
        </w:rPr>
        <w:tab/>
      </w:r>
      <w:r>
        <w:rPr>
          <w:noProof/>
          <w:lang w:val="cs-CZ"/>
        </w:rPr>
        <w:tab/>
      </w:r>
    </w:p>
    <w:p>
      <w:pPr>
        <w:spacing w:before="1"/>
        <w:rPr>
          <w:rFonts w:ascii="EC Square Sans Pro" w:eastAsia="EC Square Sans Pro" w:hAnsi="EC Square Sans Pro" w:cs="EC Square Sans Pro"/>
          <w:b/>
          <w:bCs/>
          <w:noProof/>
          <w:sz w:val="7"/>
          <w:szCs w:val="7"/>
          <w:lang w:val="cs-CZ"/>
        </w:rPr>
      </w:pPr>
    </w:p>
    <w:tbl>
      <w:tblPr>
        <w:tblW w:w="10065" w:type="dxa"/>
        <w:tblInd w:w="-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1616"/>
        <w:gridCol w:w="1757"/>
        <w:gridCol w:w="1745"/>
        <w:gridCol w:w="1758"/>
        <w:gridCol w:w="2171"/>
      </w:tblGrid>
      <w:tr>
        <w:trPr>
          <w:trHeight w:hRule="exact" w:val="860"/>
        </w:trPr>
        <w:tc>
          <w:tcPr>
            <w:tcW w:w="993" w:type="dxa"/>
            <w:tcBorders>
              <w:top w:val="nil"/>
              <w:left w:val="nil"/>
              <w:bottom w:val="single" w:sz="8" w:space="0" w:color="164194"/>
              <w:right w:val="single" w:sz="8" w:space="0" w:color="164194"/>
            </w:tcBorders>
          </w:tcPr>
          <w:p>
            <w:pPr>
              <w:rPr>
                <w:noProof/>
                <w:szCs w:val="24"/>
                <w:lang w:val="cs-CZ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164194"/>
              <w:bottom w:val="single" w:sz="8" w:space="0" w:color="164194"/>
              <w:right w:val="single" w:sz="8" w:space="0" w:color="164194"/>
            </w:tcBorders>
          </w:tcPr>
          <w:p>
            <w:pPr>
              <w:pStyle w:val="TableParagraph"/>
              <w:jc w:val="center"/>
              <w:rPr>
                <w:rFonts w:ascii="EC Square Sans Pro" w:eastAsia="EC Square Sans Pro Medium" w:hAnsi="EC Square Sans Pro" w:cs="EC Square Sans Pro Medium"/>
                <w:noProof/>
                <w:sz w:val="24"/>
                <w:szCs w:val="24"/>
                <w:lang w:val="cs-CZ"/>
              </w:rPr>
            </w:pPr>
            <w:r>
              <w:rPr>
                <w:rFonts w:ascii="EC Square Sans Pro" w:hAnsi="EC Square Sans Pro"/>
                <w:noProof/>
                <w:color w:val="164291"/>
                <w:spacing w:val="2"/>
                <w:sz w:val="24"/>
                <w:szCs w:val="24"/>
                <w:lang w:val="cs-CZ"/>
              </w:rPr>
              <w:t>POKRAČOVÁNÍ V</w:t>
            </w:r>
            <w:r>
              <w:rPr>
                <w:rFonts w:ascii="Arial" w:hAnsi="Arial" w:cs="Arial"/>
                <w:noProof/>
                <w:color w:val="164291"/>
                <w:spacing w:val="2"/>
                <w:sz w:val="24"/>
                <w:szCs w:val="24"/>
                <w:lang w:val="cs-CZ"/>
              </w:rPr>
              <w:t> </w:t>
            </w:r>
            <w:r>
              <w:rPr>
                <w:rFonts w:ascii="EC Square Sans Pro" w:hAnsi="EC Square Sans Pro"/>
                <w:noProof/>
                <w:color w:val="164291"/>
                <w:spacing w:val="2"/>
                <w:sz w:val="24"/>
                <w:szCs w:val="24"/>
                <w:lang w:val="cs-CZ"/>
              </w:rPr>
              <w:t>DOSAVADNÍ PRAXI</w:t>
            </w:r>
          </w:p>
        </w:tc>
        <w:tc>
          <w:tcPr>
            <w:tcW w:w="1762" w:type="dxa"/>
            <w:tcBorders>
              <w:top w:val="nil"/>
              <w:left w:val="single" w:sz="8" w:space="0" w:color="164194"/>
              <w:bottom w:val="single" w:sz="8" w:space="0" w:color="164194"/>
              <w:right w:val="single" w:sz="8" w:space="0" w:color="164194"/>
            </w:tcBorders>
          </w:tcPr>
          <w:p>
            <w:pPr>
              <w:pStyle w:val="TableParagraph"/>
              <w:spacing w:before="35"/>
              <w:ind w:left="250" w:right="261"/>
              <w:jc w:val="center"/>
              <w:rPr>
                <w:rFonts w:ascii="EC Square Sans Pro" w:eastAsia="EC Square Sans Pro Medium" w:hAnsi="EC Square Sans Pro" w:cs="EC Square Sans Pro Medium"/>
                <w:noProof/>
                <w:sz w:val="24"/>
                <w:szCs w:val="24"/>
                <w:lang w:val="cs-CZ"/>
              </w:rPr>
            </w:pPr>
            <w:r>
              <w:rPr>
                <w:rFonts w:ascii="EC Square Sans Pro" w:hAnsi="EC Square Sans Pro"/>
                <w:noProof/>
                <w:color w:val="164291"/>
                <w:spacing w:val="2"/>
                <w:sz w:val="24"/>
                <w:szCs w:val="24"/>
                <w:lang w:val="cs-CZ"/>
              </w:rPr>
              <w:t>POUZE JEDNOTNÝ TRH</w:t>
            </w:r>
          </w:p>
        </w:tc>
        <w:tc>
          <w:tcPr>
            <w:tcW w:w="1750" w:type="dxa"/>
            <w:tcBorders>
              <w:top w:val="nil"/>
              <w:left w:val="single" w:sz="8" w:space="0" w:color="164194"/>
              <w:bottom w:val="single" w:sz="8" w:space="0" w:color="164194"/>
              <w:right w:val="single" w:sz="8" w:space="0" w:color="164194"/>
            </w:tcBorders>
          </w:tcPr>
          <w:p>
            <w:pPr>
              <w:pStyle w:val="TableParagraph"/>
              <w:spacing w:before="35"/>
              <w:ind w:left="150" w:right="158" w:hanging="1"/>
              <w:jc w:val="center"/>
              <w:rPr>
                <w:rFonts w:ascii="EC Square Sans Pro" w:eastAsia="EC Square Sans Pro Medium" w:hAnsi="EC Square Sans Pro" w:cs="EC Square Sans Pro Medium"/>
                <w:noProof/>
                <w:sz w:val="24"/>
                <w:szCs w:val="24"/>
                <w:lang w:val="cs-CZ"/>
              </w:rPr>
            </w:pPr>
            <w:r>
              <w:rPr>
                <w:rFonts w:ascii="EC Square Sans Pro" w:hAnsi="EC Square Sans Pro"/>
                <w:noProof/>
                <w:color w:val="164291"/>
                <w:spacing w:val="3"/>
                <w:sz w:val="24"/>
                <w:szCs w:val="24"/>
                <w:lang w:val="cs-CZ"/>
              </w:rPr>
              <w:t>STÁTY, KTERÉ CHTĚJÍ, DĚLAJÍ VÍCE</w:t>
            </w:r>
          </w:p>
        </w:tc>
        <w:tc>
          <w:tcPr>
            <w:tcW w:w="1763" w:type="dxa"/>
            <w:tcBorders>
              <w:top w:val="nil"/>
              <w:left w:val="single" w:sz="8" w:space="0" w:color="164194"/>
              <w:bottom w:val="single" w:sz="8" w:space="0" w:color="164194"/>
              <w:right w:val="single" w:sz="8" w:space="0" w:color="164194"/>
            </w:tcBorders>
          </w:tcPr>
          <w:p>
            <w:pPr>
              <w:pStyle w:val="TableParagraph"/>
              <w:spacing w:before="35"/>
              <w:ind w:left="113" w:right="91" w:firstLine="4"/>
              <w:jc w:val="center"/>
              <w:rPr>
                <w:rFonts w:ascii="EC Square Sans Pro" w:eastAsia="EC Square Sans Pro Medium" w:hAnsi="EC Square Sans Pro" w:cs="EC Square Sans Pro Medium"/>
                <w:noProof/>
                <w:sz w:val="24"/>
                <w:szCs w:val="24"/>
                <w:lang w:val="cs-CZ"/>
              </w:rPr>
            </w:pPr>
            <w:r>
              <w:rPr>
                <w:rFonts w:ascii="EC Square Sans Pro" w:hAnsi="EC Square Sans Pro"/>
                <w:noProof/>
                <w:color w:val="164291"/>
                <w:spacing w:val="3"/>
                <w:sz w:val="24"/>
                <w:szCs w:val="24"/>
                <w:lang w:val="cs-CZ"/>
              </w:rPr>
              <w:t>DĚLAT MÉNĚ, ZATO EFEKTIVNĚJI</w:t>
            </w:r>
          </w:p>
        </w:tc>
        <w:tc>
          <w:tcPr>
            <w:tcW w:w="2177" w:type="dxa"/>
            <w:tcBorders>
              <w:top w:val="nil"/>
              <w:left w:val="single" w:sz="8" w:space="0" w:color="164194"/>
              <w:bottom w:val="single" w:sz="8" w:space="0" w:color="164194"/>
              <w:right w:val="nil"/>
            </w:tcBorders>
          </w:tcPr>
          <w:p>
            <w:pPr>
              <w:pStyle w:val="TableParagraph"/>
              <w:spacing w:before="155"/>
              <w:ind w:left="110" w:right="123" w:firstLine="82"/>
              <w:jc w:val="center"/>
              <w:rPr>
                <w:rFonts w:ascii="EC Square Sans Pro" w:eastAsia="EC Square Sans Pro Medium" w:hAnsi="EC Square Sans Pro" w:cs="EC Square Sans Pro Medium"/>
                <w:noProof/>
                <w:sz w:val="24"/>
                <w:szCs w:val="24"/>
                <w:lang w:val="cs-CZ"/>
              </w:rPr>
            </w:pPr>
            <w:r>
              <w:rPr>
                <w:rFonts w:ascii="EC Square Sans Pro" w:hAnsi="EC Square Sans Pro"/>
                <w:noProof/>
                <w:color w:val="164291"/>
                <w:spacing w:val="3"/>
                <w:sz w:val="24"/>
                <w:szCs w:val="24"/>
                <w:lang w:val="cs-CZ"/>
              </w:rPr>
              <w:t>DĚLAT MNOHEM VÍCE SPOLEČNĚ</w:t>
            </w:r>
          </w:p>
        </w:tc>
      </w:tr>
      <w:tr>
        <w:trPr>
          <w:trHeight w:hRule="exact" w:val="1918"/>
        </w:trPr>
        <w:tc>
          <w:tcPr>
            <w:tcW w:w="993" w:type="dxa"/>
            <w:tcBorders>
              <w:top w:val="single" w:sz="8" w:space="0" w:color="164194"/>
              <w:left w:val="nil"/>
              <w:bottom w:val="single" w:sz="8" w:space="0" w:color="164194"/>
              <w:right w:val="single" w:sz="16" w:space="0" w:color="FFFFFF"/>
            </w:tcBorders>
            <w:textDirection w:val="btLr"/>
          </w:tcPr>
          <w:p>
            <w:pPr>
              <w:pStyle w:val="TableParagraph"/>
              <w:spacing w:before="47" w:line="244" w:lineRule="auto"/>
              <w:ind w:left="107" w:right="105" w:hanging="4"/>
              <w:jc w:val="center"/>
              <w:rPr>
                <w:rFonts w:ascii="EC Square Sans Pro" w:eastAsia="EC Square Sans Pro" w:hAnsi="EC Square Sans Pro" w:cs="EC Square Sans Pro"/>
                <w:noProof/>
                <w:sz w:val="24"/>
                <w:szCs w:val="24"/>
                <w:lang w:val="cs-CZ"/>
              </w:rPr>
            </w:pPr>
            <w:r>
              <w:rPr>
                <w:rFonts w:ascii="EC Square Sans Pro" w:hAnsi="EC Square Sans Pro"/>
                <w:noProof/>
                <w:color w:val="164194"/>
                <w:spacing w:val="3"/>
                <w:sz w:val="24"/>
                <w:szCs w:val="24"/>
                <w:lang w:val="cs-CZ"/>
              </w:rPr>
              <w:t>JEDNOTNÝ TRH</w:t>
            </w:r>
          </w:p>
          <w:p>
            <w:pPr>
              <w:pStyle w:val="TableParagraph"/>
              <w:jc w:val="center"/>
              <w:rPr>
                <w:rFonts w:ascii="EC Square Sans Pro" w:eastAsia="EC Square Sans Pro" w:hAnsi="EC Square Sans Pro" w:cs="EC Square Sans Pro"/>
                <w:noProof/>
                <w:sz w:val="24"/>
                <w:szCs w:val="24"/>
                <w:lang w:val="cs-CZ"/>
              </w:rPr>
            </w:pPr>
            <w:r>
              <w:rPr>
                <w:rFonts w:ascii="EC Square Sans Pro" w:hAnsi="EC Square Sans Pro"/>
                <w:noProof/>
                <w:color w:val="164194"/>
                <w:sz w:val="24"/>
                <w:szCs w:val="24"/>
                <w:lang w:val="cs-CZ"/>
              </w:rPr>
              <w:t>A OBCHOD</w:t>
            </w:r>
          </w:p>
        </w:tc>
        <w:tc>
          <w:tcPr>
            <w:tcW w:w="1620" w:type="dxa"/>
            <w:tcBorders>
              <w:top w:val="single" w:sz="8" w:space="0" w:color="164194"/>
              <w:left w:val="single" w:sz="16" w:space="0" w:color="FFFFFF"/>
              <w:bottom w:val="single" w:sz="8" w:space="0" w:color="FFFFFF"/>
              <w:right w:val="single" w:sz="8" w:space="0" w:color="FFFFFF"/>
            </w:tcBorders>
            <w:shd w:val="clear" w:color="auto" w:fill="F7FAFC"/>
          </w:tcPr>
          <w:p>
            <w:pPr>
              <w:pStyle w:val="TableParagraph"/>
              <w:spacing w:before="39" w:line="256" w:lineRule="auto"/>
              <w:ind w:left="60" w:right="209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>Posílení jednotného trhu, mj. v energetice a digitálním sektoru; EU27 pokračuje v uzavírání progresivních obchodních dohod</w:t>
            </w:r>
          </w:p>
        </w:tc>
        <w:tc>
          <w:tcPr>
            <w:tcW w:w="1762" w:type="dxa"/>
            <w:tcBorders>
              <w:top w:val="single" w:sz="8" w:space="0" w:color="16419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5"/>
          </w:tcPr>
          <w:p>
            <w:pPr>
              <w:pStyle w:val="TableParagraph"/>
              <w:spacing w:before="39" w:line="256" w:lineRule="auto"/>
              <w:ind w:left="64" w:right="152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2"/>
                <w:sz w:val="17"/>
                <w:lang w:val="cs-CZ"/>
              </w:rPr>
              <w:t>Je posílen jednotný trh zboží a kapitálu; standardy se postupně rozcházejí; volný pohyb osob a služeb není plně zaručen</w:t>
            </w:r>
          </w:p>
        </w:tc>
        <w:tc>
          <w:tcPr>
            <w:tcW w:w="1750" w:type="dxa"/>
            <w:tcBorders>
              <w:top w:val="single" w:sz="8" w:space="0" w:color="16419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C"/>
          </w:tcPr>
          <w:p>
            <w:pPr>
              <w:pStyle w:val="TableParagraph"/>
              <w:spacing w:before="39" w:line="256" w:lineRule="auto"/>
              <w:ind w:left="59" w:right="123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>Jako ve scénáři „Pokračování v dosavadní praxi“: posílení jednotného trhu a EU27 pokračuje v uzavírání progresivních obchodních dohod</w:t>
            </w:r>
          </w:p>
        </w:tc>
        <w:tc>
          <w:tcPr>
            <w:tcW w:w="1763" w:type="dxa"/>
            <w:tcBorders>
              <w:top w:val="single" w:sz="8" w:space="0" w:color="16419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5"/>
          </w:tcPr>
          <w:p>
            <w:pPr>
              <w:pStyle w:val="TableParagraph"/>
              <w:spacing w:before="39" w:line="256" w:lineRule="auto"/>
              <w:ind w:left="66" w:right="76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>Společné standardy nastaveny na minimum, ovšem v oblastech regulovaných na úrovni EU</w:t>
            </w:r>
            <w:r>
              <w:rPr>
                <w:rFonts w:ascii="Garamond" w:hAnsi="Garamond"/>
                <w:noProof/>
                <w:lang w:val="cs-CZ"/>
              </w:rPr>
              <w:t xml:space="preserve"> </w:t>
            </w: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>je posílen dohled nad jejich dodržováním; obchodní záležitosti řešeny výhradně na úrovni EU</w:t>
            </w:r>
          </w:p>
        </w:tc>
        <w:tc>
          <w:tcPr>
            <w:tcW w:w="2177" w:type="dxa"/>
            <w:tcBorders>
              <w:top w:val="single" w:sz="8" w:space="0" w:color="164194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7FAFC"/>
          </w:tcPr>
          <w:p>
            <w:pPr>
              <w:pStyle w:val="TableParagraph"/>
              <w:spacing w:before="39" w:line="256" w:lineRule="auto"/>
              <w:ind w:left="60" w:right="196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>Posílení jednotného trhu sbližováním standardů a posílením dohledu nad jejich dodržováním; obchodní záležitosti řešeny výhradně na úrovni EU</w:t>
            </w:r>
          </w:p>
        </w:tc>
      </w:tr>
      <w:tr>
        <w:trPr>
          <w:trHeight w:hRule="exact" w:val="2115"/>
        </w:trPr>
        <w:tc>
          <w:tcPr>
            <w:tcW w:w="1021" w:type="dxa"/>
            <w:tcBorders>
              <w:top w:val="single" w:sz="8" w:space="0" w:color="164194"/>
              <w:left w:val="nil"/>
              <w:bottom w:val="single" w:sz="8" w:space="0" w:color="164194"/>
              <w:right w:val="single" w:sz="16" w:space="0" w:color="FFFFFF"/>
            </w:tcBorders>
            <w:textDirection w:val="btLr"/>
          </w:tcPr>
          <w:p>
            <w:pPr>
              <w:pStyle w:val="TableParagraph"/>
              <w:spacing w:before="47" w:line="244" w:lineRule="auto"/>
              <w:ind w:left="113" w:right="344"/>
              <w:jc w:val="center"/>
              <w:rPr>
                <w:rFonts w:ascii="EC Square Sans Pro" w:eastAsia="EC Square Sans Pro" w:hAnsi="EC Square Sans Pro" w:cs="EC Square Sans Pro"/>
                <w:noProof/>
                <w:sz w:val="24"/>
                <w:szCs w:val="24"/>
                <w:lang w:val="cs-CZ"/>
              </w:rPr>
            </w:pPr>
            <w:r>
              <w:rPr>
                <w:rFonts w:ascii="EC Square Sans Pro" w:hAnsi="EC Square Sans Pro"/>
                <w:noProof/>
                <w:color w:val="164194"/>
                <w:spacing w:val="3"/>
                <w:sz w:val="24"/>
                <w:szCs w:val="24"/>
                <w:lang w:val="cs-CZ"/>
              </w:rPr>
              <w:t>HOSPODÁŘSKÁ A MĚNOVÁ UNIE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8" w:space="0" w:color="FFFFFF"/>
            </w:tcBorders>
            <w:shd w:val="clear" w:color="auto" w:fill="E2EEF5"/>
          </w:tcPr>
          <w:p>
            <w:pPr>
              <w:pStyle w:val="TableParagraph"/>
              <w:spacing w:before="35" w:line="256" w:lineRule="auto"/>
              <w:ind w:left="60" w:right="96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>Postupné zlepšování fungování eurozóny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C"/>
          </w:tcPr>
          <w:p>
            <w:pPr>
              <w:pStyle w:val="TableParagraph"/>
              <w:spacing w:before="35" w:line="256" w:lineRule="auto"/>
              <w:ind w:left="64" w:right="210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1"/>
                <w:sz w:val="17"/>
                <w:lang w:val="cs-CZ"/>
              </w:rPr>
              <w:t>Omezená spolupráce v eurozóně</w:t>
            </w:r>
          </w:p>
        </w:tc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5"/>
          </w:tcPr>
          <w:p>
            <w:pPr>
              <w:pStyle w:val="TableParagraph"/>
              <w:spacing w:before="35" w:line="256" w:lineRule="auto"/>
              <w:ind w:left="59" w:right="84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1"/>
                <w:sz w:val="17"/>
                <w:lang w:val="cs-CZ"/>
              </w:rPr>
              <w:t>Jako ve scénáři „Pokračování v dosavadní praxi“, jen s tím rozdílem, že některé země prohloubí spolupráci v oblastech jako daně a sociální standardy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C"/>
          </w:tcPr>
          <w:p>
            <w:pPr>
              <w:pStyle w:val="TableParagraph"/>
              <w:spacing w:before="35" w:line="256" w:lineRule="auto"/>
              <w:ind w:left="66" w:right="83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1"/>
                <w:sz w:val="17"/>
                <w:lang w:val="cs-CZ"/>
              </w:rPr>
              <w:t>Řada kroků ke konsolidaci eurozóny a zajištění její stability; EU27 je méně aktivní v některých oblastech politiky zaměstnanosti a sociální politice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2EEF5"/>
          </w:tcPr>
          <w:p>
            <w:pPr>
              <w:pStyle w:val="TableParagraph"/>
              <w:spacing w:before="35" w:line="256" w:lineRule="auto"/>
              <w:ind w:left="60" w:right="81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1"/>
                <w:sz w:val="17"/>
                <w:lang w:val="cs-CZ"/>
              </w:rPr>
              <w:t>Dosažení hospodářské, finanční a fiskální unie, jak ji nastínila zpráva pěti předsedů z června 2015</w:t>
            </w:r>
          </w:p>
        </w:tc>
      </w:tr>
      <w:tr>
        <w:trPr>
          <w:trHeight w:hRule="exact" w:val="2316"/>
        </w:trPr>
        <w:tc>
          <w:tcPr>
            <w:tcW w:w="993" w:type="dxa"/>
            <w:tcBorders>
              <w:top w:val="single" w:sz="8" w:space="0" w:color="164194"/>
              <w:left w:val="nil"/>
              <w:bottom w:val="single" w:sz="8" w:space="0" w:color="164194"/>
              <w:right w:val="single" w:sz="16" w:space="0" w:color="FFFFFF"/>
            </w:tcBorders>
            <w:textDirection w:val="btLr"/>
          </w:tcPr>
          <w:p>
            <w:pPr>
              <w:pStyle w:val="TableParagraph"/>
              <w:spacing w:before="47"/>
              <w:ind w:left="7"/>
              <w:jc w:val="center"/>
              <w:rPr>
                <w:rFonts w:ascii="EC Square Sans Pro" w:eastAsia="EC Square Sans Pro" w:hAnsi="EC Square Sans Pro" w:cs="EC Square Sans Pro"/>
                <w:noProof/>
                <w:sz w:val="24"/>
                <w:szCs w:val="24"/>
                <w:lang w:val="cs-CZ"/>
              </w:rPr>
            </w:pPr>
            <w:r>
              <w:rPr>
                <w:rFonts w:ascii="EC Square Sans Pro" w:hAnsi="EC Square Sans Pro"/>
                <w:noProof/>
                <w:color w:val="164194"/>
                <w:spacing w:val="3"/>
                <w:sz w:val="24"/>
                <w:szCs w:val="24"/>
                <w:lang w:val="cs-CZ"/>
              </w:rPr>
              <w:t>SCHENGEN, MIGRACE</w:t>
            </w:r>
          </w:p>
          <w:p>
            <w:pPr>
              <w:pStyle w:val="TableParagraph"/>
              <w:spacing w:before="4"/>
              <w:ind w:left="7"/>
              <w:jc w:val="center"/>
              <w:rPr>
                <w:rFonts w:ascii="EC Square Sans Pro" w:eastAsia="EC Square Sans Pro" w:hAnsi="EC Square Sans Pro" w:cs="EC Square Sans Pro"/>
                <w:noProof/>
                <w:sz w:val="24"/>
                <w:szCs w:val="24"/>
                <w:lang w:val="cs-CZ"/>
              </w:rPr>
            </w:pPr>
            <w:r>
              <w:rPr>
                <w:rFonts w:ascii="EC Square Sans Pro" w:hAnsi="EC Square Sans Pro"/>
                <w:noProof/>
                <w:color w:val="164194"/>
                <w:sz w:val="24"/>
                <w:szCs w:val="24"/>
                <w:lang w:val="cs-CZ"/>
              </w:rPr>
              <w:t>A BEZPEČNOST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8" w:space="0" w:color="FFFFFF"/>
            </w:tcBorders>
            <w:shd w:val="clear" w:color="auto" w:fill="F7FAFC"/>
          </w:tcPr>
          <w:p>
            <w:pPr>
              <w:pStyle w:val="TableParagraph"/>
              <w:spacing w:before="35" w:line="256" w:lineRule="auto"/>
              <w:ind w:left="60" w:right="234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1"/>
                <w:sz w:val="17"/>
                <w:lang w:val="cs-CZ"/>
              </w:rPr>
              <w:t>Postupné zintenzivňování spolupráce v oblasti správy vnějších hranic; pokrok na cestě ke společnému azylovému systému; lepší koordinace v bezpečnostních záležitostech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5"/>
          </w:tcPr>
          <w:p>
            <w:pPr>
              <w:pStyle w:val="TableParagraph"/>
              <w:spacing w:before="35" w:line="256" w:lineRule="auto"/>
              <w:ind w:left="64" w:right="108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1"/>
                <w:sz w:val="17"/>
                <w:lang w:val="cs-CZ"/>
              </w:rPr>
              <w:t>Bez jednotné politiky v oblasti migrace nebo azylu; další koordinace v bezpečnostních otázkách probíhá bilaterálně; systematičtější kontroly na vnitřních hranicích</w:t>
            </w:r>
          </w:p>
        </w:tc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C"/>
          </w:tcPr>
          <w:p>
            <w:pPr>
              <w:pStyle w:val="TableParagraph"/>
              <w:spacing w:before="35" w:line="256" w:lineRule="auto"/>
              <w:ind w:left="59" w:right="158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1"/>
                <w:sz w:val="17"/>
                <w:lang w:val="cs-CZ"/>
              </w:rPr>
              <w:t>Jako ve scénáři „Pokračování v dosavadní praxi“, jen s tím rozdílem, že některé země prohloubí spolupráci v bezpečnostních a justičních záležitostech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5"/>
          </w:tcPr>
          <w:p>
            <w:pPr>
              <w:pStyle w:val="TableParagraph"/>
              <w:spacing w:before="35" w:line="256" w:lineRule="auto"/>
              <w:ind w:left="66" w:right="237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 xml:space="preserve">Systematická spolupráce v oblasti správy hranic, azylové politiky a boje proti terorismu 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7FAFC"/>
          </w:tcPr>
          <w:p>
            <w:pPr>
              <w:pStyle w:val="TableParagraph"/>
              <w:spacing w:before="35" w:line="256" w:lineRule="auto"/>
              <w:ind w:left="60" w:right="82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1"/>
                <w:sz w:val="17"/>
                <w:lang w:val="cs-CZ"/>
              </w:rPr>
              <w:t>Jako ve scénáři „Dělat méně, zato efektivněji“:</w:t>
            </w: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 xml:space="preserve"> systematická spolupráce v oblasti správy hranic, azylové politiky a boje proti terorismu </w:t>
            </w:r>
          </w:p>
        </w:tc>
      </w:tr>
      <w:tr>
        <w:trPr>
          <w:trHeight w:hRule="exact" w:val="1958"/>
        </w:trPr>
        <w:tc>
          <w:tcPr>
            <w:tcW w:w="993" w:type="dxa"/>
            <w:tcBorders>
              <w:top w:val="single" w:sz="8" w:space="0" w:color="164194"/>
              <w:left w:val="nil"/>
              <w:bottom w:val="single" w:sz="8" w:space="0" w:color="164194"/>
              <w:right w:val="single" w:sz="16" w:space="0" w:color="FFFFFF"/>
            </w:tcBorders>
            <w:textDirection w:val="btLr"/>
          </w:tcPr>
          <w:p>
            <w:pPr>
              <w:pStyle w:val="TableParagraph"/>
              <w:spacing w:before="47"/>
              <w:ind w:left="10"/>
              <w:jc w:val="center"/>
              <w:rPr>
                <w:rFonts w:ascii="EC Square Sans Pro" w:eastAsia="EC Square Sans Pro" w:hAnsi="EC Square Sans Pro" w:cs="EC Square Sans Pro"/>
                <w:noProof/>
                <w:sz w:val="24"/>
                <w:szCs w:val="24"/>
                <w:lang w:val="cs-CZ"/>
              </w:rPr>
            </w:pPr>
            <w:r>
              <w:rPr>
                <w:rFonts w:ascii="EC Square Sans Pro" w:hAnsi="EC Square Sans Pro"/>
                <w:noProof/>
                <w:color w:val="164194"/>
                <w:spacing w:val="3"/>
                <w:sz w:val="24"/>
                <w:szCs w:val="24"/>
                <w:lang w:val="cs-CZ"/>
              </w:rPr>
              <w:t>ZAHRANIČNÍ POLITIKA</w:t>
            </w:r>
          </w:p>
          <w:p>
            <w:pPr>
              <w:pStyle w:val="TableParagraph"/>
              <w:spacing w:before="4"/>
              <w:ind w:left="10"/>
              <w:jc w:val="center"/>
              <w:rPr>
                <w:rFonts w:ascii="EC Square Sans Pro" w:eastAsia="EC Square Sans Pro" w:hAnsi="EC Square Sans Pro" w:cs="EC Square Sans Pro"/>
                <w:noProof/>
                <w:sz w:val="24"/>
                <w:szCs w:val="24"/>
                <w:lang w:val="cs-CZ"/>
              </w:rPr>
            </w:pPr>
            <w:r>
              <w:rPr>
                <w:rFonts w:ascii="EC Square Sans Pro" w:hAnsi="EC Square Sans Pro"/>
                <w:noProof/>
                <w:color w:val="164194"/>
                <w:sz w:val="24"/>
                <w:szCs w:val="24"/>
                <w:lang w:val="cs-CZ"/>
              </w:rPr>
              <w:t>A OBRANA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8" w:space="0" w:color="FFFFFF"/>
            </w:tcBorders>
            <w:shd w:val="clear" w:color="auto" w:fill="E2EEF5"/>
          </w:tcPr>
          <w:p>
            <w:pPr>
              <w:pStyle w:val="TableParagraph"/>
              <w:spacing w:before="30" w:line="256" w:lineRule="auto"/>
              <w:ind w:left="60" w:right="203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 xml:space="preserve">Pokrok při utváření jednotného postoje v zahraničních otázkách; užší spolupráce v oblasti obrany 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C"/>
          </w:tcPr>
          <w:p>
            <w:pPr>
              <w:pStyle w:val="TableParagraph"/>
              <w:spacing w:before="30" w:line="256" w:lineRule="auto"/>
              <w:ind w:left="64" w:right="97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2"/>
                <w:sz w:val="17"/>
                <w:lang w:val="cs-CZ"/>
              </w:rPr>
              <w:t xml:space="preserve">Některé otázky zahraniční politiky řeší členské státy stále častěji na bilaterální úrovni; spolupráce v oblasti obrany zůstává nezměněna </w:t>
            </w:r>
          </w:p>
        </w:tc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5"/>
          </w:tcPr>
          <w:p>
            <w:pPr>
              <w:pStyle w:val="TableParagraph"/>
              <w:spacing w:before="30" w:line="256" w:lineRule="auto"/>
              <w:ind w:left="59" w:right="90"/>
              <w:rPr>
                <w:rFonts w:ascii="Garamond" w:hAnsi="Garamond"/>
                <w:noProof/>
                <w:color w:val="575756"/>
                <w:sz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1"/>
                <w:sz w:val="17"/>
                <w:lang w:val="cs-CZ"/>
              </w:rPr>
              <w:t>Jako ve scénáři „Pokračování v dosavadní praxi“, jen s tím rozdílem, že některé země prohloubí spolupráci v oblasti obrany, s důrazem na vojenskou koordinaci a společné vybavení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C"/>
          </w:tcPr>
          <w:p>
            <w:pPr>
              <w:pStyle w:val="TableParagraph"/>
              <w:spacing w:before="30" w:line="256" w:lineRule="auto"/>
              <w:ind w:left="66" w:right="77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 xml:space="preserve">EU zaujímá jednotný postoj ve všech otázkách zahraniční politiky; vytvoření evropské obranné unie 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2EEF5"/>
          </w:tcPr>
          <w:p>
            <w:pPr>
              <w:pStyle w:val="TableParagraph"/>
              <w:spacing w:before="30" w:line="256" w:lineRule="auto"/>
              <w:ind w:left="60" w:right="498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>Jako ve scénáři „Dělat méně, zato efektivněji“: EU zaujímá jednotný postoj ve všech otázkách zahraniční politiky; vytvoření evropské obranné unie</w:t>
            </w:r>
          </w:p>
        </w:tc>
      </w:tr>
      <w:tr>
        <w:trPr>
          <w:trHeight w:hRule="exact" w:val="1903"/>
        </w:trPr>
        <w:tc>
          <w:tcPr>
            <w:tcW w:w="993" w:type="dxa"/>
            <w:tcBorders>
              <w:top w:val="single" w:sz="8" w:space="0" w:color="164194"/>
              <w:left w:val="nil"/>
              <w:bottom w:val="single" w:sz="8" w:space="0" w:color="164194"/>
              <w:right w:val="single" w:sz="16" w:space="0" w:color="FFFFFF"/>
            </w:tcBorders>
            <w:textDirection w:val="btLr"/>
          </w:tcPr>
          <w:p>
            <w:pPr>
              <w:pStyle w:val="TableParagraph"/>
              <w:spacing w:before="47"/>
              <w:ind w:left="113"/>
              <w:rPr>
                <w:rFonts w:ascii="EC Square Sans Pro" w:eastAsia="EC Square Sans Pro" w:hAnsi="EC Square Sans Pro" w:cs="EC Square Sans Pro"/>
                <w:noProof/>
                <w:sz w:val="24"/>
                <w:szCs w:val="24"/>
                <w:lang w:val="cs-CZ"/>
              </w:rPr>
            </w:pPr>
            <w:r>
              <w:rPr>
                <w:rFonts w:ascii="EC Square Sans Pro" w:hAnsi="EC Square Sans Pro"/>
                <w:noProof/>
                <w:color w:val="164194"/>
                <w:spacing w:val="4"/>
                <w:sz w:val="24"/>
                <w:szCs w:val="24"/>
                <w:lang w:val="cs-CZ"/>
              </w:rPr>
              <w:t>ROZPOČET EU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8" w:space="0" w:color="FFFFFF"/>
            </w:tcBorders>
            <w:shd w:val="clear" w:color="auto" w:fill="F7FAFC"/>
          </w:tcPr>
          <w:p>
            <w:pPr>
              <w:pStyle w:val="TableParagraph"/>
              <w:spacing w:before="32" w:line="256" w:lineRule="auto"/>
              <w:ind w:left="60" w:right="239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1"/>
                <w:sz w:val="17"/>
                <w:lang w:val="cs-CZ"/>
              </w:rPr>
              <w:t xml:space="preserve">Částečná modernizace, aby odpovídal reformní agendě dohodnuté mezi 27 členy 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5"/>
          </w:tcPr>
          <w:p>
            <w:pPr>
              <w:pStyle w:val="TableParagraph"/>
              <w:spacing w:before="32" w:line="256" w:lineRule="auto"/>
              <w:ind w:left="64" w:right="167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1"/>
                <w:sz w:val="17"/>
                <w:lang w:val="cs-CZ"/>
              </w:rPr>
              <w:t>Přeorientování – financují se základní funkce nezbytné pro jednotný trh</w:t>
            </w:r>
          </w:p>
        </w:tc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C"/>
          </w:tcPr>
          <w:p>
            <w:pPr>
              <w:pStyle w:val="TableParagraph"/>
              <w:spacing w:before="32" w:line="256" w:lineRule="auto"/>
              <w:ind w:left="59" w:right="78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1"/>
                <w:sz w:val="17"/>
                <w:lang w:val="cs-CZ"/>
              </w:rPr>
              <w:t>Jako ve scénáři „Pokračování v dosavadní praxi“; některé členské státy navýší</w:t>
            </w: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 xml:space="preserve"> rozpočty </w:t>
            </w:r>
            <w:r>
              <w:rPr>
                <w:rFonts w:ascii="Garamond" w:hAnsi="Garamond"/>
                <w:noProof/>
                <w:color w:val="575756"/>
                <w:spacing w:val="-1"/>
                <w:sz w:val="17"/>
                <w:lang w:val="cs-CZ"/>
              </w:rPr>
              <w:t>v oblastech, ve kterých se rozhodnou více spolupracovat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5"/>
          </w:tcPr>
          <w:p>
            <w:pPr>
              <w:pStyle w:val="TableParagraph"/>
              <w:spacing w:line="256" w:lineRule="auto"/>
              <w:ind w:left="66" w:right="132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>Zásadní přepracování, aby odpovídal novým prioritám dohodnutým na úrovni EU27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7FAFC"/>
          </w:tcPr>
          <w:p>
            <w:pPr>
              <w:pStyle w:val="TableParagraph"/>
              <w:spacing w:before="32" w:line="256" w:lineRule="auto"/>
              <w:ind w:left="60" w:right="192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>Zásadní modernizace a navýšení, podpořené vlastními zdroji; v eurozóně funguje funkce fiskální stabilizace</w:t>
            </w:r>
          </w:p>
        </w:tc>
      </w:tr>
      <w:tr>
        <w:trPr>
          <w:trHeight w:hRule="exact" w:val="2308"/>
        </w:trPr>
        <w:tc>
          <w:tcPr>
            <w:tcW w:w="993" w:type="dxa"/>
            <w:tcBorders>
              <w:top w:val="single" w:sz="8" w:space="0" w:color="164194"/>
              <w:left w:val="nil"/>
              <w:right w:val="single" w:sz="16" w:space="0" w:color="FFFFFF"/>
            </w:tcBorders>
            <w:textDirection w:val="btLr"/>
          </w:tcPr>
          <w:p>
            <w:pPr>
              <w:pStyle w:val="TableParagraph"/>
              <w:spacing w:before="47" w:line="244" w:lineRule="auto"/>
              <w:ind w:left="267" w:right="102" w:hanging="154"/>
              <w:jc w:val="center"/>
              <w:rPr>
                <w:rFonts w:ascii="EC Square Sans Pro" w:eastAsia="EC Square Sans Pro" w:hAnsi="EC Square Sans Pro" w:cs="EC Square Sans Pro"/>
                <w:noProof/>
                <w:sz w:val="24"/>
                <w:szCs w:val="24"/>
                <w:lang w:val="cs-CZ"/>
              </w:rPr>
            </w:pPr>
            <w:r>
              <w:rPr>
                <w:rFonts w:ascii="EC Square Sans Pro" w:hAnsi="EC Square Sans Pro"/>
                <w:noProof/>
                <w:color w:val="164194"/>
                <w:spacing w:val="3"/>
                <w:sz w:val="24"/>
                <w:szCs w:val="24"/>
                <w:lang w:val="cs-CZ"/>
              </w:rPr>
              <w:t>AKCESCHOPNOST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16" w:space="0" w:color="FFFFFF"/>
              <w:bottom w:val="nil"/>
              <w:right w:val="single" w:sz="8" w:space="0" w:color="FFFFFF"/>
            </w:tcBorders>
            <w:shd w:val="clear" w:color="auto" w:fill="E2EEF5"/>
          </w:tcPr>
          <w:p>
            <w:pPr>
              <w:pStyle w:val="TableParagraph"/>
              <w:spacing w:line="256" w:lineRule="auto"/>
              <w:ind w:right="216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3"/>
                <w:sz w:val="17"/>
                <w:lang w:val="cs-CZ"/>
              </w:rPr>
              <w:t>Pozitivní agenda přináší konkrétní výsledky; rozhodovací procesy jsou i nadále těžko srozumitelné; akceschopnost nesplňuje vždy očekávání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7FAFC"/>
          </w:tcPr>
          <w:p>
            <w:pPr>
              <w:pStyle w:val="TableParagraph"/>
              <w:spacing w:line="256" w:lineRule="auto"/>
              <w:ind w:left="64" w:right="100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>Rozhodovací procesy potenciálně snáze srozumitelné, ovšem schopnost jednat kolektivně je omezena; otázky, které se týkají všech, musí být často řešeny bilaterálně</w:t>
            </w:r>
          </w:p>
        </w:tc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2EEF5"/>
          </w:tcPr>
          <w:p>
            <w:pPr>
              <w:pStyle w:val="TableParagraph"/>
              <w:spacing w:before="31" w:line="256" w:lineRule="auto"/>
              <w:ind w:left="59" w:right="177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 xml:space="preserve">Jako ve scénáři „Pokračování v dosavadní praxi“: pozitivní agenda EU27 přináší výsledky; v určitých oblastech dosahují některé skupiny společně více; složitější rozhodovací procesy 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7FAFC"/>
          </w:tcPr>
          <w:p>
            <w:pPr>
              <w:pStyle w:val="TableParagraph"/>
              <w:spacing w:before="31" w:line="256" w:lineRule="auto"/>
              <w:ind w:left="66" w:right="96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pacing w:val="-2"/>
                <w:sz w:val="17"/>
                <w:lang w:val="cs-CZ"/>
              </w:rPr>
              <w:t>Není snadné se zpočátku dohodnout, kterým úkolům dát prioritu a kterých se vzdát; po vyjasnění priorit jsou rozhodovací procesy potenciálně srozumitelnější; v oblastech, ve kterých má EU větší úlohu, jedná rychleji a rozhodněji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2EEF5"/>
          </w:tcPr>
          <w:p>
            <w:pPr>
              <w:pStyle w:val="TableParagraph"/>
              <w:spacing w:before="31" w:line="256" w:lineRule="auto"/>
              <w:ind w:left="60" w:right="111"/>
              <w:rPr>
                <w:rFonts w:ascii="Garamond" w:eastAsia="Garamond" w:hAnsi="Garamond" w:cs="Garamond"/>
                <w:noProof/>
                <w:sz w:val="17"/>
                <w:szCs w:val="17"/>
                <w:lang w:val="cs-CZ"/>
              </w:rPr>
            </w:pPr>
            <w:r>
              <w:rPr>
                <w:rFonts w:ascii="Garamond" w:hAnsi="Garamond"/>
                <w:noProof/>
                <w:color w:val="575756"/>
                <w:sz w:val="17"/>
                <w:lang w:val="cs-CZ"/>
              </w:rPr>
              <w:t xml:space="preserve">Rozhodovací procesy jsou rychlejší a dohled nad dodržováním pravidel je ve všech oblastech silnější; otázku zodpovědnosti si mohou klást ti, kteří mají pocit, že EU vzala členským státům příliš pravomocí </w:t>
            </w:r>
          </w:p>
        </w:tc>
      </w:tr>
    </w:tbl>
    <w:p>
      <w:pPr>
        <w:widowControl w:val="0"/>
        <w:spacing w:before="46" w:line="240" w:lineRule="auto"/>
        <w:outlineLvl w:val="1"/>
        <w:rPr>
          <w:noProof/>
          <w:sz w:val="4"/>
          <w:szCs w:val="4"/>
          <w:lang w:val="cs-CZ"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21" w:right="1111" w:bottom="567" w:left="1797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 Square Sans Pro">
    <w:altName w:val="Segoe UI"/>
    <w:charset w:val="00"/>
    <w:family w:val="swiss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 Square Sans Pro Medium">
    <w:charset w:val="00"/>
    <w:family w:val="swiss"/>
    <w:pitch w:val="variable"/>
    <w:sig w:usb0="A00002BF" w:usb1="5000E0F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83843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 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59E273CB1D544948BF4BC9A9802E3EA8"/>
    <w:docVar w:name="LW_CROSSREFERENCE" w:val="&lt;UNUSED&gt;"/>
    <w:docVar w:name="LW_DocType" w:val="NORMAL"/>
    <w:docVar w:name="LW_EMISSION" w:val="1.3.2017"/>
    <w:docVar w:name="LW_EMISSION_ISODATE" w:val="2017-03-01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MARKING" w:val="&lt;EMPTY&gt;"/>
    <w:docVar w:name="LW_NOM.INST" w:val="EVROPSKÁ KOMISE"/>
    <w:docVar w:name="LW_NOM.INST_JOINTDOC" w:val="&lt;EMPTY&gt;"/>
    <w:docVar w:name="LW_OBJETACTEPRINCIPAL.CP" w:val="Úvahy a scéná\u345?e pro EU27 v roce 2025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5"/>
    <w:docVar w:name="LW_REF.INTERNE" w:val="&lt;UNUSED&gt;"/>
    <w:docVar w:name="LW_SUPERTITRE" w:val="&lt;UNUSED&gt;"/>
    <w:docVar w:name="LW_TITRE.OBJ.CP" w:val="&lt;UNUSED&gt;"/>
    <w:docVar w:name="LW_TYPE.DOC.CP" w:val="P\u344?ÍLOHA_x000b_"/>
    <w:docVar w:name="LW_TYPEACTEPRINCIPAL.CP" w:val="bílé knihy o budoucnosti Evrop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pPr>
      <w:widowControl w:val="0"/>
      <w:spacing w:before="46" w:line="240" w:lineRule="auto"/>
      <w:ind w:left="450"/>
      <w:outlineLvl w:val="1"/>
    </w:pPr>
    <w:rPr>
      <w:rFonts w:ascii="EC Square Sans Pro" w:eastAsia="EC Square Sans Pro" w:hAnsi="EC Square Sans Pro" w:cstheme="min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536"/>
        <w:tab w:val="right" w:pos="9072"/>
      </w:tabs>
      <w:spacing w:line="240" w:lineRule="auto"/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rPr>
      <w:rFonts w:eastAsia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536"/>
        <w:tab w:val="right" w:pos="9072"/>
      </w:tabs>
      <w:spacing w:line="240" w:lineRule="auto"/>
    </w:pPr>
    <w:rPr>
      <w:rFonts w:eastAsia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sz w:val="20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line="240" w:lineRule="auto"/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line="240" w:lineRule="auto"/>
      <w:ind w:left="-850" w:right="-850"/>
      <w:outlineLvl w:val="1"/>
    </w:pPr>
    <w:rPr>
      <w:rFonts w:eastAsia="EC Square Sans Pro"/>
      <w:bCs/>
      <w:color w:val="164194"/>
      <w:szCs w:val="28"/>
      <w:lang w:eastAsia="en-GB"/>
    </w:rPr>
  </w:style>
  <w:style w:type="character" w:customStyle="1" w:styleId="FooterCoverPageChar">
    <w:name w:val="Footer Cover Page Char"/>
    <w:basedOn w:val="DefaultParagraphFont"/>
    <w:link w:val="FooterCoverPage"/>
    <w:rPr>
      <w:rFonts w:eastAsia="EC Square Sans Pro"/>
      <w:bCs/>
      <w:color w:val="164194"/>
      <w:szCs w:val="28"/>
      <w:lang w:eastAsia="en-GB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after="120" w:line="240" w:lineRule="auto"/>
      <w:jc w:val="both"/>
      <w:outlineLvl w:val="1"/>
    </w:pPr>
    <w:rPr>
      <w:rFonts w:eastAsia="EC Square Sans Pro"/>
      <w:bCs/>
      <w:color w:val="164194"/>
      <w:szCs w:val="28"/>
      <w:lang w:eastAsia="en-GB"/>
    </w:rPr>
  </w:style>
  <w:style w:type="character" w:customStyle="1" w:styleId="HeaderCoverPageChar">
    <w:name w:val="Header Cover Page Char"/>
    <w:basedOn w:val="DefaultParagraphFont"/>
    <w:link w:val="HeaderCoverPage"/>
    <w:rPr>
      <w:rFonts w:eastAsia="EC Square Sans Pro"/>
      <w:bCs/>
      <w:color w:val="164194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EC Square Sans Pro" w:eastAsia="EC Square Sans Pro" w:hAnsi="EC Square Sans Pro" w:cstheme="minorBid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pPr>
      <w:widowControl w:val="0"/>
      <w:spacing w:before="46" w:line="240" w:lineRule="auto"/>
      <w:ind w:left="450"/>
      <w:outlineLvl w:val="1"/>
    </w:pPr>
    <w:rPr>
      <w:rFonts w:ascii="EC Square Sans Pro" w:eastAsia="EC Square Sans Pro" w:hAnsi="EC Square Sans Pro" w:cstheme="min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536"/>
        <w:tab w:val="right" w:pos="9072"/>
      </w:tabs>
      <w:spacing w:line="240" w:lineRule="auto"/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rPr>
      <w:rFonts w:eastAsia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536"/>
        <w:tab w:val="right" w:pos="9072"/>
      </w:tabs>
      <w:spacing w:line="240" w:lineRule="auto"/>
    </w:pPr>
    <w:rPr>
      <w:rFonts w:eastAsia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sz w:val="20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line="240" w:lineRule="auto"/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line="240" w:lineRule="auto"/>
      <w:ind w:left="-850" w:right="-850"/>
      <w:outlineLvl w:val="1"/>
    </w:pPr>
    <w:rPr>
      <w:rFonts w:eastAsia="EC Square Sans Pro"/>
      <w:bCs/>
      <w:color w:val="164194"/>
      <w:szCs w:val="28"/>
      <w:lang w:eastAsia="en-GB"/>
    </w:rPr>
  </w:style>
  <w:style w:type="character" w:customStyle="1" w:styleId="FooterCoverPageChar">
    <w:name w:val="Footer Cover Page Char"/>
    <w:basedOn w:val="DefaultParagraphFont"/>
    <w:link w:val="FooterCoverPage"/>
    <w:rPr>
      <w:rFonts w:eastAsia="EC Square Sans Pro"/>
      <w:bCs/>
      <w:color w:val="164194"/>
      <w:szCs w:val="28"/>
      <w:lang w:eastAsia="en-GB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after="120" w:line="240" w:lineRule="auto"/>
      <w:jc w:val="both"/>
      <w:outlineLvl w:val="1"/>
    </w:pPr>
    <w:rPr>
      <w:rFonts w:eastAsia="EC Square Sans Pro"/>
      <w:bCs/>
      <w:color w:val="164194"/>
      <w:szCs w:val="28"/>
      <w:lang w:eastAsia="en-GB"/>
    </w:rPr>
  </w:style>
  <w:style w:type="character" w:customStyle="1" w:styleId="HeaderCoverPageChar">
    <w:name w:val="Header Cover Page Char"/>
    <w:basedOn w:val="DefaultParagraphFont"/>
    <w:link w:val="HeaderCoverPage"/>
    <w:rPr>
      <w:rFonts w:eastAsia="EC Square Sans Pro"/>
      <w:bCs/>
      <w:color w:val="164194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EC Square Sans Pro" w:eastAsia="EC Square Sans Pro" w:hAnsi="EC Square Sans Pro" w:cstheme="minorBid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580</Words>
  <Characters>3674</Characters>
  <Application>Microsoft Office Word</Application>
  <DocSecurity>0</DocSecurity>
  <Lines>244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Heilemann</dc:creator>
  <cp:lastModifiedBy>DIGIT/A3</cp:lastModifiedBy>
  <cp:revision>14</cp:revision>
  <dcterms:created xsi:type="dcterms:W3CDTF">2017-03-01T11:11:00Z</dcterms:created>
  <dcterms:modified xsi:type="dcterms:W3CDTF">2017-03-02T15:19:00Z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2</vt:lpwstr>
  </property>
  <property fmtid="{D5CDD505-2E9C-101B-9397-08002B2CF9AE}" pid="3" name="Last annex">
    <vt:lpwstr>2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