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4A91E0AF12A4734A7CCA08644D67B4B"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bdr w:val="none" w:sz="0" w:space="0" w:color="auto" w:frame="1"/>
        </w:rPr>
        <w:t>•</w:t>
      </w:r>
      <w:r>
        <w:rPr>
          <w:noProof/>
        </w:rPr>
        <w:tab/>
        <w:t>Αιτιολόγηση και στόχοι της πρότασης</w:t>
      </w:r>
    </w:p>
    <w:p>
      <w:pPr>
        <w:rPr>
          <w:rFonts w:eastAsia="Arial Unicode MS"/>
          <w:noProof/>
          <w:color w:val="000000"/>
        </w:rPr>
      </w:pPr>
      <w:r>
        <w:rPr>
          <w:noProof/>
        </w:rPr>
        <w:t>Η ανάγκη για στατιστικά στοιχεία σχετικά με τις επιχειρήσεις για τη χάραξη πολιτικής και άλλους σκοπούς αυξάνεται. Το ευρωπαϊκό στατιστικό σύστημα (ΕΣΣ)</w:t>
      </w:r>
      <w:r>
        <w:rPr>
          <w:rStyle w:val="FootnoteReference"/>
          <w:noProof/>
        </w:rPr>
        <w:footnoteReference w:id="2"/>
      </w:r>
      <w:r>
        <w:rPr>
          <w:noProof/>
        </w:rPr>
        <w:t xml:space="preserve"> αναμένεται να προσφέρει υψηλής ποιότητας στατιστικά στοιχεία στον τομέα αυτό, έγκαιρα και με δυνατότητα σύγκρισης μεταξύ των κρατών μελών. Η διάδοση των στατιστικών για τις επιχειρήσεις του ΕΣΣ θα πρέπει να αποτελέσει τη βάση για τη λήψη αποφάσεων σχετικά με την οικονομία της αγοράς βασιζόμενη στη γνώση και την καινοτομία, με στόχο τη βελτίωση της πρόσβασης στην ενιαία αγορά για τις μικρές και τις μεσαίες επιχειρήσεις και την τόνωση της επιχειρηματικότητας και της ανταγωνιστικότητας.</w:t>
      </w:r>
    </w:p>
    <w:p>
      <w:pPr>
        <w:rPr>
          <w:noProof/>
        </w:rPr>
      </w:pPr>
      <w:r>
        <w:rPr>
          <w:noProof/>
        </w:rPr>
        <w:t>Το σχέδιο κανονισμού για τις ευρωπαϊκές στατιστικές επιχειρήσεων, που τροποποιεί τον κανονισμό (ΕΚ) αριθ. 184/2005 και καταργεί 10 νομικές πράξεις στον τομέα των στατιστικών για τις επιχειρήσεις (FRIBS), αποτελεί μέρος του προγράμματος REFIT, του ρυθμιστικού προγράμματος καταλληλότητας και της αποτελεσματικότητας της Ευρωπαϊκής Επιτροπής για την απλούστευση της ενωσιακής νομοθεσίας και τη μείωση του περιττού ρυθμιστικού κόστους, το οποίο έχει εντοπίσει τις στατιστικές για τις επιχειρήσεις ως έναν από τους τομείς προτεραιότητας. Το σχέδιο κανονισμού προβλέπει την ενσωμάτωση των στατιστικών απαιτήσεων και νομικών πράξεων όσον αφορά τις στατιστικές για τις επιχειρήσεις μέσω της βελτιστοποίησης και της απλούστευσής τους, καθώς και της μείωσης της επιβάρυνσης για τις επιχειρήσεις.</w:t>
      </w:r>
    </w:p>
    <w:p>
      <w:pPr>
        <w:rPr>
          <w:noProof/>
        </w:rPr>
      </w:pPr>
      <w:r>
        <w:rPr>
          <w:noProof/>
        </w:rPr>
        <w:t xml:space="preserve">Το ισχύον σύστημα για την παραγωγή ευρωπαϊκών στατιστικών για τις επιχειρήσεις είναι κατακερματισμένο σε ξεχωριστές κανονιστικές διατάξεις ειδικές ανά τομέα. Αυτό οδηγεί σε αντιφάσεις όσον αφορά τα στοιχεία που συλλέχθηκαν και σε αναποτελεσματικότητες κατά την παραγωγή τους. Το FRIBS θα εξασφαλίσει ένα κοινό νομικό πλαίσιο για την παραγωγή και τη συλλογή στατιστικών του ΕΣΣ για τις επιχειρήσεις. Αναμένεται να έχει ως αποτέλεσμα: καλύτερη ποιότητα των μητρώων επιχειρήσεων του ΕΣΣ, κοινούς ορισμούς που πρέπει να χρησιμοποιούνται σε όλους τους στατιστικούς τομείς που καλύπτει, την ανταλλαγή αναγνωρίσιμων μικροδεδομένων και μια ολοκληρωμένη δομή στοιχείων. Αυτό θα πρέπει να οδηγήσει στον εξορθολογισμό των εθνικών διαδικασιών παραγωγής στατιστικών, στην καλύτερη χρήση των υφιστάμενων πηγών στοιχείων και στη μείωση της στατιστικής επιβάρυνσης των απαντησάντων κατά την κατάρτιση των στατιστικών του ΕΣΣ για τις επιχειρήσεις. Επιπλέον, το FRIBS θα δημιουργήσει εναρμονισμένες δομές στοιχείων και κοινά πρότυπα ποιότητας στοιχείων που θα δώσουν τη δυνατότητα σύνδεσης των διαφορετικών στατιστικών για τις επιχειρήσεις, καθιστώντας τις πληροφορίες που συλλέγονται ακόμη πολυτιμότερες. </w:t>
      </w:r>
    </w:p>
    <w:p>
      <w:pPr>
        <w:pStyle w:val="ManualHeading2"/>
        <w:rPr>
          <w:noProof/>
          <w:color w:val="000000"/>
          <w:bdr w:val="none" w:sz="0" w:space="0" w:color="auto" w:frame="1"/>
        </w:rPr>
      </w:pPr>
      <w:r>
        <w:rPr>
          <w:noProof/>
          <w:color w:val="000000"/>
          <w:bdr w:val="none" w:sz="0" w:space="0" w:color="auto" w:frame="1"/>
        </w:rPr>
        <w:t>•</w:t>
      </w:r>
      <w:r>
        <w:rPr>
          <w:noProof/>
        </w:rPr>
        <w:tab/>
        <w:t>Συνοχή με ισχύουσες διατάξεις στον τομέα πολιτικής</w:t>
      </w:r>
    </w:p>
    <w:p>
      <w:pPr>
        <w:rPr>
          <w:noProof/>
        </w:rPr>
      </w:pPr>
      <w:r>
        <w:rPr>
          <w:noProof/>
        </w:rPr>
        <w:t>Οι αξιόπιστες και υψηλής ποιότητας στατιστικές γίνονται όλο και πιο απαραίτητες ώστε οι υπεύθυνοι για τη χάραξη πολιτικής και οι επιχειρήσεις να μπορούν να λαμβάνουν τεκμηριωμένες αποφάσεις. Ωστόσο, στο σημερινό πλαίσιο της αυξανόμενης πίεσης στους ανθρώπινους και οικονομικούς πόρους που διατίθενται για την παραγωγή στατιστικών, ο ολοένα αυξανόμενος όγκος στατιστικών υψηλής ποιότητας που απαιτείται έχει αναδειχθεί σε μείζονα πρόκληση για το ΕΣΣ. Ταυτόχρονα, το ΕΣΣ αντιμετωπίζει απαιτεί από τους παρόχους στοιχείων (οι απαντήσαντες – επιχειρήσεις) να μειωθεί η διοικητική επιβάρυνση. Προκειμένου να ανταποκριθεί σε αυτές τις προκλήσεις, η Επιτροπή (Eurostat) έλαβε πρόσφατα ορισμένες πρωτοβουλίες που σκοπό έχουν να διασφαλίσουν την αποδοτικότερη παραγωγή ευρωπαϊκών στατιστικών και να μειωθεί η επιβάρυνση για τους απαντήσαντες με την απλούστευση και τη βελτίωση του συντονισμού και της συνεργασίας στο πλαίσιο του ΕΣΣ. Παράδειγμα αποτελεί ο κανονισμός (ΕΚ) αριθ. 223/2009 σχετικά με τις ευρωπαϊκές στατιστικές, ο οποίος τροποποιήθηκε το 2015 για την αποσαφήνιση της διακυβέρνησης του ΕΣΣ και την ενίσχυση των μέσων συντονισμού και συνεργασίας τόσο σε ενωσιακό όσο και σε εθνικό επίπεδο. Άλλες παρόμοιες πρωτοβουλίες, για παράδειγμα στον τομέα των κοινωνικών στατιστικών, περιλαμβάνονται στο πρόγραμμα REFIT της Επιτροπής και αποσκοπούν στην απλοποίηση και τον εξορθολογισμό της παραγωγής ευρωπαϊκών στατιστικών εντός των στοχευμένων τομέων.</w:t>
      </w:r>
    </w:p>
    <w:p>
      <w:pPr>
        <w:rPr>
          <w:noProof/>
        </w:rPr>
      </w:pPr>
      <w:r>
        <w:rPr>
          <w:noProof/>
        </w:rPr>
        <w:t>Οι στατιστικές για τις επιχειρήσεις αποτελούν έναν από τους τρεις πυλώνες του ΕΣΣ στο ευρωπαϊκό στατιστικό πρόγραμμα για την περίοδο 2013-2017</w:t>
      </w:r>
      <w:r>
        <w:rPr>
          <w:rStyle w:val="FootnoteReference"/>
          <w:noProof/>
        </w:rPr>
        <w:footnoteReference w:id="3"/>
      </w:r>
      <w:r>
        <w:rPr>
          <w:noProof/>
        </w:rPr>
        <w:t xml:space="preserve">. Κάθε πυλώνας καλύπτει ένα σύνολο πρωτογενών στατιστικών που εξυπηρετούν πολλαπλές ανάγκες και αποτελεί τη βάση για λογιστικά συστήματα (π.χ. εθνικοί λογαριασμοί ή ισοζύγιο πληρωμών), καθώς και τη βάση για τους δείκτες ποικίλων αναγκών πολιτικής. Το όραμα του ΕΣΣ για το 2020 που ενέκρινε η επιτροπή του ΕΣΣ τον Μάιο του 2014 είναι η στρατηγική απάντηση του ΕΣΣ στις προκλήσεις που συνδέονται με τις επίσημες στατιστικές. Υπογραμμίζει ότι θα πρέπει να είναι δυνατή η χρήση στοιχείων στους διάφορους στατιστικούς τομείς ώστε να καθίσταται δυνατή η αποτελεσματικότερη ανάλυση νεοεμφανιζόμενων φαινομένων (π.χ. παγκοσμιοποίηση) και η καλύτερη εξυπηρέτηση των πολιτικών της ΕΕ με σημαντικό αντίκτυπο. Η παραγωγή στοιχείων θα πρέπει να βασίζεται σε αποτελεσματικές και στέρεες στατιστικές διαδικασίες. Το πρόγραμμα για τον εκσυγχρονισμό των ευρωπαϊκών στατιστικών επιχειρήσεων και εμπορίου (πρόγραμμα MEETS) προετοίμασε την εφαρμογή του οράματος του ΕΣΣ για το 2020 στον τομέα των στατιστικών επιχειρήσεων και εμπορίου. Δρομολογήθηκαν διάφορες ενέργειες με στόχο την ολοκλήρωση, την απλούστευση, τη σύνδεση στοιχείων και την ανάπτυξη εναρμονισμένων μεθοδολογιών. </w:t>
      </w:r>
    </w:p>
    <w:p>
      <w:pPr>
        <w:pStyle w:val="ManualHeading2"/>
        <w:rPr>
          <w:noProof/>
          <w:color w:val="000000"/>
        </w:rPr>
      </w:pPr>
      <w:r>
        <w:rPr>
          <w:noProof/>
          <w:color w:val="000000"/>
          <w:bdr w:val="none" w:sz="0" w:space="0" w:color="auto" w:frame="1"/>
        </w:rPr>
        <w:t>•</w:t>
      </w:r>
      <w:r>
        <w:rPr>
          <w:noProof/>
        </w:rPr>
        <w:tab/>
      </w:r>
      <w:r>
        <w:rPr>
          <w:noProof/>
          <w:color w:val="000000"/>
        </w:rPr>
        <w:t>Συνοχή με άλλες πολιτικές της Ένωσης</w:t>
      </w:r>
    </w:p>
    <w:p>
      <w:pPr>
        <w:rPr>
          <w:noProof/>
        </w:rPr>
      </w:pPr>
      <w:r>
        <w:rPr>
          <w:noProof/>
        </w:rPr>
        <w:t>Ένας από τους στόχους του FRIBS είναι η παροχή πρόσφορων στατιστικών στοιχείων τα οποία συμβάλουν στη διαμόρφωση και την παρακολούθηση των πολιτικών της ΕΕ που επηρεάζουν τις επιχειρήσεις.</w:t>
      </w:r>
    </w:p>
    <w:p>
      <w:pPr>
        <w:rPr>
          <w:noProof/>
        </w:rPr>
      </w:pPr>
      <w:r>
        <w:rPr>
          <w:noProof/>
        </w:rPr>
        <w:t>Ειδικότερα, η παρακολούθηση της προόδου προς την επίτευξη των 10 προτεραιοτήτων που έχει ορίσει η Ευρωπαϊκή Επιτροπή ιδίως όσον αφορά την απασχόληση, την ανάπτυξη και τις επενδύσεις, την ψηφιακή ενιαία αγορά, την εσωτερική αγορά και τις εμπορικές συμφωνίες της ΕΕ, απαιτεί εναρμονισμένα και συγκρίσιμα ευρωπαϊκά στατιστικά στοιχεία τα οποία:</w:t>
      </w:r>
    </w:p>
    <w:p>
      <w:pPr>
        <w:pStyle w:val="Bullet0"/>
        <w:numPr>
          <w:ilvl w:val="0"/>
          <w:numId w:val="11"/>
        </w:numPr>
        <w:rPr>
          <w:noProof/>
        </w:rPr>
      </w:pPr>
      <w:r>
        <w:rPr>
          <w:noProof/>
        </w:rPr>
        <w:t>οι αρμόδιοι για τη λήψη αποφάσεων μπορούν να αξιοποιήσουν για να σχεδιάσουν πολιτικές πρωτοβουλίες που πληρούν τους στόχους της Επιτροπής και να παρακολουθούν την εφαρμογή τους·</w:t>
      </w:r>
    </w:p>
    <w:p>
      <w:pPr>
        <w:pStyle w:val="Bullet0"/>
        <w:rPr>
          <w:noProof/>
        </w:rPr>
      </w:pPr>
      <w:r>
        <w:rPr>
          <w:noProof/>
        </w:rPr>
        <w:t>τα μέσα ενημέρωσης μπορούν να χρησιμοποιήσουν όταν καλύπτουν τους τομείς που καλύπτουν οι 10 προτεραιότητες.</w:t>
      </w:r>
    </w:p>
    <w:p>
      <w:pPr>
        <w:pStyle w:val="ManualHeading1"/>
        <w:rPr>
          <w:noProof/>
          <w:color w:val="000000"/>
        </w:rPr>
      </w:pPr>
      <w:r>
        <w:rPr>
          <w:noProof/>
          <w:color w:val="000000"/>
        </w:rPr>
        <w:t>2.</w:t>
      </w:r>
      <w:r>
        <w:rPr>
          <w:noProof/>
        </w:rPr>
        <w:tab/>
      </w:r>
      <w:r>
        <w:rPr>
          <w:noProof/>
          <w:color w:val="000000"/>
        </w:rPr>
        <w:t>ΝΟΜΙΚΗ ΒΑΣΗ, ΕΠΙΚΟΥΡΙΚΟΤΗΤΑ ΚΑΙ ΑΝΑΛΟΓΙΚΟΤΗΤΑ</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Νομική βάση</w:t>
      </w:r>
    </w:p>
    <w:p>
      <w:pPr>
        <w:rPr>
          <w:noProof/>
        </w:rPr>
      </w:pPr>
      <w:r>
        <w:rPr>
          <w:noProof/>
        </w:rPr>
        <w:t xml:space="preserve">Το άρθρο 338 της συνθήκης για τη λειτουργία της Ευρωπαϊκής Ένωσης παρέχει τη νομική βάση για τις ευρωπαϊκές στατιστικές. Βάσει του εν λόγω άρθρου, οι νομοθέτες της ΕΕ εγκρίνουν μέτρα για την παραγωγή στατιστικών εφόσον απαιτείται για την εκτέλεση των δραστηριοτήτων της Ένωσης.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 xml:space="preserve">Επικουρικότητα (σε περίπτωση μη αποκλειστικής αρμοδιότητας) </w:t>
      </w:r>
    </w:p>
    <w:p>
      <w:pPr>
        <w:rPr>
          <w:noProof/>
        </w:rPr>
      </w:pPr>
      <w:r>
        <w:rPr>
          <w:noProof/>
        </w:rPr>
        <w:t>Δεδομένου ότι η πρόταση δεν εμπίπτει στην αποκλειστική αρμοδιότητα της ΕΕ, εφαρμόζεται η αρχή της επικουρικότητας. Στο πλαίσιο του ευρωπαϊκού στατιστικού συστήματος, τα κράτη μέλη διασφαλίζουν την πραγματική συλλογή στατιστικών πληροφοριών σε εθνικό επίπεδο. Για την κατάρτιση των στατιστικών για τις επιχειρήσεις σε ευρωπαϊκό επίπεδο, απαιτείται εναρμονισμένη μεθοδολογία και ο ορισμός ενός κοινού προϊόντος που πρέπει να παραδοθεί από τα κράτη μέλη. Μόνο η Επιτροπή μπορεί να συντονίσει την αναγκαία εναρμόνιση των στατιστικών πληροφοριών σε όλα τα κράτη μέλη και να παραγάγει τις στατιστικές για τις επιχειρήσεις σε ευρωπαϊκό επίπεδο βάσει της κατάρτισης των στοιχείων που διενεργούν τα κράτη μέλη. Συνεπώς, η Ένωση μπορεί να εγκρίνει μέτρα, σύμφωνα με την αρχή της επικουρικότητας, όπως ορίζεται στο άρθρο 5 της Συνθήκης για την Ευρωπαϊκή Ένωση. Έτσι, η προτεινόμενη δράση της ΕΕ είναι απολύτως δικαιολογημένη. Αυτό μπορεί να επιτευχθεί πλήρως μόνο με την ανάληψη δράσης σε επίπεδο ΕΕ.</w:t>
      </w:r>
    </w:p>
    <w:p>
      <w:pPr>
        <w:rPr>
          <w:noProof/>
        </w:rPr>
      </w:pPr>
      <w:r>
        <w:rPr>
          <w:noProof/>
        </w:rPr>
        <w:t>Επιπλέον, η καλύτερη παρακολούθηση της παγκοσμιοποίησης, με βάση την καλύτερη γνώση των ομίλων πολυεθνικών επιχειρήσεων μπορεί να επιτευχθεί μόνον σε ευρωπαϊκό επίπεδο.</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Αναλογικότητα</w:t>
      </w:r>
    </w:p>
    <w:p>
      <w:pPr>
        <w:rPr>
          <w:noProof/>
        </w:rPr>
      </w:pPr>
      <w:r>
        <w:rPr>
          <w:noProof/>
        </w:rPr>
        <w:t>Η πρόταση είναι σύμφωνη με την αρχή της αναλογικότητας για τον/τους εξής λόγο/-ους:</w:t>
      </w:r>
    </w:p>
    <w:p>
      <w:pPr>
        <w:rPr>
          <w:noProof/>
        </w:rPr>
      </w:pPr>
      <w:r>
        <w:rPr>
          <w:noProof/>
        </w:rPr>
        <w:t xml:space="preserve">Θα διασφαλίσει την ποιότητα των ευρωπαϊκών κοινωνικών στατιστικών, συμπεριλαμβανομένων της συγκρισιμότητας, της καταλληλότητας και της δυνατότητας ανταπόκρισης με εναρμονισμένο τρόπο σε όλα τα κράτη μέλη με βάση τις ίδιες αρχές. Αυτό θα οδηγήσει σε μεγαλύτερη αποδοτικότητα ως προς το κόστος, ενώ, παράλληλα, θα ληφθούν υπόψη οι ιδιαιτερότητες των συστημάτων των κρατών μελών. </w:t>
      </w:r>
    </w:p>
    <w:p>
      <w:pPr>
        <w:rPr>
          <w:noProof/>
        </w:rPr>
      </w:pPr>
      <w:r>
        <w:rPr>
          <w:noProof/>
        </w:rPr>
        <w:t>Η τυποποίηση των εννοιών και των μεθόδων, η αφαίρεση των επικαλύψεων και η δυνατότητα μεγαλύτερης χρήσης του συνδυασμού πηγών άλλων εκτός από τις έρευνες θα πρέπει να μειώσει την οικονομική και διοικητική επιβάρυνση για τους απαντήσαντες. Ο κανονισμός FRIBS είναι σε μεγάλο βαθμό προσανατολισμένος στο αποτέλεσμα υπό την έννοια ότι τα κράτη μέλη είναι ελεύθερα ως προς την επιλογή της εισαγωγής (πηγές στοιχείων) στον βαθμό που υλοποιούν την παραγωγή (στατιστικές) που συμμορφώνεται με τους συμφωνημένους ορισμούς και τα συμφωνηθέντα ποιοτικά πρότυπα. Τα κράτη μέλη ενθαρρύνονται να χρησιμοποιούν, στο μέτρο του δυνατού, υφιστάμενες διοικητικές πηγές ή καινοτόμες πηγές χρηματοδότησης όπως τα μαζικά στοιχεία, ώστε να ανταποκρίνονται στις στατιστικές ανάγκες. Νέες απαιτήσεις στοιχείων που εισάγονται στον κανονισμό FRIBS έχουν υποβληθεί σε δοκιμές με πιλοτικές μελέτες προκειμένου να αποδειχθεί η σκοπιμότητά τους.</w:t>
      </w:r>
    </w:p>
    <w:p>
      <w:pPr>
        <w:rPr>
          <w:noProof/>
        </w:rPr>
      </w:pPr>
      <w:r>
        <w:rPr>
          <w:noProof/>
        </w:rPr>
        <w:t>Οι τρέχουσες νομοθετικές πράξεις της ΕΕ για τις στατιστικές των επιχειρήσεων έχουν τροποποιηθεί αρκετές φορές τα τελευταία χρόνια. Κατ’ αυτόν τον τρόπο έχει καταστεί σαφές ότι ένας κανονισμός που θεσπίζει κοινό πλαίσιο όσον αφορά τη διαδικασία συλλογής, επεξεργασίας και διάδοσης στατιστικών στοιχείων όσον αφορά τις επιχειρήσεις θα μπορούσε να καταστήσει τη διαδικασία αυτή αποδοτικότερη (χαμηλότερος λόγος κόστους προς όφελος) και αποτελεσματικότερη.</w:t>
      </w:r>
    </w:p>
    <w:p>
      <w:pPr>
        <w:rPr>
          <w:noProof/>
          <w:color w:val="000000"/>
        </w:rPr>
      </w:pPr>
      <w:r>
        <w:rPr>
          <w:noProof/>
        </w:rPr>
        <w:t xml:space="preserve">Επομένως, σύμφωνα με την αρχή της αναλογικότητας, ο προτεινόμενος κανονισμός περιορίζεται στα ελάχιστα απαιτούμενα για την επίτευξη των στόχων του και δεν υπερβαίνει τα αναγκαία όρια για τον σκοπό αυτό. </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Επιλογή μέσου</w:t>
      </w:r>
    </w:p>
    <w:p>
      <w:pPr>
        <w:autoSpaceDE w:val="0"/>
        <w:autoSpaceDN w:val="0"/>
        <w:adjustRightInd w:val="0"/>
        <w:spacing w:after="0"/>
        <w:rPr>
          <w:noProof/>
          <w:color w:val="000000"/>
          <w:szCs w:val="24"/>
        </w:rPr>
      </w:pPr>
      <w:r>
        <w:rPr>
          <w:noProof/>
          <w:color w:val="000000"/>
        </w:rPr>
        <w:t>Προτεινόμενο μέσο: κανονισμός.</w:t>
      </w:r>
    </w:p>
    <w:p>
      <w:pPr>
        <w:rPr>
          <w:noProof/>
          <w:color w:val="000000"/>
          <w:szCs w:val="24"/>
        </w:rPr>
      </w:pPr>
      <w:r>
        <w:rPr>
          <w:noProof/>
          <w:color w:val="000000"/>
        </w:rPr>
        <w:t xml:space="preserve">Δεδομένων των στόχων και του περιεχομένου της πρότασης, ο κανονισμός είναι το πλέον κατάλληλο μέσο. </w:t>
      </w:r>
    </w:p>
    <w:p>
      <w:pPr>
        <w:autoSpaceDE w:val="0"/>
        <w:autoSpaceDN w:val="0"/>
        <w:adjustRightInd w:val="0"/>
        <w:spacing w:after="0"/>
        <w:rPr>
          <w:noProof/>
        </w:rPr>
      </w:pPr>
      <w:r>
        <w:rPr>
          <w:noProof/>
          <w:color w:val="000000"/>
        </w:rPr>
        <w:t>Η επιλογή του κατάλληλου μέσου εξαρτάται από τον νομοθετικό σκοπό. Δεδομένων των αναγκών πληροφόρησης σε ευρωπαϊκό επίπεδο, η τάση με τις ευρωπαϊκές στατιστικές είναι να χρησιμοποιούνται μάλλον κανονισμοί παρά οδηγίες ως βασικές πράξεις. Είναι προτιμότερος ο κανονισμός, επειδή θεσπίζει τις ίδιες νομοθετικές διατάξεις για όλη την Ευρωπαϊκή Ένωση και δεν επιτρέπει στα κράτη μέλη να αποκλίνουν και να τις εφαρμόζουν ατελώς ή επιλεκτικά. Εξασφαλίζει τη συγκρισιμότητα των στοιχείων στο εσωτερικό της ΕΕ για ευρωπαϊκές στατιστικές υψηλής ποιότητας. Εφαρμόζεται άμεσα, γεγονός που σημαίνει ότι δεν είναι απαραίτητο να μεταφερθεί στην εθνική νομοθεσία. Η χρήση κανονισμού είναι σύμφωνη με άλλες ευρωπαϊκές βασικές πράξεις για τις στατιστικές, οι οποίες έχουν εκδοθεί από το 1997 και μετά.</w:t>
      </w:r>
    </w:p>
    <w:p>
      <w:pPr>
        <w:pStyle w:val="ManualHeading1"/>
        <w:rPr>
          <w:noProof/>
          <w:color w:val="000000"/>
        </w:rPr>
      </w:pPr>
      <w:r>
        <w:rPr>
          <w:noProof/>
          <w:color w:val="000000"/>
        </w:rPr>
        <w:t>3.</w:t>
      </w:r>
      <w:r>
        <w:rPr>
          <w:noProof/>
        </w:rPr>
        <w:tab/>
      </w:r>
      <w:r>
        <w:rPr>
          <w:noProof/>
          <w:color w:val="000000"/>
        </w:rPr>
        <w:t>ΑΠΟΤΕΛΕΣΜΑΤΑ ΕΚ ΤΩΝ ΥΣΤΕΡΩΝ ΑΞΙΟΛΟΓΗΣΕΩΝ, ΔΙΑΒΟΥΛΕΥΣΕΩΝ ΜΕ ΤΑ ΕΝΔΙΑΦΕΡΟΜΕΝΑ ΜΕΡΗ ΚΑΙ ΕΚΤΙΜΗΣΕΩΝ ΤΩΝ ΕΠΙΠΤΩΣΕΩΝ</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Εκ των υστέρων αξιολογήσεις / έλεγχοι καταλληλότητας ισχύουσας νομοθεσίας</w:t>
      </w:r>
    </w:p>
    <w:p>
      <w:pPr>
        <w:rPr>
          <w:noProof/>
        </w:rPr>
      </w:pPr>
      <w:r>
        <w:rPr>
          <w:noProof/>
        </w:rPr>
        <w:t>Καθώς η εν λόγω πρωτοβουλία ξεκίνησε πριν από την έκδοση των κατευθυντηρίων γραμμών για βελτίωση της νομοθεσίας, δεν διεξήχθη συγκεκριμένη αξιολόγηση (σύμφωνα με τα πέντε κριτήρια αξιολόγησης) της τρέχουσας κατάστασης για την υποστήριξή της. Με βάση τα πρότυπα της Επιτροπής, ακολουθήθηκε το σύστημα της Eurostat για την αξιολόγηση της ισχύουσας νομοθεσίας, συμπεριλαμβανομένης της αξιολόγησης του ευρωπαϊκού στατιστικού προγράμματος</w:t>
      </w:r>
      <w:r>
        <w:rPr>
          <w:rStyle w:val="FootnoteReference"/>
          <w:noProof/>
        </w:rPr>
        <w:footnoteReference w:id="4"/>
      </w:r>
      <w:r>
        <w:rPr>
          <w:noProof/>
        </w:rPr>
        <w:t>, το οποίο αποτέλεσε κεντρικό σημείο της συνολικής διαδικασίας. Επιπλέον, διεξάγονται ετησίως έρευνες χρηστών προκειμένου να αποκομιστούν βελτιωμένες γνώσεις σχετικά με τους χρήστες, τις ανάγκες τους και την ικανοποίησή τους ως προς τις υπηρεσίες που παρέχονται από την Eurostat. Τα αποτελέσματα της αξιολόγησης χρησιμοποιούνται από την Eurostat για τη βελτίωση της διαδικασίας παραγωγής στατιστικών στοιχείων και των στατιστικών αποτελεσμάτων της. Τα αποτελέσματα αυτά τροφοδοτούν διάφορα στρατηγικά σχέδια, όπως το πρόγραμμα εργασίας και το σχέδιο διαχείρισης.</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Διαβουλεύσεις με ενδιαφερόμενα μέρη</w:t>
      </w:r>
    </w:p>
    <w:p>
      <w:pPr>
        <w:rPr>
          <w:noProof/>
        </w:rPr>
      </w:pPr>
      <w:r>
        <w:rPr>
          <w:noProof/>
        </w:rPr>
        <w:t>Οι κύριες κατηγορίες ενδιαφερομένων για τις ευρωπαϊκές στατιστικές για τις επιχειρήσεις είναι οι χρήστες των στοιχείων (άλλες υπηρεσίες της Επιτροπής, εθνικές στατιστικές αρχές παρακολούθησης του επιχειρηματικού τομέα, οι εθνικές κεντρικές τράπεζες και η Ευρωπαϊκή Κεντρική Τράπεζα, επαγγελματικές ενώσεις και ερευνητές), οι φορείς συγκέντρωσης στατιστικών στοιχείων [εθνικές στατιστικές υπηρεσίες (ΕΣΥ) αλλά και άλλοι φορείς συγκέντρωσης στοιχείων όπως οι εθνικές κεντρικές τράπεζες] και ο πάροχος στοιχείων [επιχειρήσεις (συμπεριλαμβανομένων των ΜΜΕ)].</w:t>
      </w:r>
    </w:p>
    <w:p>
      <w:pPr>
        <w:rPr>
          <w:noProof/>
        </w:rPr>
      </w:pPr>
      <w:r>
        <w:rPr>
          <w:noProof/>
        </w:rPr>
        <w:t>Ο πρώτος γύρος διαβουλεύσεων με τους ενδιαφερομένους, ο οποίος κάλυψε τα στοιχεία υποδομής του FRIBS (όπως τα μητρώα επιχειρήσεων, την ανταλλαγή μικροδεδομένων, τα ζητήματα ποιότητας και το απόρρητο) πραγματοποιήθηκε μεταξύ Ιουλίου και Οκτωβρίου 2014. Ο δεύτερος γύρος ξεκίνησε κατά το δεύτερο εξάμηνο του 2015 και επικεντρώθηκε στις αλλαγές στις απαιτήσεις στοιχείων που πρέπει να θεσπιστούν με το FRIBS. Ο τρίτος γύρος τελικά συγκέντρωσε τις απόψεις των ενδιαφερομένων σχετικά με τον εκσυγχρονισμό των στατιστικών για το ενδοενωσιακό εμπόριο (Intrastat) και πραγματοποιήθηκε το φθινόπωρο του 2015 και κατά το πρώτο τρίμηνο του 2016. Κάθε γύρος περιλάμβανε μια στοχευμένη διαβούλευση των φορέων συγκέντρωσης στοιχείων (εθνικές στατιστικές αρχές) και δημόσια διαβούλευση των παρόχων στοιχείων (επιχειρήσεις). Οι δύο πρώτοι γύροι περιλάμβαναν επίσης δημόσια διαβούλευση με χρήστες των στοιχείων. Τα αποτελέσματα της δημόσιας διαβούλευσης παρατίθενται σε δύο εκθέσεις</w:t>
      </w:r>
      <w:r>
        <w:rPr>
          <w:rStyle w:val="FootnoteReference"/>
          <w:noProof/>
        </w:rPr>
        <w:footnoteReference w:id="5"/>
      </w:r>
      <w:r>
        <w:rPr>
          <w:noProof/>
        </w:rPr>
        <w:t>.</w:t>
      </w:r>
    </w:p>
    <w:p>
      <w:pPr>
        <w:rPr>
          <w:noProof/>
        </w:rPr>
      </w:pPr>
      <w:r>
        <w:rPr>
          <w:noProof/>
        </w:rPr>
        <w:t>Τα κύρια αποτελέσματα των διαβουλεύσεων μπορούν να συνοψιστούν ως εξής:</w:t>
      </w:r>
    </w:p>
    <w:p>
      <w:pPr>
        <w:pStyle w:val="Bullet0"/>
        <w:rPr>
          <w:noProof/>
        </w:rPr>
      </w:pPr>
      <w:r>
        <w:rPr>
          <w:noProof/>
        </w:rPr>
        <w:t>Οι χρήστες των στοιχείων επεσήμαναν προβλήματα ως προς τη συνάφεια των διαθέσιμων στατιστικών για τις επιχειρήσεις και ειδικότερα δυσκολίες όσον αφορά τον συνδυασμό στοιχείων από διαφορετικούς επιχειρηματικούς στατιστικούς τομείς λόγω ασυνεπειών και έλλειψης πληροφοριών σχετικά με θέματα όπως οι υπηρεσίες και η παγκοσμιοποίηση. Ένας ενιαίος εναρμονισμένος κανονισμός θα μπορούσε, κατά την άποψή τους, να αυξήσει τη συνοχή των στατιστικών για τις επιχειρήσεις.</w:t>
      </w:r>
    </w:p>
    <w:p>
      <w:pPr>
        <w:pStyle w:val="Bullet0"/>
        <w:rPr>
          <w:noProof/>
        </w:rPr>
      </w:pPr>
      <w:r>
        <w:rPr>
          <w:noProof/>
        </w:rPr>
        <w:t xml:space="preserve">Οι παραγωγοί στοιχείων (ΕΣΥ) ανησυχούν λόγω του αυξημένου κόστους παραγωγής που συνδέεται με την εκπλήρωση των νέων απαιτήσεων στοιχείων οι οποίες προκύπτουν από το FRIBS αλλά ανταποκρίνονται στις ανάγκες των χρηστών. </w:t>
      </w:r>
    </w:p>
    <w:p>
      <w:pPr>
        <w:pStyle w:val="Bullet0"/>
        <w:rPr>
          <w:noProof/>
        </w:rPr>
      </w:pPr>
      <w:r>
        <w:rPr>
          <w:noProof/>
        </w:rPr>
        <w:t xml:space="preserve">Οι πάροχοι στοιχείων ανησυχούν λόγω της αύξησης της επιβάρυνσης που προκύπτει από τις συμπληρωματικές ανάγκες στοιχείων. Οι στοχευμένες διαβουλεύσεις παρείχαν αποδεικτικά στοιχεία ότι ο εκσυγχρονισμός των στατιστικών για το ενδοενωσιακό εμπόριο θα υπεραντισταθμίσει την αύξηση αυτή. </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Συγκέντρωση και χρήση εμπειρογνωμοσύνης</w:t>
      </w:r>
    </w:p>
    <w:p>
      <w:pPr>
        <w:rPr>
          <w:noProof/>
        </w:rPr>
      </w:pPr>
      <w:r>
        <w:rPr>
          <w:noProof/>
        </w:rPr>
        <w:t xml:space="preserve">Το σχέδιο FRIBS συζητήθηκε σε πολλές συνεδριάσεις με τους εθνικούς εμπειρογνώμονες και καλύπτει όχι μόνο τις στατιστικές για τις επιχειρήσεις, αλλά και μακροοικονομικές στατιστικές, εθνικούς λογαριασμούς και στατιστικές για το ισοζύγιο πληρωμών. Στην επιτροπή του ευρωπαϊκού στατιστικού συστήματος (ΕΕΣΣ) που θεσπίστηκε κατ’ εφαρμογή του κανονισμού (ΕΚ) αριθ. 223/2009 υποβάλλονται τακτικά εκθέσεις προόδου σχετικά με το σχέδιο. </w:t>
      </w:r>
    </w:p>
    <w:p>
      <w:pPr>
        <w:rPr>
          <w:noProof/>
        </w:rPr>
      </w:pPr>
      <w:r>
        <w:rPr>
          <w:noProof/>
        </w:rPr>
        <w:t xml:space="preserve">Οι διαβουλεύσεις με τα ενδιαφερόμενα μέρη που περιγράφονται ανωτέρω, οι οποίες περιλαμβάνουν τους χρήστες των στοιχείων και του παρόχους στοιχείων, αποτέλεσαν μια πρόσθετη πηγή εξωτερικών αποδεικτικών στοιχείων.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Εκτίμηση επιπτώσεων</w:t>
      </w:r>
    </w:p>
    <w:p>
      <w:pPr>
        <w:rPr>
          <w:noProof/>
        </w:rPr>
      </w:pPr>
      <w:r>
        <w:rPr>
          <w:noProof/>
        </w:rPr>
        <w:t>Η παρούσα πρόταση συνοδεύεται από έκθεση εκτίμησης επιπτώσεων, η οποία εντοπίζει τα προβλήματα, πραγματεύεται διάφορες επιλογές πολιτικής για την αντιμετώπισή τους και, τέλος, εκτιμά τον αντίκτυπο των επιλογών πολιτικής.</w:t>
      </w:r>
    </w:p>
    <w:p>
      <w:pPr>
        <w:rPr>
          <w:noProof/>
        </w:rPr>
      </w:pPr>
      <w:r>
        <w:rPr>
          <w:noProof/>
        </w:rPr>
        <w:t>Η επιτροπή ρυθμιστικού ελέγχου εξέδωσε τον Μάρτιο του 2016 θετική γνωμοδότηση για την εκτίμηση επιπτώσεων τον Ιούνιο του 2016 (</w:t>
      </w:r>
      <w:hyperlink r:id="rId11" w:anchor="estat">
        <w:r>
          <w:rPr>
            <w:rStyle w:val="Hyperlink"/>
            <w:noProof/>
          </w:rPr>
          <w:t>http://ec.europa.eu/smart-regulation/impact/ia_carried_out/cia_2016_en.htm#estat</w:t>
        </w:r>
      </w:hyperlink>
      <w:r>
        <w:rPr>
          <w:noProof/>
        </w:rPr>
        <w:t>).</w:t>
      </w:r>
    </w:p>
    <w:p>
      <w:pPr>
        <w:rPr>
          <w:noProof/>
        </w:rPr>
      </w:pPr>
      <w:r>
        <w:rPr>
          <w:noProof/>
        </w:rPr>
        <w:t>Η εκτίμηση επιπτώσεων εντόπισε δύο βασικές αιτίες προβλημάτων:</w:t>
      </w:r>
    </w:p>
    <w:p>
      <w:pPr>
        <w:rPr>
          <w:noProof/>
        </w:rPr>
      </w:pPr>
      <w:r>
        <w:rPr>
          <w:noProof/>
        </w:rPr>
        <w:t>1)</w:t>
      </w:r>
      <w:r>
        <w:rPr>
          <w:noProof/>
        </w:rPr>
        <w:tab/>
        <w:t>Μειωμένη σημασία και δυνατότητα ανταπόκρισης των ευρωπαϊκών στατιστικών για τις επιχειρήσεις</w:t>
      </w:r>
    </w:p>
    <w:p>
      <w:pPr>
        <w:rPr>
          <w:noProof/>
        </w:rPr>
      </w:pPr>
      <w:r>
        <w:rPr>
          <w:noProof/>
        </w:rPr>
        <w:t>2)</w:t>
      </w:r>
      <w:r>
        <w:rPr>
          <w:noProof/>
        </w:rPr>
        <w:tab/>
        <w:t xml:space="preserve">Νομικός κατακερματισμός στις στατιστικές για τις επιχειρήσεις </w:t>
      </w:r>
    </w:p>
    <w:p>
      <w:pPr>
        <w:rPr>
          <w:noProof/>
        </w:rPr>
      </w:pPr>
      <w:r>
        <w:rPr>
          <w:noProof/>
        </w:rPr>
        <w:t>Για να αντιμετωπιστούν αυτές οι βασικές αιτίες προβλημάτων, εξετάστηκαν οι ακόλουθες επιλογές:</w:t>
      </w:r>
    </w:p>
    <w:p>
      <w:pPr>
        <w:pStyle w:val="Bullet0"/>
        <w:rPr>
          <w:noProof/>
        </w:rPr>
      </w:pPr>
      <w:r>
        <w:rPr>
          <w:noProof/>
        </w:rPr>
        <w:t>Επιλογή Α - Βασικό σενάριο – καμία αλλαγή πολιτικής της ΕΕ.</w:t>
      </w:r>
    </w:p>
    <w:p>
      <w:pPr>
        <w:pStyle w:val="Bullet0"/>
        <w:rPr>
          <w:noProof/>
        </w:rPr>
      </w:pPr>
      <w:r>
        <w:rPr>
          <w:noProof/>
        </w:rPr>
        <w:t>Επιλογή Β - Εφαρμογή νομοθετικών δράσεων που περιορίζονται σε ορισμένους τομείς στατιστικών για τις επιχειρήσεις, συμπεριλαμβανομένων των εναλλακτικών επιλογών για τον εκσυγχρονισμό του συστήματος Intrastat.</w:t>
      </w:r>
    </w:p>
    <w:p>
      <w:pPr>
        <w:pStyle w:val="Bullet0"/>
        <w:rPr>
          <w:noProof/>
        </w:rPr>
      </w:pPr>
      <w:r>
        <w:rPr>
          <w:noProof/>
        </w:rPr>
        <w:t>Επιλογή Γ - Εκσυγχρονισμός των στατιστικών για τις επιχειρήσεις σε ένα ενιαίο πλαίσιο (FRIBS) με τη χρήση ενός συνδυασμού μέτρων, μεταξύ άλλων των εναλλακτικών επιλογών για τον εκσυγχρονισμό του συστήματος Intrastat.</w:t>
      </w:r>
    </w:p>
    <w:p>
      <w:pPr>
        <w:rPr>
          <w:noProof/>
        </w:rPr>
      </w:pPr>
      <w:r>
        <w:rPr>
          <w:noProof/>
        </w:rPr>
        <w:t>Με βάση την εκτίμηση επιπτώσεων, η επιλογή Α δεν φαίνεται αποδεκτή, καθώς οι φορείς χάραξης πολιτικής και οι χρήστες των στοιχείων θα είναι όλο και περισσότερο ανικανοποίητοι από τη διάδοση στοιχείων με αποτέλεσμα να στραφούν σε άλλες πηγές στοιχείων.</w:t>
      </w:r>
    </w:p>
    <w:p>
      <w:pPr>
        <w:rPr>
          <w:noProof/>
        </w:rPr>
      </w:pPr>
      <w:r>
        <w:rPr>
          <w:noProof/>
        </w:rPr>
        <w:t xml:space="preserve">Η επιλογή Β ασχολείται με τον εκσυγχρονισμό, σε ορισμένο βαθμό, του ισχύοντος συστήματος των ευρωπαϊκών στατιστικών για τις επιχειρήσεις, ιδίως για την αναβάθμιση των στοιχείων παραγωγής και την παραγωγή στοιχείων για την πολιτική και άλλους χρήστες. Αυτό ισχύει επίσης και για τον εκσυγχρονισμό του συστήματος Intrastat, γεγονός που θα μειώσει το βάρος στους παρόχους στοιχείων. Ωστόσο, η επιλογή αυτή αφήνει ανεπίλυτη μια σειρά τρεχουσών ελλείψεων. Πρώτον, η διατήρηση 10 ξεχωριστών νομοθετικών πράξεων για τις στατιστικές επιχειρήσεων σημαίνει ότι απαιτούνται περισσότερες προσπάθειες για να μειωθούν οι ανακολουθίες και να διατηρηθεί η συνοχή των στοιχείων και των δεικτών που έχουν παραχθεί για τους χρήστες πολιτικής στο μέλλον, ενώ συνεπάγεται και μεγάλο φόρτο εργασίας για τη διαχείριση και αναπροσαρμογή των εν λόγω νομοθετικών πράξεων. Οι δράσεις βελτίωσης που προτείνονται στην επιλογή αυτή δεν θα δημιουργήσουν πραγματικά μεγαλύτερη ευελιξία και δυνατότητα ανταπόκρισης στις μεταβαλλόμενες πολιτικές και σε άλλες ανάγκες των χρηστών. </w:t>
      </w:r>
    </w:p>
    <w:p>
      <w:pPr>
        <w:rPr>
          <w:noProof/>
        </w:rPr>
      </w:pPr>
      <w:r>
        <w:rPr>
          <w:noProof/>
        </w:rPr>
        <w:t xml:space="preserve">Η επιλογή Γ είναι η πιο προηγμένη και η πιο μακρόπνοη, καθώς εκσυγχρονίζει το σύστημα των ευρωπαϊκών στατιστικών για τις επιχειρήσεις ώστε να καταστεί κατάλληλο για το μέλλον. Οι ευρωπαϊκές στατιστικές για τις επιχειρήσεις θα τεθούν σε έναν ενιαίο νομικό πλαίσιο FRIBS που θα εγγυάται σιωπηρώς πολύ μεγαλύτερη συνοχή των στατιστικών για τις επιχειρήσεις (π.χ. όσον αφορά το χρονοδιάγραμμα των αλλαγών και την εναρμόνιση των ορισμών κ.λπ.). Αυτό επιτρέπει την εξαγωγή μεγαλύτερων οφελών από το σύστημα ESS στο σύνολό του και, ταυτόχρονα, τη μεγιστοποίηση της προστιθέμενης αξίας της ΕΕ. Τα όρια μεταξύ των διαφόρων στατιστικών τομέων θα περιοριστούν ή ακόμα και θα εξαλειφθούν εντελώς. Η ευθυγράμμιση αυτή θα εξυπηρετεί πολύ καλύτερα τις ανάγκες πολιτικής, καθώς θα μπορούν να διαδοθούν πιο εξορθολογισμένοι δείκτες και συνδυασμοί δεικτών. Θα αυξήσει επίσης την ευελιξία του συστήματος, κάτι που δεν είναι δυνατό στο πλαίσιο των δύο προηγούμενων επιλογών. Οι νέες πολιτικές ανάγκες μπορούν να καλυφθούν με λιγότερες καθυστερήσεις και να ενσωματωθούν σε ένα λειτουργικό και καλά σχεδιασμένο σύστημα. Επιπλέον, σε αντίθεση με την επιλογή Β, οι δαπάνες για την προσαρμογή των στατιστικών που διαδίδονται και του υποκείμενου νομικού πλαισίου θα ελαχιστοποιηθούν με την προτιμώμενη επιλογή Γ, καθώς όλες οι αναγκαίες αναθεωρήσεις θα εισαχθούν ευκολότερα με μιας. Το σημαντικότερο είναι ότι η επιλογή Γ έχει – με μεγάλη διαφορά – το μεγαλύτερο δυναμικό μείωσης της επιβάρυνσης για τις επιχειρήσεις. </w:t>
      </w:r>
    </w:p>
    <w:p>
      <w:pPr>
        <w:rPr>
          <w:noProof/>
        </w:rPr>
      </w:pPr>
      <w:r>
        <w:rPr>
          <w:noProof/>
        </w:rPr>
        <w:t>Εν κατακλείδι, όλα αυτά τα πλεονεκτήματα ευνοούν σαφώς την επιλογή Γ. Ανταποκρίνεται καλύτερα στους στόχους του προγράμματος REFIT με την απλοποίηση, τη μείωση της περιττής διοικητικής επιβάρυνσης και την ενοποίηση σε ένα συνεκτικό νομικό πλαίσιο των ετερογενών και αντιφατικών νομικών κειμένων που διέπουν επί του παρόντος τις στατιστικές για τις επιχειρήσεις.</w:t>
      </w:r>
    </w:p>
    <w:p>
      <w:pPr>
        <w:rPr>
          <w:noProof/>
        </w:rPr>
      </w:pPr>
      <w:r>
        <w:rPr>
          <w:noProof/>
        </w:rPr>
        <w:t>Μολονότι εξέφρασε θετική γνώμη, η επιτροπή ρυθμιστικού ελέγχου είχε τρεις κύριες συστάσεις για τη βελτίωση της έκθεσης εκτίμησης επιπτώσεων. Συγκεκριμένα τους εξής:</w:t>
      </w:r>
    </w:p>
    <w:p>
      <w:pPr>
        <w:pStyle w:val="ManualNumPar1"/>
        <w:rPr>
          <w:noProof/>
        </w:rPr>
      </w:pPr>
      <w:r>
        <w:rPr>
          <w:noProof/>
        </w:rPr>
        <w:t>1)</w:t>
      </w:r>
      <w:r>
        <w:rPr>
          <w:noProof/>
        </w:rPr>
        <w:tab/>
        <w:t xml:space="preserve">Το φάσμα των επιλογών που παρουσιάστηκαν και αναλύθηκαν αρχικά θεωρήθηκε ότι δεν ήταν πλήρες, δεδομένου ότι η διαδικασία διαβούλευσης σχετικά με τις πιθανές επιμέρους επιλογές όσον αφορά τον εκσυγχρονισμό των στατιστικών για το ενδοενωσιακό εμπόριο συνεχίζεται μετά την αρχική υποβολή της έκθεσης εκτίμησης επιπτώσεων προς έλεγχο από την επιτροπή ρυθμιστικού ελέγχου. Η Eurostat επικαιροποίησε τον κατάλογο με τις προτεινόμενες πολιτικές επιλογές, οι οποίες αντικατοπτρίζουν τα συμπεράσματα του ΕΕΣΣ σχετικά με τον εκσυγχρονισμό του ενδοενωσιακού εμπορίου. </w:t>
      </w:r>
    </w:p>
    <w:p>
      <w:pPr>
        <w:pStyle w:val="ManualNumPar1"/>
        <w:rPr>
          <w:noProof/>
        </w:rPr>
      </w:pPr>
      <w:r>
        <w:rPr>
          <w:noProof/>
        </w:rPr>
        <w:t xml:space="preserve">2) </w:t>
      </w:r>
      <w:r>
        <w:rPr>
          <w:noProof/>
        </w:rPr>
        <w:tab/>
        <w:t xml:space="preserve">Η ανάλυση σχετικά με τις πιθανές δημοσιονομικές επιπτώσεις στα επιμέρους κράτη μέλη ζητήθηκε να ενισχυθεί και να οριστεί αν ορισμένα κράτη μέλη θα αντιμετώπιζαν μεγαλύτερες δυσκολίες με την εφαρμογή από ό,τι άλλα, και αν έχουν σχεδιαστεί κάποια ανακουφιστικά μέτρα για τα εν λόγω κράτη μέλη. Η Eurostat συμπεριέλαβε περαιτέρω διευκρινίσεις ως προς τις χώρες που επλήγησαν περισσότερο από τις αλλαγές. Επιπλέον, δόθηκαν ορισμένα παραδείγματα που αφορούσαν προβλεπόμενες απλοποιήσεις για τις μικρότερες χώρες και το δυναμικό εξορθολογισμού και εκσυγχρονισμού που προσφέρει το FRIBS, δημιουργώντας μελλοντικές δυνατότητες μείωσης του κόστους. Διευκρινίστηκε, επίσης, ότι η χρηματοδότηση είχε προβλεφθεί (εντός των ορίων του διαθέσιμου προϋπολογισμού) για δράσεις ανάπτυξης νέων συλλογών στοιχείων. </w:t>
      </w:r>
    </w:p>
    <w:p>
      <w:pPr>
        <w:pStyle w:val="ManualNumPar1"/>
        <w:rPr>
          <w:noProof/>
        </w:rPr>
      </w:pPr>
      <w:r>
        <w:rPr>
          <w:noProof/>
        </w:rPr>
        <w:t>3)</w:t>
      </w:r>
      <w:r>
        <w:rPr>
          <w:noProof/>
        </w:rPr>
        <w:tab/>
        <w:t>Η ανάλυση του αντικτύπου της διοικητικής επιβάρυνσης στους παρόχους στοιχείων ζητήθηκε να ενισχυθεί και να προσανατολιστεί περισσότερο προς τις ΜΜΕ, αναφέροντας ταυτόχρονα μέτρα που πρέπει να ληφθούν για την προστασία των ΜΜΕ από τις αυξημένες επιβαρύνσεις. Η Eurostat διευκρίνισε τον αντίκτυπο της διοικητικής επιβάρυνσης για τους παρόχους στοιχείων. Ορισμένες από τις πρόσθετες απαιτήσεις στοιχείων αντιμετώπισης της χρόνιας ανάγκης συγκεκριμένων χρηστών να καταστήσουν δυνατή την παρακολούθηση των δράσεων πολιτικής σε ό,τι αφορά τις ΜΜΕ θα αύξανε πράγματι την επιβάρυνση για τις ΜΜΕ. Ορισμένα παραδείγματα παρέχονται για να εξηγηθεί ότι σε πολλούς τομείς επιχειρηματικών στατιστικών ισχύουν ειδικά μέτρα για να διασφαλιστεί ότι οι ΜΜΕ προστατεύονται από υπερβολική επιβάρυνση και οι φορέων συγκέντρωσης στοιχείων θα καταβάλλουν ιδιαίτερες προσπάθειες για την ελαχιστοποίηση της επιβάρυνσης των ΜΜΕ όσον αφορά τις νέες αυτές απαιτήσεις στοιχείων.</w:t>
      </w:r>
    </w:p>
    <w:p>
      <w:pPr>
        <w:rPr>
          <w:noProof/>
        </w:rPr>
      </w:pPr>
      <w:r>
        <w:rPr>
          <w:noProof/>
        </w:rPr>
        <w:t>Από την έγκριση της έκθεσης εκτίμησης επιπτώσεων έχει ληφθεί η απόφαση, κατόπιν γνώμης της επιτροπής στατιστικών για θέματα νομισματικά, χρηματοπιστωτικά και ισοζυγίου πληρωμών τον Σεπτέμβριο του 2016, για την εξάλειψη των στατιστικών άμεσων ξένων επενδύσεων (ΑΞΕ) από το πεδίο εφαρμογής του κανονισμού FRIBS, διότι η διάσταση των ΑΞΕ που αφορά τις στατιστικές επιχειρήσεων είναι λιγότερο σαφής από ό,τι οι στατιστικές για τις διεθνείς εμπορικές συναλλαγές υπηρεσιών, οι οποίες σήμερα επίσης καλύπτονται από τον κανονισμό για το ισοζύγιο πληρωμών</w:t>
      </w:r>
      <w:r>
        <w:rPr>
          <w:rStyle w:val="FootnoteReference"/>
          <w:noProof/>
        </w:rPr>
        <w:footnoteReference w:id="6"/>
      </w:r>
      <w:r>
        <w:rPr>
          <w:noProof/>
        </w:rPr>
        <w:t>. Οι απαιτήσεις ΑΞΕ, επομένως, θα εξακολουθήσουν να καλύπτονται από αυτόν τον κανονισμό.</w:t>
      </w:r>
      <w:r>
        <w:rPr>
          <w:rStyle w:val="CommentReference"/>
          <w:noProof/>
        </w:rPr>
        <w:t xml:space="preserve"> </w:t>
      </w:r>
      <w:r>
        <w:rPr>
          <w:noProof/>
        </w:rPr>
        <w:t>Αυτό, ωστόσο, δεν μεταβάλλει τα συμπεράσματα της έκθεσης εκτίμησης επιπτώσεων.</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Καταλληλότητα και απλούστευση της νομοθεσίας</w:t>
      </w:r>
    </w:p>
    <w:p>
      <w:pPr>
        <w:rPr>
          <w:noProof/>
        </w:rPr>
      </w:pPr>
      <w:r>
        <w:rPr>
          <w:noProof/>
        </w:rPr>
        <w:t>Η πρόταση πληροί τους στόχους απλούστευσης του προγράμματος REFIT, ιδίως επειδή εξορθολογίζει δέκα κανονισμούς σε ένα ενιαίο ρυθμιστικό πλαίσιο και μειώνει την επιβάρυνση για τις επιχειρήσεις, ιδίως τις ΜΜΕ. Το κόστος εφαρμογής έχει επίσης πλήρως ληφθεί υπόψη και ελέγχεται.</w:t>
      </w:r>
    </w:p>
    <w:p>
      <w:pPr>
        <w:rPr>
          <w:noProof/>
        </w:rPr>
      </w:pPr>
      <w:r>
        <w:rPr>
          <w:noProof/>
        </w:rPr>
        <w:t>Αν και τα κράτη μέλη ενθαρρύνονται να χρησιμοποιούν όσο το δυνατόν περισσότερο διοικητικές και καινοτόμες πηγές εκτός από τις έρευνες, συμπεριλαμβανομένων νέων μεθόδων ή καινοτόμων προσεγγίσεων, η ανταπόκριση στις νέες ανάγκες των χρηστών αυξάνει όντως την επιβάρυνση που βαρύνει τους ανταποκρινόμενους. Ωστόσο, η πρόσθετη αυτή επιβάρυνση αντισταθμίζεται υπέρ το δέον από απλουστεύσεις ιδίως στον τομέα των στατιστικών για το ενδοενωσιακό εμπόριο. Συνολικά, ο κανονισμός FRIBS αναμένεται να συμβάλει σε μείωση της διοικητικής επιβάρυνσης για τις επιχειρήσεις κατά 13,5% ετησίως.</w:t>
      </w:r>
    </w:p>
    <w:p>
      <w:pPr>
        <w:rPr>
          <w:noProof/>
        </w:rPr>
      </w:pPr>
      <w:r>
        <w:rPr>
          <w:noProof/>
        </w:rPr>
        <w:t xml:space="preserve">Ορισμένες από τις πρόσθετες απαιτήσεις στοιχείων που καλύπτει ο κανονισμός FRIBS ενδέχεται να οδηγήσουν σε αύξηση της επιβάρυνσης για τις ΜΜΕ, ιδίως όσον αφορά την επέκταση των επιχειρηματικών στατιστικών ώστε να καλύπτουν υπηρεσίες και δραστηριότητες που δεν καλύπτονταν προηγουμένως. Πρόκειται, ωστόσο, εν μέρει για συνέπεια της αντιμετώπισης μιας μακροχρόνιας συγκεκριμένης ανάγκης των χρηστών να καταστήσουν δυνατή την παρακολούθηση των ευρωπαϊκών και εθνικών πολιτικών δράσεων σε ό,τι αφορά τις ΜΜΕ για τις οποίες δεν υφίστανται επί του παρόντος επαρκείς πληροφορίες, δεδομένου ότι ορισμένες δραστηριότητες και υπηρεσίες που επίσης παρέχουν οι ΜΜΕ δεν καλύπτονται ακόμη. Προκειμένου να περιοριστεί η επιπλέον επιβάρυνση, οι φορείς συγκέντρωσης στοιχείων ενθαρρύνονται να χρησιμοποιούν όσο το δυνατόν περισσότερο τα υφιστάμενα διοικητικά στοιχεία (π.χ. από την εφορία) για να αντιμετωπίζουν αυτό το αίτημα για στοιχεία και να ελαχιστοποιείται η χρήση των ερευνών, ιδιαίτερα για τις ΜΜΕ. </w:t>
      </w:r>
    </w:p>
    <w:p>
      <w:pPr>
        <w:rPr>
          <w:noProof/>
        </w:rPr>
      </w:pPr>
      <w:r>
        <w:rPr>
          <w:noProof/>
        </w:rPr>
        <w:t xml:space="preserve">Οι προβλεπόμενες απλουστεύσεις από τον κανονισμό FRIBS στον τομέα των στατιστικών για το ενδοενωσιακό εμπόριο θα μπορούσε να μειώσει την επιβάρυνση για τις ΜΜΕ. Θα υπάρχουν, ωστόσο, πάντα μεμονωμένες ΜΜΕ που δεν μπορούν να επωφεληθούν από μείωση της επιβάρυνσης και πιθανόν να αντιμετωπίσουν ακόμη και μεγαλύτερη επιβάρυνση. Πράγματι, μολονότι κατά κανόνα μπορεί κανείς να αναμένει να έχει κάποιου είδους συσχέτιση μεταξύ του μεγέθους μιας επιχείρησης και του όγκου των συναλλαγών, οι μικρές επιχειρήσεις μπορούν να έχουν μεγάλο όγκο συναλλαγών, ενώ οι μεγάλες επιχειρήσεις να έχουν πολύ μικρή ή καμία εμπορική δραστηριότητα. </w:t>
      </w:r>
    </w:p>
    <w:p>
      <w:pPr>
        <w:rPr>
          <w:noProof/>
        </w:rPr>
      </w:pPr>
      <w:r>
        <w:rPr>
          <w:noProof/>
        </w:rPr>
        <w:t xml:space="preserve">Η πρόταση είναι σύμφωνη με τη γνώμη της πλατφόρμας REFIT σχετικά με τις στατιστικές για τις επενδύσεις προστασίας του περιβάλλοντος, όπου περιέχεται σύσταση της πλειοψηφίας της ομάδας των εκπροσώπων των κυβερνήσεων και ορισμένων εκ των μελών της ομάδας ενδιαφερόμενων μερών να συνεχίσει η Επιτροπή την αξιολόγησή της όσον αφορά επικαλυπτόμενες υποχρεώσεις υποβολής εκθέσεων δυνάμει του κανονισμού (ΕΚ) αριθ. 250/2009 της Επιτροπής (τομέας ΣΔΕ) και του κανονισμού (ΕΕ) αριθ. 691/2011 για τους περιβαλλοντικούς λογαριασμούς και να αντικαταστήσει τον κανονισμό για τις στατιστικές διάρθρωσης των επιχειρήσεων με τον νέο κανονισμό-πλαίσιο για την ενσωμάτωση των στατιστικών για τις επιχειρήσεις (FRIBS). </w:t>
      </w:r>
    </w:p>
    <w:p>
      <w:pPr>
        <w:rPr>
          <w:noProof/>
        </w:rPr>
      </w:pPr>
      <w:r>
        <w:rPr>
          <w:noProof/>
        </w:rPr>
        <w:t>Η γνώμη της πλατφόρμας επιβεβαιώνει τις διαπιστώσεις της Επιτροπής ότι υπάρχουν επικαλύψεις όσον αφορά την υποβολή εκθέσεων. Για την αντιμετώπιση αυτού, η πρόταση για τον FRIBS δεν περιλαμβάνει τις πτυχές λογαριασμών δαπανών περιβαλλοντικής προστασίας, οι οποίοι θα καλύπτονται αποκλειστικά από τον κανονισμό για τους περιβαλλοντικούς λογαριασμούς (καν. 691/2011). Ως εκ τούτου, δεν θα υπάρχει καμία επικάλυψη/διπλή υποβολή εκθέσεων.</w:t>
      </w:r>
    </w:p>
    <w:p>
      <w:pPr>
        <w:rPr>
          <w:noProof/>
        </w:rPr>
      </w:pPr>
      <w:r>
        <w:rPr>
          <w:noProof/>
        </w:rPr>
        <w:t xml:space="preserve">Η πρόταση συνάδει, επίσης, με τον «ψηφιακό έλεγχο», προωθώντας τη διαλειτουργικότητα και την επαναχρησιμοποίηση μέσω της χρήσης των ίδιων τεχνικών προδιαγραφών συνόλων στοιχείων και των ίδιων προτύπων για τη διαβίβαση στοιχείων και μεταδεδομένων, την ανταλλαγή και την κοινή χρήση πληροφοριών μεταξύ της Eurostat και των κρατών μελών.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Θεμελιώδη δικαιώματα</w:t>
      </w:r>
    </w:p>
    <w:p>
      <w:pPr>
        <w:rPr>
          <w:noProof/>
        </w:rPr>
      </w:pPr>
      <w:r>
        <w:rPr>
          <w:noProof/>
        </w:rPr>
        <w:t xml:space="preserve">Η πρόταση δεν έχει επιπτώσεις στην προστασία των θεμελιωδών δικαιωμάτων. </w:t>
      </w:r>
    </w:p>
    <w:p>
      <w:pPr>
        <w:pStyle w:val="ManualHeading1"/>
        <w:rPr>
          <w:noProof/>
          <w:color w:val="000000"/>
        </w:rPr>
      </w:pPr>
      <w:r>
        <w:rPr>
          <w:noProof/>
          <w:color w:val="000000"/>
        </w:rPr>
        <w:t>4.</w:t>
      </w:r>
      <w:r>
        <w:rPr>
          <w:noProof/>
        </w:rPr>
        <w:tab/>
      </w:r>
      <w:r>
        <w:rPr>
          <w:noProof/>
          <w:color w:val="000000"/>
        </w:rPr>
        <w:t>ΔΗΜΟΣΙΟΝΟΜΙΚΕΣ ΕΠΙΠΤΩΣΕΙΣ</w:t>
      </w:r>
    </w:p>
    <w:p>
      <w:pPr>
        <w:rPr>
          <w:noProof/>
        </w:rPr>
      </w:pPr>
      <w:r>
        <w:rPr>
          <w:noProof/>
        </w:rPr>
        <w:t>Οι δημοσιονομικές επιπτώσεις της πρότασης είναι απεριόριστης διάρκειας με περίοδο εκκίνησης διάρκειας 3 ετών, από το 2019 έως το 2021. Μόνο το διάστημα του τρέχοντος πολυετούς δημοσιονομικού πλαισίου (ΠΔΠ) έχει ληφθεί υπόψη στο νομοθετικό δημοσιονομικό δελτίο. Η συνέχιση της χρηματοδότησης θα εξαρτηθεί από τις συμφωνίες που έχουν συναφθεί για το επόμενο ΠΔΠ και από τη συνέχιση των ειδικών προγραμμάτων από τα οποία προβλέπεται χρηματοδότηση.</w:t>
      </w:r>
    </w:p>
    <w:p>
      <w:pPr>
        <w:rPr>
          <w:noProof/>
        </w:rPr>
      </w:pPr>
      <w:r>
        <w:rPr>
          <w:noProof/>
        </w:rPr>
        <w:t>Για τα έτη 2019 και 2020, η χρηματοδότηση θα προέρχεται από την υπάρχουσα κατανομή κονδυλίων στα προγράμματα, συμπεριλαμβανομένων 19,5 εκατ. EUR από την παράταση του ευρωπαϊκού στατιστικού προγράμματος για τα έτη 2019 και 2020 και δεν απαιτείται καμία πρόσθετη χρηματοδότηση.</w:t>
      </w:r>
    </w:p>
    <w:p>
      <w:pPr>
        <w:rPr>
          <w:noProof/>
        </w:rPr>
      </w:pPr>
      <w:r>
        <w:rPr>
          <w:noProof/>
        </w:rPr>
        <w:t xml:space="preserve">Οι συνολικές πιστώσεις για το 2019 και το 2020 εκτιμώνται σε 46.453 εκατ. EUR. Οι αναλυτικές δημοσιονομικές επιπτώσεις προσδιορίζονται στο νομοθετικό δημοσιονομικό δελτίο. </w:t>
      </w:r>
    </w:p>
    <w:p>
      <w:pPr>
        <w:pStyle w:val="ManualHeading1"/>
        <w:rPr>
          <w:noProof/>
          <w:color w:val="000000"/>
        </w:rPr>
      </w:pPr>
      <w:r>
        <w:rPr>
          <w:noProof/>
          <w:color w:val="000000"/>
        </w:rPr>
        <w:t>5.</w:t>
      </w:r>
      <w:r>
        <w:rPr>
          <w:noProof/>
        </w:rPr>
        <w:tab/>
      </w:r>
      <w:r>
        <w:rPr>
          <w:noProof/>
          <w:color w:val="000000"/>
        </w:rPr>
        <w:t>ΛΟΙΠΑ ΣΤΟΙΧΕΙΑ</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Σχέδια εφαρμογής και ρυθμίσεις παρακολούθησης, αξιολόγησης και υποβολής εκθέσεων</w:t>
      </w:r>
    </w:p>
    <w:p>
      <w:pPr>
        <w:rPr>
          <w:noProof/>
        </w:rPr>
      </w:pPr>
      <w:r>
        <w:rPr>
          <w:noProof/>
        </w:rPr>
        <w:t>Ο προτεινόμενος κανονισμός αναμένεται να εγκριθεί από το Ευρωπαϊκό Κοινοβούλιο και το Συμβούλιο εντός του 2017 ή του 2018, ενώ τα εκτελεστικά μέτρα αναμένεται να εγκριθούν από την Επιτροπή λίγο αργότερα. Η πρώτη διαβίβαση στοιχείων στο πλαίσιο του νέου κανονισμού αναμένεται το 2019.</w:t>
      </w:r>
    </w:p>
    <w:p>
      <w:pPr>
        <w:rPr>
          <w:noProof/>
        </w:rPr>
      </w:pPr>
      <w:r>
        <w:rPr>
          <w:noProof/>
        </w:rPr>
        <w:t>Το προτεινόμενο νομοθετικό μέσο θα υπόκειται σε πλήρη αξιολόγηση, σύμφωνα με τα πέντε κριτήρια αξιολόγησης των κατευθυντήριων γραμμών για τη βελτίωση της νομοθεσίας, προκειμένου να εκτιμηθεί, μεταξύ άλλων, ο βαθμός αποτελεσματικότητας και αποδοτικότητας ως προς την επίτευξη των στόχων και να αποφασιστεί κατά πόσον απαιτούνται νέα μέτρα ή τροποποιήσεις. Στο πλαίσιο αυτό θα παρακολουθείται ένας κατάλογος βασικών δεικτών επιδόσεων για τις στατιστικές επιχειρήσεων.</w:t>
      </w:r>
    </w:p>
    <w:p>
      <w:pPr>
        <w:rPr>
          <w:noProof/>
        </w:rPr>
      </w:pPr>
      <w:r>
        <w:rPr>
          <w:noProof/>
        </w:rPr>
        <w:t>Είναι σημαντικό να γίνει αναφορά στα υφιστάμενα εργαλεία παρακολούθησης και αξιολόγησης που εφαρμόζονται επί του παρόντος και ισχύουν για το σύνολο της παραγωγής στατιστικών της Eurostat, τα οποία ήδη επιτρέπουν την ικανοποιητική ανάλυση της εξέλιξης της αποτελεσματικότητας και της αποδοτικότητας της νέας στατιστικής πρωτοβουλίας και της ποιότητας των παραγόμενων στοιχείων. Συνίστανται στη συστηματική ενδιάμεση και τελική αξιολόγηση του ευρωπαϊκού στατιστικού προγράμματος, σύμφωνα με τα πέντε κριτήρια αξιολόγησης που καθορίζονται στις κατευθυντήριες γραμμές για τη βελτίωση της νομοθεσίας. Οι στατιστικές για τις επιχειρήσεις αποτελούν αναπόσπαστο τμήμα αυτών των μηχανισμών υποβολής εκθέσεων, της παρακολούθησης των βασικών δεικτών επιδόσεων του σχεδίου διαχείρισης της Eurostat και των τακτικών ερευνών σχετικά με την ικανοποίηση των χρηστών.</w:t>
      </w:r>
    </w:p>
    <w:p>
      <w:pPr>
        <w:rPr>
          <w:noProof/>
        </w:rPr>
      </w:pPr>
      <w:r>
        <w:rPr>
          <w:noProof/>
        </w:rPr>
        <w:t xml:space="preserve">Κάθε στατιστικός τομέας παρακολουθείται επίσης μέσω εκθέσεων ποιότητας, οι οποίες παράγονται τακτικά από τα κράτη μέλη και αναλύονται από την Eurostat ως μέρος του πλαισίου διασφάλισης ποιότητας των στατιστικών. </w:t>
      </w:r>
    </w:p>
    <w:p>
      <w:pPr>
        <w:rPr>
          <w:noProof/>
        </w:rPr>
      </w:pPr>
      <w:r>
        <w:rPr>
          <w:noProof/>
        </w:rPr>
        <w:t>Επιπλέον, θα παρακολουθούνται τα στοιχεία κόστους. Θα απαιτηθεί ένα βελτιωμένο και εναρμονισμένο πλαίσιο υποβολής εκθέσεων για το κόστος για το σύνολο του ΕΣΣ που θα εντοπίζει τις φάσεις παραγωγής στατιστικών. Συνεχίζονται οι εργασίες για το θέμα αυτό, που αναμένεται να έχουν ολοκληρωθεί εγκαίρως ώστε να καταστεί δυνατή η παρακολούθηση των δαπανών που αφορούν τον κανονισμό FRIBS μόλις αυτός τεθεί σε ισχύ.</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Λεπτομερής επεξήγηση των ειδικών διατάξεων της πρότασης</w:t>
      </w:r>
    </w:p>
    <w:p>
      <w:pPr>
        <w:rPr>
          <w:noProof/>
        </w:rPr>
      </w:pPr>
      <w:r>
        <w:rPr>
          <w:noProof/>
        </w:rPr>
        <w:t>Ο προτεινόμενος κανονισμός αποτελείται από 23 άρθρα και τρία παραρτήματα.</w:t>
      </w:r>
    </w:p>
    <w:p>
      <w:pPr>
        <w:rPr>
          <w:noProof/>
        </w:rPr>
      </w:pPr>
      <w:r>
        <w:rPr>
          <w:noProof/>
        </w:rPr>
        <w:t xml:space="preserve">Στο κεφάλαιο Ι, που καλύπτει τα άρθρα 1 έως 3, περιλαμβάνονται οι γενικές διατάξεις. Στο άρθρο 1 καθορίζεται το αντικείμενο του κανονισμού. Οι κύριες έννοιες που χρησιμοποιούνται στον κανονισμό ορίζονται στο άρθρο 2. Το άρθρο 3 καθορίζει περαιτέρω το πεδίο εφαρμογής τόσο των στατιστικών για τις επιχειρήσεις όσο και του ευρωπαϊκού δικτύου μητρώων επιχειρήσεων για στατιστικούς σκοπούς. </w:t>
      </w:r>
    </w:p>
    <w:p>
      <w:pPr>
        <w:rPr>
          <w:noProof/>
        </w:rPr>
      </w:pPr>
      <w:r>
        <w:rPr>
          <w:noProof/>
        </w:rPr>
        <w:t xml:space="preserve">Το κεφάλαιο II περιλαμβάνει τα άρθρα 5 και 6 και αφορά τις πηγές στοιχείων που θα χρησιμοποιηθούν για τις στατιστικές επιχειρήσεων και τα στατιστικά μητρώα επιχειρήσεων. Η πρόταση θα επιτρέψει και θα προάγει τη χρήση νέων εντύπων συλλογής στοιχείων και τη χρήση εναλλακτικών πηγών στοιχείων όπως τα διοικητικά στοιχεία κι άλλες πηγές, όπως η εκτίμηση με βάση μοντέλα ή η χρήση μαζικών στοιχείων. Ο ρόλος αυτής ορίζεται περαιτέρω στο άρθρο 4. </w:t>
      </w:r>
    </w:p>
    <w:p>
      <w:pPr>
        <w:rPr>
          <w:noProof/>
        </w:rPr>
      </w:pPr>
      <w:r>
        <w:rPr>
          <w:noProof/>
        </w:rPr>
        <w:t xml:space="preserve">Το κεφάλαιο ΙΙΙ αναφέρεται στις στατιστικές για τις επιχειρήσεις. Οι στατιστικές για τις επιχειρήσεις καλύπτουν τους θεματικούς τομείς και τα θέματα που απαριθμούνται στο άρθρο 6 για τα οποία εξουσιοδοτείται η Επιτροπή στο άρθρο 7 να θεσπίζει εκτελεστικά μέτρα σχετικά με τις απαιτούμενες τεχνικές προδιαγραφές των συνόλων στοιχείων. Οι θεματικοί τομείς, τα θέματα και τα λεπτομερή θέματα που πρέπει να παρέχονται απαριθμούνται στο παράρτημα I. Το παράρτημα II καθορίζει την περιοδικότητα με την οποία πρέπει να παρέχονται τα θέματα. Η Επιτροπή θα είναι σε θέση να παραθέσει λεπτομερώς τα θέματα και χαρακτηριστικά των δυναμικών θεμάτων «Χρήση ΤΠΕ και ηλεκτρονικό εμπόριο», «Καινοτομία» και «Παγκόσμιες αλυσίδες αξίας» με κατ’ εξουσιοδότηση πράξεις. Τα λεπτομερή θέματα που περιλαμβάνονται στο παράρτημα Ι μπορεί επίσης να τροποποιηθούν με κατ’ εξουσιοδότηση πράξη εντός των ορίων που προβλέπονται στις ρήτρες διασφάλισης. </w:t>
      </w:r>
    </w:p>
    <w:p>
      <w:pPr>
        <w:rPr>
          <w:noProof/>
        </w:rPr>
      </w:pPr>
      <w:r>
        <w:rPr>
          <w:noProof/>
        </w:rPr>
        <w:t>Το κεφάλαιο IV περιλαμβάνει 3 άρθρα σχετικά με τα μητρώα επιχειρήσεων. Το ευρωπαϊκό δίκτυο μητρώων επιχειρήσεων καθορίζεται στο άρθρο 8. Το άρθρο 9 ορίζει τις απαιτήσεις για το ευρωπαϊκό δίκτυο των μητρώων επιχειρήσεων για στατιστικούς σκοπούς. Το παράρτημα III προσδιορίζει περαιτέρω τα στοιχεία του ευρωπαϊκού δικτύου μητρώων επιχειρήσεων για στατιστικούς σκοπούς (χαρακτηριστικά των μητρώων, αποκλειστικός αναγνωριστικός κωδικός, χρόνος αναφοράς και περιοδικότητα). Τα χαρακτηριστικά των μητρώων μπορεί να αναλυθούν περαιτέρω με εκτελεστικές πράξεις. Το άρθρο 10 περιλαμβάνει τις διατάξεις σχετικά με την ανταλλαγή πληροφοριών και την πρόσβαση σε απόρρητα στοιχεία για τους σκοπούς του ευρωπαϊκού δικτύου των μητρώων επιχειρήσεων για στατιστικούς σκοπούς. Η Επιτροπή εξουσιοδοτείται να θεσπίσει εκτελεστικά μέτρα όσον αφορά την ανταλλαγή απόρρητων στοιχείων για τους σκοπούς του ευρωπαϊκού δικτύου των μητρώων επιχειρήσεων για στατιστικούς σκοπούς.</w:t>
      </w:r>
    </w:p>
    <w:p>
      <w:pPr>
        <w:rPr>
          <w:noProof/>
        </w:rPr>
      </w:pPr>
      <w:r>
        <w:rPr>
          <w:noProof/>
        </w:rPr>
        <w:t xml:space="preserve">Το κεφάλαιο V περιλαμβάνει 5 άρθρα που αφορούν την ανταλλαγή απόρρητων στοιχείων για τους σκοπούς των στατιστικών για το ενδοενωσιακό εμπόριο αγαθών. Το άρθρο 11 θεσπίζει την αρχή της ανταλλαγής στοιχείων και μεταδεδομένων για τις εν λόγω στατιστικές. Το άρθρο 12 διευκρινίζει τις στατιστικές πληροφορίες που ανταλλάσσονται, ενώ το άρθρο 13 παρέχει τα συστατικά των στατιστικών στοιχείων. Οι διατάξεις του άρθρου 14 ρυθμίζουν την προστασία των απόρρητων στοιχείων που ανταλλάσσονται και το άρθρο 15 την πρόσβαση στα ανταλλασσόμενα απόρρητα στοιχεία για επιστημονικούς σκοπούς. </w:t>
      </w:r>
    </w:p>
    <w:p>
      <w:pPr>
        <w:rPr>
          <w:noProof/>
        </w:rPr>
      </w:pPr>
      <w:r>
        <w:rPr>
          <w:noProof/>
        </w:rPr>
        <w:t xml:space="preserve">Το κεφάλαιο VI συγκεντρώνει τρία άρθρα σχετικά με την ποιότητα, τη μετάδοση και τη διάδοση: ποιότητα των στοιχείων και υποβολή εκθέσεων σχετικά με τα μεταδεδομένα (άρθρο 16), μετάδοση στοιχείων και μεταδεδομένων (άρθρο 17) και το απόρρητο όσον αφορά τη διάδοση στατιστικών στοιχείων για το διεθνές εμπόριο αγαθών (άρθρο 18). </w:t>
      </w:r>
    </w:p>
    <w:p>
      <w:pPr>
        <w:rPr>
          <w:noProof/>
        </w:rPr>
      </w:pPr>
      <w:r>
        <w:rPr>
          <w:noProof/>
        </w:rPr>
        <w:t>Η πρόταση καλύπτει και άλλες σημαντικές πτυχές του εκσυγχρονισμού των ευρωπαϊκών στατιστικών επιχειρήσεων στο κεφάλαιο VII:</w:t>
      </w:r>
    </w:p>
    <w:p>
      <w:pPr>
        <w:pStyle w:val="Bullet0"/>
        <w:rPr>
          <w:noProof/>
        </w:rPr>
      </w:pPr>
      <w:r>
        <w:rPr>
          <w:noProof/>
        </w:rPr>
        <w:t>τον καθορισμό πιλοτικών μελετών ώστε να αξιολογηθεί η καταλληλότητα και η σκοπιμότητα της διεξαγωγής νέων συλλογών στοιχείων και την πραγματοποίηση βελτιώσεων στις δέσμες στοιχείων (άρθρο 19),</w:t>
      </w:r>
    </w:p>
    <w:p>
      <w:pPr>
        <w:pStyle w:val="Bullet0"/>
        <w:rPr>
          <w:noProof/>
        </w:rPr>
      </w:pPr>
      <w:r>
        <w:rPr>
          <w:noProof/>
        </w:rPr>
        <w:t>διατάξεις για τη χρηματοδοτική στήριξη στα κράτη μέλη υπό συγκεκριμένες προϋποθέσεις (άρθρο 20).</w:t>
      </w:r>
    </w:p>
    <w:p>
      <w:pPr>
        <w:rPr>
          <w:noProof/>
        </w:rPr>
      </w:pPr>
      <w:r>
        <w:rPr>
          <w:noProof/>
        </w:rPr>
        <w:t>Στο τελευταίο κεφάλαιο, ο κανονισμός περιέχει τις διατάξεις σχετικά με την άσκηση της εξουσιοδότησης (άρθρο 21) σύμφωνα με τη διοργανική συμφωνία για τη βελτίωση της νομοθεσίας του Απριλίου του 2016, τη διαδικασία επιτροπολογίας (άρθρο 22), τη συνεργασία με άλλες επιτροπές (άρθρο 23), τις διατάξεις για παρεκκλίσεις που θα δώσουν σε ορισμένα κράτη μέλη περισσότερο χρόνο για την προσαρμογή στις νέες απαιτήσεις (άρθρο 24). Στο κεφάλαιο αυτό περιλαμβάνεται και η τροποποίηση ενός κανονισμού (άρθρο 25), οι λεπτομέρειες του οποίου περιλαμβάνονται στο παράρτημα IV, και η κατάργηση δέκα υφιστάμενων νομικών πράξεων οι οποίες αντικαθίστανται από τον προτεινόμενο κανονισμό-πλαίσιο (άρθρο 26).</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2017/0048 (COD)</w:t>
      </w:r>
    </w:p>
    <w:p>
      <w:pPr>
        <w:pStyle w:val="Statut"/>
        <w:rPr>
          <w:noProof/>
        </w:rPr>
      </w:pPr>
      <w:r>
        <w:rPr>
          <w:noProof/>
        </w:rPr>
        <w:t>Πρόταση</w:t>
      </w:r>
    </w:p>
    <w:p>
      <w:pPr>
        <w:pStyle w:val="Typedudocument"/>
      </w:pPr>
      <w:r>
        <w:rPr>
          <w:noProof/>
        </w:rPr>
        <w:t>ΚΑΝΟΝΙΣΜΟΣ ΤΟΥ ΕΥΡΩΠΑΪΚΟΥ ΚΟΙΝΟΒΟΥΛΙΟΥ ΚΑΙ ΤΟΥ ΣΥΜΒΟΥΛΙΟΥ</w:t>
      </w:r>
    </w:p>
    <w:p>
      <w:pPr>
        <w:pStyle w:val="Titreobjet"/>
        <w:rPr>
          <w:noProof/>
        </w:rPr>
      </w:pPr>
      <w:r>
        <w:rPr>
          <w:noProof/>
        </w:rPr>
        <w:t xml:space="preserve">σχετικά με τις ευρωπαϊκές στατιστικές για τις επιχειρήσεις, </w:t>
      </w:r>
      <w:r>
        <w:rPr>
          <w:noProof/>
        </w:rPr>
        <w:br/>
        <w:t>την τροποποίηση του κανονισμού (ΕΚ) αριθ. 184/2005 και την κατάργηση 10 νομικών πράξεων στον τομέα των στατιστικών για τις επιχειρήσεις</w:t>
      </w:r>
    </w:p>
    <w:p>
      <w:pPr>
        <w:pStyle w:val="IntrtEEE"/>
        <w:rPr>
          <w:noProof/>
        </w:rPr>
      </w:pPr>
      <w:r>
        <w:rPr>
          <w:noProof/>
        </w:rPr>
        <w:t xml:space="preserve"> (Κείμενο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338 παράγραφος 1,</w:t>
      </w:r>
    </w:p>
    <w:p>
      <w:pPr>
        <w:rPr>
          <w:noProof/>
        </w:rPr>
      </w:pPr>
      <w:r>
        <w:rPr>
          <w:noProof/>
        </w:rPr>
        <w:t>Έχοντας υπόψη τη σύσταση της Ευρωπαϊκής Επιτροπής,</w:t>
      </w:r>
    </w:p>
    <w:p>
      <w:pPr>
        <w:rPr>
          <w:noProof/>
        </w:rPr>
      </w:pPr>
      <w:r>
        <w:rPr>
          <w:noProof/>
        </w:rPr>
        <w:t>Έχοντας υπόψη τη γνώμη της Ευρωπαϊκής Κεντρικής Τράπεζας,</w:t>
      </w:r>
    </w:p>
    <w:p>
      <w:pPr>
        <w:rPr>
          <w:noProof/>
        </w:rPr>
      </w:pPr>
      <w:r>
        <w:rPr>
          <w:noProof/>
        </w:rPr>
        <w:t>Κατόπιν διαβίβασης του σχεδίου νομοθετικής πράξης στα εθνικά κοινοβούλια,</w:t>
      </w:r>
    </w:p>
    <w:p>
      <w:pPr>
        <w:rPr>
          <w:noProof/>
        </w:rPr>
      </w:pPr>
      <w:r>
        <w:rPr>
          <w:noProof/>
        </w:rPr>
        <w:t xml:space="preserve">Αποφασίζοντας σύμφωνα με τη συνήθη νομοθετική διαδικασία, </w:t>
      </w:r>
    </w:p>
    <w:p>
      <w:pPr>
        <w:rPr>
          <w:noProof/>
        </w:rPr>
      </w:pPr>
      <w:r>
        <w:rPr>
          <w:noProof/>
        </w:rPr>
        <w:t>Εκτιμώντας τα ακόλουθα:</w:t>
      </w:r>
    </w:p>
    <w:p>
      <w:pPr>
        <w:pStyle w:val="ManualConsidrant"/>
        <w:rPr>
          <w:noProof/>
        </w:rPr>
      </w:pPr>
      <w:r>
        <w:t>(1)</w:t>
      </w:r>
      <w:r>
        <w:tab/>
      </w:r>
      <w:r>
        <w:rPr>
          <w:noProof/>
        </w:rPr>
        <w:t>Η ανάπτυξη, η παραγωγή και η διάδοση στατιστικών πληροφοριών όσον αφορά την οικονομική δραστηριότητα των επιχειρήσεων των κρατών μελών μέχρι στιγμής βασίζεται σε μια σειρά από μεμονωμένες νομικές πράξεις. Οι εν λόγω νομικές πράξεις καλύπτουν τις βραχυπρόθεσμες και τις διαρθρωτικές στατιστικές επιχειρήσεων, στατιστικές για την παραγωγή, διεθνείς (εντός και εκτός της Ένωσης) εμπορικές συναλλαγές αγαθών και υπηρεσιών, αλλοδαπές θυγατρικές, έρευνα και ανάπτυξη, καινοτομία και χρήση ΤΠΕ, και ηλεκτρονικό εμπόριο. Επιπλέον, με τον κανονισμό (ΕΚ) αριθ. 177/2008 του Ευρωπαϊκού Κοινοβουλίου και του Συμβουλίου</w:t>
      </w:r>
      <w:r>
        <w:rPr>
          <w:rStyle w:val="FootnoteReference"/>
          <w:noProof/>
        </w:rPr>
        <w:footnoteReference w:id="7"/>
      </w:r>
      <w:r>
        <w:rPr>
          <w:noProof/>
        </w:rPr>
        <w:t xml:space="preserve"> ιδρύθηκε ένα κοινό πλαίσιο όσον αφορά τα μητρώα επιχειρήσεων για στατιστικούς σκοπούς στην Ένωση. </w:t>
      </w:r>
    </w:p>
    <w:p>
      <w:pPr>
        <w:pStyle w:val="ManualConsidrant"/>
        <w:rPr>
          <w:noProof/>
        </w:rPr>
      </w:pPr>
      <w:r>
        <w:t>(2)</w:t>
      </w:r>
      <w:r>
        <w:tab/>
      </w:r>
      <w:r>
        <w:rPr>
          <w:noProof/>
        </w:rPr>
        <w:t>Η δομή αυτή που βασίζεται σε μεμονωμένες νομικές πράξεις δεν παρέχει την αναγκαία συνοχή μεταξύ των επιμέρους στατιστικών τομέων, ούτε προωθεί μια ολοκληρωμένη προσέγγιση για την ανάπτυξη, την παραγωγή και τη διάδοση των στατιστικών για τις επιχειρήσεις. Θα πρέπει να καθοριστεί ένα κοινό νομικό πλαίσιο που θα εξασφαλίζει τη συνοχή μεταξύ των ευρωπαϊκών στατιστικών για τις επιχειρήσεις και να διευκολύνει την ενσωμάτωση των αντίστοιχων στατιστικών διαδικασιών.</w:t>
      </w:r>
    </w:p>
    <w:p>
      <w:pPr>
        <w:pStyle w:val="ManualConsidrant"/>
        <w:rPr>
          <w:noProof/>
        </w:rPr>
      </w:pPr>
      <w:r>
        <w:t>(3)</w:t>
      </w:r>
      <w:r>
        <w:tab/>
      </w:r>
      <w:r>
        <w:rPr>
          <w:noProof/>
        </w:rPr>
        <w:t>Οι βελτιωμένες, ενοποιημένες στατιστικές διαδικασίες που βασίζονται σε κοινές μεθοδολογικές αρχές, ορισμούς και κριτήρια ποιότητας θα πρέπει να οδηγήσουν σε εναρμονισμένες στατιστικές σχετικά με τη διάρθρωση, την οικονομική δραστηριότητα, τις συναλλαγές και τις επιδόσεις του τομέα των επιχειρήσεων της Ένωσης· οι εν λόγω στατιστικές διαθέτουν το επίπεδο σημασίας και λεπτομέρειας που απαιτείται για να ανταποκρίνονται στις ανάγκες των χρηστών.</w:t>
      </w:r>
    </w:p>
    <w:p>
      <w:pPr>
        <w:pStyle w:val="ManualConsidrant"/>
        <w:rPr>
          <w:noProof/>
        </w:rPr>
      </w:pPr>
      <w:r>
        <w:t>(4)</w:t>
      </w:r>
      <w:r>
        <w:tab/>
      </w:r>
      <w:r>
        <w:rPr>
          <w:noProof/>
        </w:rPr>
        <w:t>Οι διεθνείς κατευθυντήριες γραμμές, όπως είναι το εγχειρίδιο Frascati για τις στατιστικές Ε&amp;Α και το εγχειρίδιο του Όσλο για την καινοτομία και τις διεθνείς συμφωνίες που εγκρίθηκαν από τα Ηνωμένα Έθνη, τον ΟΟΣΑ, το Διεθνές Νομισματικό Ταμείο και άλλους διεθνείς και υπερεθνικούς οργανισμούς, έχουν σημασία για τις ευρωπαϊκές στατιστικές για τις επιχειρήσεις. Η καθοδήγηση αυτή θα πρέπει, στο μέτρο του δυνατού, να ακολουθηθούν για την ανάπτυξη, την παραγωγή και τη διάδοση των ενωσιακών στατιστικών και από το ευρωπαϊκό δίκτυο των μητρώων επιχειρήσεων για στατιστικούς σκοπούς, ώστε να εξασφαλιστεί ότι οι ενωσιακές στατιστικές είναι συγκρίσιμες με αυτές που συλλέγουν οι κύριοι διεθνείς εταίροι της Ένωσης. Ωστόσο, τα ενωσιακά πρότυπα, οι συμφωνίες και οι κατευθυντήριες γραμμές θα πρέπει να εφαρμόζονται με συνέπεια κατά τη συλλογή ευρωπαϊκών στατιστικών για τις επιχειρήσεις όσον αφορά τα θέματα «συνεισφορές έρευνας &amp; ανάπτυξης» και «Καινοτομία».</w:t>
      </w:r>
    </w:p>
    <w:p>
      <w:pPr>
        <w:pStyle w:val="ManualConsidrant"/>
        <w:rPr>
          <w:noProof/>
        </w:rPr>
      </w:pPr>
      <w:r>
        <w:t>(5)</w:t>
      </w:r>
      <w:r>
        <w:tab/>
      </w:r>
      <w:r>
        <w:rPr>
          <w:noProof/>
        </w:rPr>
        <w:t>Η διοικητική επιβάρυνση στις μικρές και μεσαίες επιχειρήσεις θα πρέπει να είναι όσο το δυνατόν πιο περιορισμένη λαμβανομένων υπόψη, στο μέτρο του δυνατού, άλλων πηγών στοιχείων από τις έρευνες. Για την ελάφρυνση της επιβάρυνσης για τις επιχειρήσεις θα πρέπει να υπάρχει η δυνατότητα καθορισμού διαφορετικών απαιτήσεων για στοιχεία ανάλογα με το μέγεθος και τη σημασία των επιχειρηματικών οικονομιών των κρατών μελών.</w:t>
      </w:r>
    </w:p>
    <w:p>
      <w:pPr>
        <w:pStyle w:val="ManualConsidrant"/>
        <w:rPr>
          <w:noProof/>
        </w:rPr>
      </w:pPr>
      <w:r>
        <w:t>(6)</w:t>
      </w:r>
      <w:r>
        <w:tab/>
      </w:r>
      <w:r>
        <w:rPr>
          <w:noProof/>
        </w:rPr>
        <w:t>Η προοπτική του ευρωπαϊκού στατιστικού συστήματος (ΕΣΣ) για το 2020 αναφέρει ότι τα στοιχεία πρέπει να χρησιμοποιούνται σε όλους τους στατιστικούς τομείς για την καλύτερη ανάλυση νεοεμφανιζόμενων φαινομένων (π.χ. παγκοσμιοποίηση) και για την καλύτερη εξυπηρέτηση του υψηλού αντικτύπου των ενωσιακών πολιτικών. Η παραγωγή στοιχείων θα πρέπει να βασίζεται σε αποτελεσματικές και στέρεες στατιστικές διαδικασίες του ΕΣΣ. Το ευρύτερο πεδίο εφαρμογής του κοινού νομικού πλαισίου για τις στατιστικές επιχειρήσεων θα πρέπει να επιτρέψει την ένταξη αλληλεξαρτώμενων διεργασιών παραγωγής που χρησιμοποιούν πολλαπλές πηγές.</w:t>
      </w:r>
    </w:p>
    <w:p>
      <w:pPr>
        <w:pStyle w:val="ManualConsidrant"/>
        <w:rPr>
          <w:noProof/>
        </w:rPr>
      </w:pPr>
      <w:r>
        <w:t>(7)</w:t>
      </w:r>
      <w:r>
        <w:tab/>
      </w:r>
      <w:r>
        <w:rPr>
          <w:noProof/>
        </w:rPr>
        <w:t>Το πρόγραμμα για τον εκσυγχρονισμό των ευρωπαϊκών στατιστικών επιχειρήσεων και εμπορίου (MEETS) που εγκρίθηκε με την απόφαση 1297/2008/ΕΚ του Ευρωπαϊκού Κοινοβουλίου και του Συμβουλίου</w:t>
      </w:r>
      <w:r>
        <w:rPr>
          <w:rStyle w:val="FootnoteReference"/>
          <w:noProof/>
        </w:rPr>
        <w:footnoteReference w:id="8"/>
      </w:r>
      <w:r>
        <w:rPr>
          <w:noProof/>
        </w:rPr>
        <w:t xml:space="preserve"> και διήρκεσε από το 2009 έως το 2013, είχε στόχο να βοηθήσει τις στατιστικές για τις επιχειρήσεις και τις στατιστικές που σχετίζονται με το εμπόριο να ευθυγραμμιστούν με τις νέες ανάγκες για στοιχεία και να προσαρμόσουν το σύστημα για την παραγωγή των στατιστικών για τις επιχειρήσεις. Τα συμπεράσματα και οι συστάσεις που απορρέουν από αυτό το πρόγραμμα όσον αφορά τις προτεραιότητες και τις νέες δέσμες δεικτών, τον εξορθολογισμό του πλαισίου όσον αφορά τις στατιστικές για τις επιχειρήσεις, την πιο αποδοτική παραγωγή στον τομέα των στατιστικών για τις επιχειρήσεις και το εμπόριο και τον εκσυγχρονισμό του συστήματος Intrastat θα πρέπει να μετατραπούν σε νομικά δεσμευτικές διατάξεις.</w:t>
      </w:r>
    </w:p>
    <w:p>
      <w:pPr>
        <w:pStyle w:val="ManualConsidrant"/>
        <w:rPr>
          <w:noProof/>
        </w:rPr>
      </w:pPr>
      <w:r>
        <w:t>(8)</w:t>
      </w:r>
      <w:r>
        <w:tab/>
      </w:r>
      <w:r>
        <w:rPr>
          <w:noProof/>
        </w:rPr>
        <w:t>Υπάρχει ανάγκη για πιο ευέλικτη προσέγγιση εντός του πλαισίου των ευρωπαϊκών στατιστικών για τις επιχειρήσεις ώστε να επιτραπούν οι προσαρμογές σε μεθοδολογικές εξελίξεις και η έγκαιρη ανταπόκριση στις αναδυόμενες και δεόντως αιτιολογημένες ανάγκες των χρηστών για στοιχεία που προκύπτουν από το μεταβαλλόμενο οικονομικό περιβάλλον και την αυξανόμενη παγκοσμιοποίηση και πολυπλοκότητα του επιχειρηματικού τοπίου. Οι εν λόγω μελλοντικές προσαρμογές θα πρέπει να βασίζονται σε κατάλληλη ανάλυση κόστους-οφέλους και οι προκύπτουσες απαιτήσεις για νέα στοιχεία δεν θα πρέπει να συνεπάγονται σημαντική πρόσθετη επιβάρυνση ή κόστος για τα κράτη μέλη ή τους απαντώντες.</w:t>
      </w:r>
    </w:p>
    <w:p>
      <w:pPr>
        <w:pStyle w:val="ManualConsidrant"/>
        <w:rPr>
          <w:noProof/>
        </w:rPr>
      </w:pPr>
      <w:r>
        <w:t>(9)</w:t>
      </w:r>
      <w:r>
        <w:tab/>
      </w:r>
      <w:r>
        <w:rPr>
          <w:noProof/>
        </w:rPr>
        <w:t xml:space="preserve">Ο ρόλος των εθνικών στατιστικών μητρώων επιχειρήσεων και του μητρώου EuroGroups θα πρέπει να ενισχυθεί ως βασικές υποδομές για τη συλλογή και την κατάρτιση ευρωπαϊκών στατιστικών για τις επιχειρήσεις. Τα εθνικά στατιστικά μητρώα επιχειρήσεων θα πρέπει να χρησιμοποιούνται ως πηγή πληροφοριών για τη στατιστική ανάλυση του πληθυσμού των επιχειρήσεων και των δημογραφικών του στοιχείων, για τον ορισμό του πληθυσμού της έρευνας και για τον καθορισμό ενός συνδέσμου με διοικητικές πηγές στοιχείων. </w:t>
      </w:r>
    </w:p>
    <w:p>
      <w:pPr>
        <w:pStyle w:val="ManualConsidrant"/>
        <w:rPr>
          <w:noProof/>
        </w:rPr>
      </w:pPr>
      <w:r>
        <w:t>(10)</w:t>
      </w:r>
      <w:r>
        <w:tab/>
      </w:r>
      <w:r>
        <w:rPr>
          <w:noProof/>
        </w:rPr>
        <w:t xml:space="preserve">Για να διασφαλίζεται ο ρόλος των εθνικών στατιστικών μητρώων επιχειρήσεων και του μητρώου EuroGroups, θα πρέπει να προσδιοριστεί και να τεθεί σε εφαρμογή ένας ενιαίος κωδικός αναγνώρισης για όλες τις σχετικές μονάδες. </w:t>
      </w:r>
    </w:p>
    <w:p>
      <w:pPr>
        <w:pStyle w:val="ManualConsidrant"/>
        <w:rPr>
          <w:noProof/>
        </w:rPr>
      </w:pPr>
      <w:r>
        <w:t>(11)</w:t>
      </w:r>
      <w:r>
        <w:tab/>
      </w:r>
      <w:r>
        <w:rPr>
          <w:noProof/>
        </w:rPr>
        <w:t>Η ορθή οριοθέτηση των ομίλων επιχειρήσεων στο μητρώο EuroGroups με έγκαιρα και αξιόπιστα στοιχεία θα πρέπει να επιτευχθεί με τη χρήση εναρμονισμένων κριτηρίων και την τακτική επικαιροποίηση των πληροφοριών όσον αφορά τους δεσμούς ελέγχου μεταξύ νομικών μονάδων που αποτελούν μέρος των ομίλων επιχειρήσεων.</w:t>
      </w:r>
    </w:p>
    <w:p>
      <w:pPr>
        <w:pStyle w:val="ManualConsidrant"/>
        <w:rPr>
          <w:noProof/>
        </w:rPr>
      </w:pPr>
      <w:r>
        <w:t>(12)</w:t>
      </w:r>
      <w:r>
        <w:tab/>
      </w:r>
      <w:r>
        <w:rPr>
          <w:noProof/>
        </w:rPr>
        <w:t>Για να βελτιωθεί η αποτελεσματικότητα των διαδικασιών στατιστικής παραγωγής του ΕΣΣ και να μειωθεί η στατιστική επιβάρυνση για τους απαντώντες, οι εθνικές στατιστικές αρχές θα πρέπει να έχουν δικαίωμα πρόσβασης και χρήσης, άμεσα και δωρεάν, όλων των διοικητικών μητρώων σε εθνικό επίπεδο και να ενσωματώνουν τα εν λόγω διοικητικά μητρώα με τις στατιστικές, στο βαθμό που απαιτείται για την ανάπτυξη, την παραγωγή και τη διάδοση των ευρωπαϊκών στατιστικών για τις επιχειρήσεις, σύμφωνα με τις διατάξεις που ορίζονται στο άρθρο 17α του κανονισμού (ΕΚ) αριθ. 223/2009 του Ευρωπαϊκού Κοινοβουλίου και του Συμβουλίου</w:t>
      </w:r>
      <w:r>
        <w:rPr>
          <w:rStyle w:val="FootnoteReference"/>
          <w:noProof/>
        </w:rPr>
        <w:footnoteReference w:id="9"/>
      </w:r>
      <w:r>
        <w:rPr>
          <w:noProof/>
        </w:rPr>
        <w:t>.</w:t>
      </w:r>
    </w:p>
    <w:p>
      <w:pPr>
        <w:pStyle w:val="ManualConsidrant"/>
        <w:rPr>
          <w:noProof/>
        </w:rPr>
      </w:pPr>
      <w:r>
        <w:t>(13)</w:t>
      </w:r>
      <w:r>
        <w:tab/>
      </w:r>
      <w:r>
        <w:rPr>
          <w:noProof/>
        </w:rPr>
        <w:t>Ο κανονισμός (ΕΚ) αριθ. 223/2009 παρέχει ένα πλαίσιο αναφοράς για τις ευρωπαϊκές στατιστικές. Ειδικότερα, απαιτεί συμμόρφωση με τις αρχές της επαγγελματικής ανεξαρτησίας, της αμεροληψίας, της αντικειμενικότητας, της αξιοπιστίας, του στατιστικού απορρήτου και της σχέσης κόστους-αποτελεσματικότητας.</w:t>
      </w:r>
    </w:p>
    <w:p>
      <w:pPr>
        <w:pStyle w:val="ManualConsidrant"/>
        <w:rPr>
          <w:noProof/>
        </w:rPr>
      </w:pPr>
      <w:r>
        <w:t>(14)</w:t>
      </w:r>
      <w:r>
        <w:tab/>
      </w:r>
      <w:r>
        <w:rPr>
          <w:noProof/>
        </w:rPr>
        <w:t xml:space="preserve">Θα πρέπει να εισαχθούν η ανταλλαγή και η πρόσβαση στα μικροδεδομένα από τις εθνικές στατιστικές αρχές για την παραγωγή στατιστικών για τις επιχειρήσεις και τη διατήρηση του ευρωπαϊκού δικτύου μητρώων επιχειρήσεων για στατιστικούς σκοπούς, για την ανάπτυξη, την παραγωγή και τη διάδοση των εθνικών ή ευρωπαϊκών στατιστικών για τις επιχειρήσεις ή για την αύξηση της ποιότητας των ευρωπαϊκών στατιστικών για τις επιχειρήσεις. Η ανταλλαγή μικροδεδομένων πρέπει, επομένως, να περιορίζεται σε δεόντως αιτιολογημένες περιπτώσεις. </w:t>
      </w:r>
    </w:p>
    <w:p>
      <w:pPr>
        <w:pStyle w:val="ManualConsidrant"/>
        <w:rPr>
          <w:noProof/>
        </w:rPr>
      </w:pPr>
      <w:r>
        <w:t>(15)</w:t>
      </w:r>
      <w:r>
        <w:tab/>
      </w:r>
      <w:r>
        <w:rPr>
          <w:noProof/>
        </w:rPr>
        <w:t>Η δημιουργία μιας πρόσθετης πηγής στοιχείων με βάση την ανταλλαγή μικροδεδομένων για τις ενδοενωσιακές εξαγωγές αγαθών, μαζί με τη δυνατότητα χρήσης καινοτόμων μεθοδολογιών, αυξάνει την ευελιξία των κρατών μελών να καταρτίζουν στατιστικές για το ενδοενωσιακό εμπόριο αγαθών, επιτρέποντάς τους έτσι να μειώσουν την επιβάρυνση απάντησης για τις επιχειρήσεις. Σκοπός της ανταλλαγής είναι η αποτελεσματική ανάπτυξη, η παραγωγή και η διάδοση ευρωπαϊκών στατιστικών για το διεθνές εμπόριο αγαθών ή τη βελτίωση της ποιότητάς τους.</w:t>
      </w:r>
    </w:p>
    <w:p>
      <w:pPr>
        <w:pStyle w:val="ManualConsidrant"/>
        <w:rPr>
          <w:noProof/>
        </w:rPr>
      </w:pPr>
      <w:r>
        <w:t>(16)</w:t>
      </w:r>
      <w:r>
        <w:tab/>
      </w:r>
      <w:r>
        <w:rPr>
          <w:noProof/>
        </w:rPr>
        <w:t xml:space="preserve">Η διαπραγμάτευση, η εφαρμογή και η επανεξέταση των εμπορικών και επενδυτικών συμφωνιών που έχουν συναφθεί μεταξύ της Ένωσης και τρίτων χωρών ή σε πολυμερές επίπεδο απαιτούν οι αναγκαίες στατιστικές πληροφορίες σχετικά με τις εμπορικές ροές των κρατών μελών με τις τρίτες χώρες να τίθενται στη διάθεση της Επιτροπής. </w:t>
      </w:r>
    </w:p>
    <w:p>
      <w:pPr>
        <w:pStyle w:val="ManualConsidrant"/>
        <w:rPr>
          <w:noProof/>
        </w:rPr>
      </w:pPr>
      <w:r>
        <w:t>(17)</w:t>
      </w:r>
      <w:r>
        <w:tab/>
      </w:r>
      <w:r>
        <w:rPr>
          <w:noProof/>
        </w:rPr>
        <w:t>Θα πρέπει να διατηρηθεί στενή σχέση μεταξύ του συστήματος συλλογής στατιστικών πληροφοριών και των φορολογικών διατυπώσεων που συνδέονται με τον φόρο προστιθεμένης αξίας που υφίσταται στο πλαίσιο του εμπορίου αγαθών μεταξύ των κρατών μελών. Η σχέση αυτή καθιστά εφικτό, ιδίως για τους σκοπούς των στατιστικών για τις ενδοενωσιακές συναλλαγές στα προϊόντα, τον εντοπισμό εξαγωγέων και εισαγωγέων και τον έλεγχο της ποιότητας των συλλεγόμενων πληροφοριών.</w:t>
      </w:r>
    </w:p>
    <w:p>
      <w:pPr>
        <w:pStyle w:val="ManualConsidrant"/>
        <w:rPr>
          <w:noProof/>
        </w:rPr>
      </w:pPr>
      <w:r>
        <w:t>(18)</w:t>
      </w:r>
      <w:r>
        <w:tab/>
      </w:r>
      <w:r>
        <w:rPr>
          <w:noProof/>
        </w:rPr>
        <w:t>Οι διασυνοριακές μετακινήσεις αγαθών, ιδίως από ή προς τρίτες χώρες, υπόκεινται σε τελωνειακή επιτήρηση όπως προβλέπεται από τον κανονισμό (ΕΕ) αριθ. 952/2013 του Ευρωπαϊκού Κοινοβουλίου και του Συμβουλίου</w:t>
      </w:r>
      <w:r>
        <w:rPr>
          <w:rStyle w:val="FootnoteReference"/>
          <w:noProof/>
        </w:rPr>
        <w:footnoteReference w:id="10"/>
      </w:r>
      <w:r>
        <w:rPr>
          <w:noProof/>
        </w:rPr>
        <w:t>. Οι τελωνειακές αρχές διατηρούν ή έχουν πρόσβαση σε πληροφορίες και αρχεία που αφορούν τις εν λόγω μετακινήσεις. Οι πληροφορίες ή έγγραφα που συνδέονται με ή με βάση τις τελωνειακές διασαφήσεις θα πρέπει να χρησιμοποιούνται για την παραγωγή στατιστικών σχετικά με το ενωσιακό εμπόριο αγαθών.</w:t>
      </w:r>
    </w:p>
    <w:p>
      <w:pPr>
        <w:pStyle w:val="ManualConsidrant"/>
        <w:rPr>
          <w:noProof/>
        </w:rPr>
      </w:pPr>
      <w:r>
        <w:t>(19)</w:t>
      </w:r>
      <w:r>
        <w:tab/>
      </w:r>
      <w:r>
        <w:rPr>
          <w:noProof/>
        </w:rPr>
        <w:t>Για να καταρτίσουν στατιστικές σχετικά με το διεθνές εμπόριο αγαθών και για τη βελτίωση της ποιότητας των εν λόγω στατιστικών, οι εθνικές στατιστικές αρχές στα κράτη μέλη θα πρέπει να είναι σε θέση να ανταλλάσσουν στοιχεία σχετικά με τις εισαγωγές και τις εξαγωγές αγαθών στις οποίες εμπλέκονται τελωνειακές αρχές περισσοτέρων του ενός κρατών μελών.</w:t>
      </w:r>
    </w:p>
    <w:p>
      <w:pPr>
        <w:pStyle w:val="ManualConsidrant"/>
        <w:rPr>
          <w:noProof/>
        </w:rPr>
      </w:pPr>
      <w:r>
        <w:t>(20)</w:t>
      </w:r>
      <w:r>
        <w:tab/>
      </w:r>
      <w:r>
        <w:rPr>
          <w:noProof/>
        </w:rPr>
        <w:t xml:space="preserve">Για την εκτέλεση των καθηκόντων της που απορρέουν από τις συνθήκες, ιδίως καθήκοντα που σχετίζονται με τη λειτουργία της εσωτερικής αγοράς, η Επιτροπή θα πρέπει να έχει στη διάθεσή της πλήρεις, πρόσφατες και αξιόπιστες πληροφορίες για την παραγωγή αγαθών και υπηρεσιών στην Ένωση, καθώς και για τις διεθνείς εμπορικές ροές. Οι επιχειρήσεις χρειάζονται επίσης τις εν λόγω πληροφορίες προκειμένου να παρακολουθούν τις αγορές τους και τη διεθνή τους διάσταση. </w:t>
      </w:r>
    </w:p>
    <w:p>
      <w:pPr>
        <w:pStyle w:val="ManualConsidrant"/>
        <w:rPr>
          <w:noProof/>
        </w:rPr>
      </w:pPr>
      <w:r>
        <w:t>(21)</w:t>
      </w:r>
      <w:r>
        <w:tab/>
      </w:r>
      <w:r>
        <w:rPr>
          <w:noProof/>
        </w:rPr>
        <w:t>Είναι ανάγκη να παρέχονται επιχειρηματικές στατιστικές δομημένες ανά τομέα δραστηριότητας, ώστε να μετρηθεί η παραγωγικότητα των επιχειρήσεων της Ένωσης. Ειδικότερα, υπάρχει αυξανόμενη ζήτηση στατιστικών για τον τομέα των υπηρεσιών, ο οποίος αποτελεί τον δυναμικότερο τομέα των σύγχρονων οικονομιών, κυρίως όσον αφορά το δυναμικό ανάπτυξης και τη δημιουργίας θέσεων απασχόλησης του εν λόγω τομέα και λαμβάνοντας υπόψη τις σχέσεις με τον τομέα της μεταποίησης. Οι στατιστικές για το εμπόριο στον τομέα των υπηρεσιών είναι σημαντικές για την παρακολούθηση της λειτουργίας της εσωτερικής αγοράς υπηρεσιών και την εκτίμηση των επιπτώσεων των φραγμών στις εμπορικές συναλλαγές στον τομέα των υπηρεσιών.</w:t>
      </w:r>
    </w:p>
    <w:p>
      <w:pPr>
        <w:pStyle w:val="ManualConsidrant"/>
        <w:rPr>
          <w:noProof/>
        </w:rPr>
      </w:pPr>
      <w:r>
        <w:t>(22)</w:t>
      </w:r>
      <w:r>
        <w:tab/>
      </w:r>
      <w:r>
        <w:rPr>
          <w:noProof/>
        </w:rPr>
        <w:t xml:space="preserve">Η παρακολούθηση της προόδου επίτευξης των στόχων που έχει θέσει η στρατηγική «Ευρώπη 2020» σε επίπεδο κρατών μελών και Ένωσης επιβάλλει εναρμονισμένες στατιστικές για την οικονομία της Ένωσης στον τομέα της έρευνας και της ανάπτυξης, της καινοτομίας και της κοινωνίας των πληροφοριών που καλύπτουν δραστηριότητες τόσο εντός όσο και εκτός αγοράς και στο επιχειρηματικό τοπίο στο σύνολό του, ιδίως στη δημογραφία των επιχειρήσεων και την απασχόληση που σχετίζεται με τις δραστηριότητες της αγοράς. Η ενημέρωση αυτή παρέχει τη δυνατότητα στους υπεύθυνους χάραξης πολιτικής να λαμβάνουν τεκμηριωμένες αποφάσεις για την ανάπτυξη μιας οικονομίας βασιζόμενης στη γνώση και την καινοτομία, τη βελτίωση της πρόσβασης στην ενιαία αγορά για τις μικρές και μεσαίες επιχειρήσεις, την ανάπτυξη του επιχειρηματικού πνεύματος και τη βελτίωση της ανταγωνιστικότητας. </w:t>
      </w:r>
    </w:p>
    <w:p>
      <w:pPr>
        <w:pStyle w:val="ManualConsidrant"/>
        <w:rPr>
          <w:noProof/>
        </w:rPr>
      </w:pPr>
      <w:r>
        <w:t>(23)</w:t>
      </w:r>
      <w:r>
        <w:tab/>
      </w:r>
      <w:r>
        <w:rPr>
          <w:noProof/>
        </w:rPr>
        <w:t>Ο συντονισμός των οικονομικών πολιτικών εντός της Ένωσης και της ευρωζώνης, καθώς και η παροχή πληροφοριών στους οικονομικούς φορείς εντός της ενιαίας αγοράς απαιτούν συγκρίσιμα στοιχεία σχετικά με τις εξελίξεις στην αγορά εργασίας, συμπεριλαμβανομένων των στατιστικών σχετικά με το κόστος εργασίας, τις αποδοχές και τον αριθμό κατειλημμένων και κενών θέσεων εργασίας. Επιπλέον, η διά βίου μάθηση αποτελεί βασικό παράγοντα ανάπτυξης και προώθησης ενός εργατικού δυναμικού με δεξιότητες, κατάρτιση και δυνατότητα προσαρμογής, ενώ ιδιαίτερη προσοχή θα πρέπει να δοθεί στην επαγγελματική κατάρτιση στις επιχειρήσεις ως καίριας σημασίας παράγοντας για τη διά βίου μάθηση. Τα στοιχεία αυτά συλλέγονται κατά κύριο λόγο από τις επιχειρήσεις και θα πρέπει στο μέλλον να νομοθετηθούν και να ενοποιηθούν καλύτερα με άλλες στατιστικές για τις επιχειρήσεις. Χρειάζονται στοιχεία για το επίπεδο και τη σύνθεση του κόστους εργασίας, καθώς επίσης για τη διάρθρωση και την κατανομή των αποδοχών, ώστε να αξιολογηθούν οι μεσοπρόθεσμες εξελίξεις στις οικονομίες της Ένωσης. Χρειάζονται στοιχεία για την εξέλιξη του κόστους της εργασίας και τις κενές θέσεις εργασίας για τη βραχυπρόθεσμη παρακολούθηση των οικονομιών της Ένωσης, μεταξύ άλλων για τους σκοπούς της νομισματικής πολιτικής. Χρειάζονται στοιχεία για τις επενδύσεις των επιχειρήσεων στη συνεχή επαγγελματική κατάρτιση, τα χαρακτηριστικά και τον όγκο της παρεχόμενης κατάρτισης, καθώς και πληροφορίες σχετικά με τις στρατηγικές των επιχειρήσεων για την επαγγελματική κατάρτιση, ώστε να παρακολουθείται η εφαρμογή της στρατηγικής της Ένωσης για την ενισχυμένη συνεργασία στον τομέα της επαγγελματικής εκπαίδευσης και κατάρτισης.</w:t>
      </w:r>
    </w:p>
    <w:p>
      <w:pPr>
        <w:pStyle w:val="ManualConsidrant"/>
        <w:rPr>
          <w:noProof/>
        </w:rPr>
      </w:pPr>
      <w:r>
        <w:t>(24)</w:t>
      </w:r>
      <w:r>
        <w:tab/>
      </w:r>
      <w:r>
        <w:rPr>
          <w:noProof/>
        </w:rPr>
        <w:t>Χρειάζονται στατιστικές για την καινοτομία, τις δραστηριότητες έρευνας και ανάπτυξης για την ανάπτυξη και την παρακολούθηση πολιτικών που στοχεύουν στην ενίσχυση της ανταγωνιστικότητας των κρατών μελών και την αύξηση των μεσοπρόθεσμων και μακροπρόθεσμων δυνατοτήτων για έξυπνη ανάπτυξη και απασχόληση. Μια διευρυνόμενη ψηφιακή οικονομία και η αυξημένη χρήση των τεχνολογιών της πληροφορίας και των επικοινωνιών αποτελούν επίσης σημαντικούς παράγοντες ανταγωνιστικότητας και ανάπτυξης στην Ένωση και χρειάζονται στατιστικά στοιχεία για τη στήριξη των σχετικών στρατηγικών και πολιτικών.</w:t>
      </w:r>
    </w:p>
    <w:p>
      <w:pPr>
        <w:pStyle w:val="ManualConsidrant"/>
        <w:rPr>
          <w:noProof/>
        </w:rPr>
      </w:pPr>
      <w:r>
        <w:t>(25)</w:t>
      </w:r>
      <w:r>
        <w:tab/>
      </w:r>
      <w:r>
        <w:rPr>
          <w:noProof/>
        </w:rPr>
        <w:t>Οι στατιστικές για τιε επιχειρήσεις είναι επίσης απαραίτητες για την κατάρτιση εθνικών και περιφερειακών λογαριασμών σύμφωνα με τον κανονισμό (ΕΕ) αριθ. 549/2013 του Ευρωπαϊκού Κοινοβουλίου και του Συμβουλίου</w:t>
      </w:r>
      <w:r>
        <w:rPr>
          <w:rStyle w:val="FootnoteReference"/>
          <w:noProof/>
        </w:rPr>
        <w:footnoteReference w:id="11"/>
      </w:r>
      <w:r>
        <w:rPr>
          <w:noProof/>
        </w:rPr>
        <w:t xml:space="preserve">. </w:t>
      </w:r>
    </w:p>
    <w:p>
      <w:pPr>
        <w:pStyle w:val="ManualConsidrant"/>
        <w:rPr>
          <w:noProof/>
        </w:rPr>
      </w:pPr>
      <w:r>
        <w:t>(26)</w:t>
      </w:r>
      <w:r>
        <w:tab/>
      </w:r>
      <w:r>
        <w:rPr>
          <w:noProof/>
        </w:rPr>
        <w:t xml:space="preserve">Οι στατιστικές για το διεθνές εμπόριο υπηρεσιών, όπως απαιτείται για την κατάρτιση του ισοζυγίου πληρωμών της Ένωσης και της ευρωζώνης, καθορίζονται από την Επιτροπή (Eurostat) και την Ευρωπαϊκή Κεντρική Τράπεζα σε στενή συνεργασία. </w:t>
      </w:r>
    </w:p>
    <w:p>
      <w:pPr>
        <w:pStyle w:val="ManualConsidrant"/>
        <w:rPr>
          <w:noProof/>
        </w:rPr>
      </w:pPr>
      <w:r>
        <w:t>(27)</w:t>
      </w:r>
      <w:r>
        <w:tab/>
      </w:r>
      <w:r>
        <w:rPr>
          <w:noProof/>
        </w:rPr>
        <w:t>Οι αξιόπιστες και έγκαιρες στατιστικές είναι απαραίτητες για την ανάλυση της οικονομικής εξέλιξης κάθε κράτους μέλους στο πλαίσιο της οικονομικής πολιτικής της Ένωσης. Η Ευρωπαϊκή Κεντρική Τράπεζα χρειάζεται ταχείς βραχυπρόθεσμους δείκτες για να αξιολογεί την οικονομική εξέλιξη στα κράτη μέλη στο πλαίσιο της ενιαίας νομισματικής πολιτικής.</w:t>
      </w:r>
    </w:p>
    <w:p>
      <w:pPr>
        <w:pStyle w:val="ManualConsidrant"/>
        <w:rPr>
          <w:noProof/>
        </w:rPr>
      </w:pPr>
      <w:r>
        <w:t>(28)</w:t>
      </w:r>
      <w:r>
        <w:tab/>
      </w:r>
      <w:r>
        <w:rPr>
          <w:noProof/>
        </w:rPr>
        <w:t xml:space="preserve">Αν και διατηρείται η αρχή παροχής στατιστικών για τις επιχειρήσεις στο σύνολο της οικονομίας, οι απαιτήσεις στοιχείων θα πρέπει να λαμβάνουν υπόψη, στο μέτρο του δυνατού, την απλούστευση των μέτρων για την ελάφρυνση της επιβάρυνσης των επιχειρηματικών οικονομιών των κρατών μελών που είναι σχετικά μικρές, σύμφωνα με την αρχή της αναλογικότητας. </w:t>
      </w:r>
    </w:p>
    <w:p>
      <w:pPr>
        <w:pStyle w:val="ManualConsidrant"/>
        <w:rPr>
          <w:noProof/>
        </w:rPr>
      </w:pPr>
      <w:r>
        <w:t>(29)</w:t>
      </w:r>
      <w:r>
        <w:tab/>
      </w:r>
      <w:r>
        <w:rPr>
          <w:noProof/>
        </w:rPr>
        <w:t>Τα διεθνή πρότυπα, όπως η πρωτοβουλία για την ανταλλαγή στατιστικών στοιχείων και μεταδεδομένων (SDMX) και τα στατιστικά ή τεχνικά πρότυπα που θα εκπονηθούν στο πλαίσιο του ΕΣΣ, όπως τα πρότυπα μεταδεδομένων και επικύρωσης, θα πρέπει να χρησιμοποιούνται στο βαθμό που σχετίζονται με τις ευρωπαϊκές στατιστικές για τις επιχειρήσεις. Η επιτροπή του ευρωπαϊκού στατιστικού συστήματος (ΕΕΣΣ) έχει εγκρίνει μια τυποποίηση του ΕΣΣ για τις εκθέσεις ποιότητας, σύμφωνα με το άρθρο 12 του κανονισμού (ΕΚ) αριθ. 223/2009. Τα πρότυπα αυτά θα συμβάλουν στην εναρμόνιση της εξασφάλισης της ποιότητας και της υποβολής εκθέσεων δυνάμει του παρόντος κανονισμού.</w:t>
      </w:r>
    </w:p>
    <w:p>
      <w:pPr>
        <w:pStyle w:val="ManualConsidrant"/>
        <w:rPr>
          <w:noProof/>
        </w:rPr>
      </w:pPr>
      <w:r>
        <w:t>(30)</w:t>
      </w:r>
      <w:r>
        <w:tab/>
      </w:r>
      <w:r>
        <w:rPr>
          <w:noProof/>
        </w:rPr>
        <w:t>Προκειμένου να λαμβάνονται υπόψη οι οικονομικές και τεχνικές εξελίξεις, πρέπει να εκχωρηθεί στην Επιτροπή η εξουσιοδότηση έκδοσης πράξεων σύμφωνα με το άρθρο 290 της Συνθήκης όσον αφορά τα λεπτομερή ζητήματα που καθορίζονται στα παραρτήματα Ι και ΙΙ, καθώς και το ποσοστό κάλυψης για ενδοενωσιακές εξαγωγές αγαθών. Η Επιτροπή θα πρέπει, επίσης, να έχει την εξουσιοδότηση να συμπληρώσει τα ειδικά ζητήματα με θέματα και χαρακτηριστικά για το δυναμικό των στατιστικών επιχειρήσεων σχετικά με τις ΤΠΕ, την καινοτομία, τις παγκόσμιες αλυσίδες αξίας, και τις ακριβείς πληροφορίες που θα πρέπει να παρέχουν οι φορολογικές και τελωνειακές αρχές. Έχει ιδιαίτερη σημασία η διεξαγωγή από την Επιτροπή των κατάλληλων διαβουλεύσεων κατά τις προπαρασκευαστικές εργασίες της, μεταξύ άλλων και σε επίπεδο εμπειρογνωμόνων, καθώς και η διεξαγωγή των εν λόγω διαβουλεύσεων σύμφωνα με τις αρχές που ορίζονται στη διοργανική συμφωνία για τη βελτίωση του νομοθετικού έργου, της 13ης Απριλίου 2016</w:t>
      </w:r>
      <w:r>
        <w:rPr>
          <w:rStyle w:val="FootnoteReference"/>
          <w:noProof/>
        </w:rPr>
        <w:footnoteReference w:id="12"/>
      </w:r>
      <w:r>
        <w:rPr>
          <w:noProof/>
        </w:rPr>
        <w:t xml:space="preserve">. Πιο συγκεκριμένα, για να διασφαλίζεται ισότιμη συμμετοχή στην προετοιμασία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κατ' εξουσιοδότηση πράξεων. </w:t>
      </w:r>
    </w:p>
    <w:p>
      <w:pPr>
        <w:pStyle w:val="ManualConsidrant"/>
        <w:rPr>
          <w:noProof/>
        </w:rPr>
      </w:pPr>
      <w:r>
        <w:t>(31)</w:t>
      </w:r>
      <w:r>
        <w:tab/>
      </w:r>
      <w:r>
        <w:rPr>
          <w:noProof/>
        </w:rPr>
        <w:t>Προκειμένου να διασφαλιστούν ενιαίες συνθήκες για την τεχνική εφαρμογή ορισμένων στοιχείων των απαιτήσεων, μεταξύ άλλων και όσον αφορά τα μητρώα επιχειρήσεων του μορφότυπου, των μέτρων ασφάλειας και απορρήτου, της διαδικασίας για την ανταλλαγή απόρρητων στοιχείων για τους σκοπούς του ευρωπαϊκού δικτύου μητρώων επιχειρήσεων για στατιστικούς σκοπούς, της διαβίβαση στοιχείων και μεταδεδομένων, της ποιότητας των στοιχείων και των εκθέσεων και παρεκκλίσεων των μεταδεδομένων, θα πρέπει να ανατεθούν εκτελεστικές αρμοδιότητες στην Επιτροπή. Με τον ίδιο σκοπό, επιπλέον, πρέπει να ανατεθούν επιπλέον εκτελεστικές αρμοδιότητες στην Επιτροπή όσον αφορά τις λεπτομέρειες καθώς και τον μορφότυπο, τα μέτρα ασφάλειας και απορρήτου, τη διαδικασία για την ανταλλαγή απόρρητων στοιχείων για τους σκοπούς του ενδοενωσιακού εμπορίου, τις στατιστικές σχετικά με τις προδιαγραφές των σχετικών μεταδεδομένων, το χρονοδιάγραμμα, τις λεπτομερείς διατάξεις για τη συλλογή και την κατάρτιση των στατιστικών στοιχείων σχετικά με τις ενδοενωσιακές εξαγωγές αγαθών που παρέχονται στο κράτος μέλος εισαγωγής, τις λεπτομέρειες για την εφαρμογή του ποσοστού κάλυψης του συνόλου των ενδοενωσιακών εξαγωγών αγαθών, τα συστατικά των στατιστικών στοιχείων για τα μικροδεδομένα που συλλέγονται μέσω ερευνών που αφορούν το ενδοενωσιακό εμπόριο αγαθών που πρέπει να παρέχονται στο κράτος μέλος εισαγωγής, καθώς και τις σχετικές απλουστεύσεις. Οι εν λόγω αρμοδιότητες θα πρέπει να ασκηθούν σύμφωνα με τον κανονισμό (ΕΕ) αριθ. 182/2011 του Ευρωπαϊκού Κοινοβουλίου και του Συμβουλίου</w:t>
      </w:r>
      <w:r>
        <w:rPr>
          <w:rStyle w:val="FootnoteReference"/>
          <w:noProof/>
        </w:rPr>
        <w:footnoteReference w:id="13"/>
      </w:r>
      <w:r>
        <w:rPr>
          <w:noProof/>
        </w:rPr>
        <w:t xml:space="preserve">. </w:t>
      </w:r>
    </w:p>
    <w:p>
      <w:pPr>
        <w:pStyle w:val="ManualConsidrant"/>
        <w:rPr>
          <w:noProof/>
        </w:rPr>
      </w:pPr>
      <w:r>
        <w:t>(32)</w:t>
      </w:r>
      <w:r>
        <w:tab/>
      </w:r>
      <w:r>
        <w:rPr>
          <w:noProof/>
        </w:rPr>
        <w:t>Κατά περίπτωση, η Επιτροπή θα πρέπει να διεξαγάγει ανάλυση κόστους οφέλους και να διασφαλίζει ότι οποιαδήποτε δράση προτείνει δεν θα συνεπάγεται σημαντική πρόσθετη επιβάρυνση για τα κράτη μέλη ή τους απαντώντες λαμβάνοντας υπόψη τα αναμενόμενα οφέλη στους χρήστες.</w:t>
      </w:r>
    </w:p>
    <w:p>
      <w:pPr>
        <w:pStyle w:val="ManualConsidrant"/>
        <w:rPr>
          <w:noProof/>
        </w:rPr>
      </w:pPr>
      <w:r>
        <w:t>(33)</w:t>
      </w:r>
      <w:r>
        <w:tab/>
      </w:r>
      <w:r>
        <w:rPr>
          <w:noProof/>
        </w:rPr>
        <w:t>Η Επιτροπή μπορεί να χορηγεί παρεκκλίσεις από την εφαρμογή του παρόντος κανονισμού ή των κατ’ εξουσιοδότηση και των εκτελεστικών πράξεων που εκδίδονται στο πλαίσιο αυτού, όταν η εν λόγω εφαρμογή έχει ως αποτέλεσμα σημαντικές προσαρμογές σε ένα εθνικό στατιστικό σύστημα κράτους μέλους όσον αφορά τη διοργάνωση επιπλέον ερευνών ή μείζονες προσαρμογές των συστημάτων παραγωγής στατιστικών για την αντιμετώπιση νέων πηγών στοιχείων ή για να επιτραπεί ο συνδυασμός διαφόρων πηγών.</w:t>
      </w:r>
    </w:p>
    <w:p>
      <w:pPr>
        <w:pStyle w:val="ManualConsidrant"/>
        <w:rPr>
          <w:noProof/>
        </w:rPr>
      </w:pPr>
      <w:r>
        <w:t>(34)</w:t>
      </w:r>
      <w:r>
        <w:tab/>
      </w:r>
      <w:r>
        <w:rPr>
          <w:noProof/>
        </w:rPr>
        <w:t>Δεδομένου ότι ο στόχος του παρόντος κανονισμού, ήτοι η θέσπιση ενός κοινού πλαισίου στον τομέα των ευρωπαϊκών στατιστικών για τις επιχειρήσεις, δεν μπορεί να επιτευχθεί επαρκώς από τα κράτη μέλη, μπορεί όμως, για λόγους εναρμόνισης και συγκρισιμότητας, να επιτευχθεί καλύτερα σε ενωσιακό επίπεδο, η Ένωση μπορεί να λάβει μέτρα σύμφωνα με την αρχή της επικουρικότητας του άρθρου 5 της Συνθήκης για την Ευρωπαϊκή Ένωση. Σύμφωνα με την αρχή της αναλογικότητας που ορίζεται στο ίδιο άρθρο, ο παρών κανονισμός δεν υπερβαίνει το αναγκαίο για την επίτευξη αυτού του στόχου.</w:t>
      </w:r>
    </w:p>
    <w:p>
      <w:pPr>
        <w:pStyle w:val="ManualConsidrant"/>
        <w:rPr>
          <w:noProof/>
        </w:rPr>
      </w:pPr>
      <w:r>
        <w:t>(35)</w:t>
      </w:r>
      <w:r>
        <w:tab/>
      </w:r>
      <w:r>
        <w:rPr>
          <w:noProof/>
        </w:rPr>
        <w:t>Τα μέτρα που προβλέπονται στον κανονισμό (ΕΚ) αριθ. 184/2005 του Ευρωπαϊκού Κοινοβουλίου και του Συμβουλίου</w:t>
      </w:r>
      <w:r>
        <w:rPr>
          <w:rStyle w:val="FootnoteReference"/>
          <w:noProof/>
        </w:rPr>
        <w:footnoteReference w:id="14"/>
      </w:r>
      <w:r>
        <w:rPr>
          <w:noProof/>
        </w:rPr>
        <w:t xml:space="preserve"> θα πρέπει να τροποποιηθούν όσον αφορά τις αναφορές στις διεθνείς συναλλαγές στον τομέα των υπηρεσιών.</w:t>
      </w:r>
    </w:p>
    <w:p>
      <w:pPr>
        <w:pStyle w:val="ManualConsidrant"/>
        <w:rPr>
          <w:noProof/>
        </w:rPr>
      </w:pPr>
      <w:r>
        <w:t>(36)</w:t>
      </w:r>
      <w:r>
        <w:tab/>
      </w:r>
      <w:r>
        <w:rPr>
          <w:noProof/>
        </w:rPr>
        <w:t>Τα μέτρα που ορίζονται στον παρόντα κανονισμό θα αντικαταστήσουν τα μέτρα του κανονισμού (EΟΚ) αριθ. 3924/91 του Συμβουλίου</w:t>
      </w:r>
      <w:r>
        <w:rPr>
          <w:rStyle w:val="FootnoteReference"/>
          <w:noProof/>
        </w:rPr>
        <w:footnoteReference w:id="15"/>
      </w:r>
      <w:r>
        <w:rPr>
          <w:noProof/>
        </w:rPr>
        <w:t>, του κανονισμού (EΚ) αριθ. 1165/98 του Συμβουλίου</w:t>
      </w:r>
      <w:r>
        <w:rPr>
          <w:rStyle w:val="FootnoteReference"/>
          <w:noProof/>
        </w:rPr>
        <w:footnoteReference w:id="16"/>
      </w:r>
      <w:r>
        <w:rPr>
          <w:noProof/>
        </w:rPr>
        <w:t>, της απόφασης (EΚ) αριθ. 1608/2003 του Ευρωπαϊκού Κοινοβουλίου και του Συμβουλίου</w:t>
      </w:r>
      <w:r>
        <w:rPr>
          <w:rStyle w:val="FootnoteReference"/>
          <w:noProof/>
        </w:rPr>
        <w:footnoteReference w:id="17"/>
      </w:r>
      <w:r>
        <w:rPr>
          <w:noProof/>
        </w:rPr>
        <w:t>, του κανονισμού (EΚ) αριθ. 48/2004 του Ευρωπαϊκού Κοινοβουλίου και του Συμβουλίου</w:t>
      </w:r>
      <w:r>
        <w:rPr>
          <w:rStyle w:val="FootnoteReference"/>
          <w:noProof/>
        </w:rPr>
        <w:footnoteReference w:id="18"/>
      </w:r>
      <w:r>
        <w:rPr>
          <w:noProof/>
        </w:rPr>
        <w:t>, του κανονισμού (EΚ) αριθ. 638/2004 του Ευρωπαϊκού Κοινοβουλίου και του Συμβουλίου</w:t>
      </w:r>
      <w:r>
        <w:rPr>
          <w:rStyle w:val="FootnoteReference"/>
          <w:noProof/>
        </w:rPr>
        <w:footnoteReference w:id="19"/>
      </w:r>
      <w:r>
        <w:rPr>
          <w:noProof/>
        </w:rPr>
        <w:t>, του κανονισμού (EΚ) αριθ. 808/2004 του Ευρωπαϊκού Κοινοβουλίου και του Συμβουλίου</w:t>
      </w:r>
      <w:r>
        <w:rPr>
          <w:rStyle w:val="FootnoteReference"/>
          <w:noProof/>
        </w:rPr>
        <w:footnoteReference w:id="20"/>
      </w:r>
      <w:r>
        <w:rPr>
          <w:noProof/>
        </w:rPr>
        <w:t>, του κανονισμού (EΚ) αριθ. 716/2007 του Ευρωπαϊκού Κοινοβουλίου και του Συμβουλίου</w:t>
      </w:r>
      <w:r>
        <w:rPr>
          <w:rStyle w:val="FootnoteReference"/>
          <w:noProof/>
        </w:rPr>
        <w:footnoteReference w:id="21"/>
      </w:r>
      <w:r>
        <w:rPr>
          <w:noProof/>
        </w:rPr>
        <w:t>, του κανονισμού (EΚ) αριθ. 177/2008 του Ευρωπαϊκού Κοινοβουλίου και του Συμβουλίου</w:t>
      </w:r>
      <w:r>
        <w:rPr>
          <w:rStyle w:val="FootnoteReference"/>
          <w:noProof/>
        </w:rPr>
        <w:footnoteReference w:id="22"/>
      </w:r>
      <w:r>
        <w:rPr>
          <w:noProof/>
        </w:rPr>
        <w:t>, του κανονισμού (EΚ) αριθ. 295/2008 του Ευρωπαϊκού Κοινοβουλίου και του Συμβουλίου</w:t>
      </w:r>
      <w:r>
        <w:rPr>
          <w:rStyle w:val="FootnoteReference"/>
          <w:noProof/>
        </w:rPr>
        <w:footnoteReference w:id="23"/>
      </w:r>
      <w:r>
        <w:rPr>
          <w:noProof/>
        </w:rPr>
        <w:t>, και του κανονισμού (EΚ) αριθ. 471/2009 του Ευρωπαϊκού Κοινοβουλίου και του Συμβουλίου</w:t>
      </w:r>
      <w:r>
        <w:rPr>
          <w:rStyle w:val="FootnoteReference"/>
          <w:noProof/>
        </w:rPr>
        <w:footnoteReference w:id="24"/>
      </w:r>
      <w:r>
        <w:rPr>
          <w:noProof/>
        </w:rPr>
        <w:t xml:space="preserve">. Συνεπώς, οι εν  λόγω πράξεις θα πρέπει να καταργηθούν. </w:t>
      </w:r>
    </w:p>
    <w:p>
      <w:pPr>
        <w:pStyle w:val="ManualConsidrant"/>
        <w:rPr>
          <w:noProof/>
        </w:rPr>
      </w:pPr>
      <w:r>
        <w:t>(37)</w:t>
      </w:r>
      <w:r>
        <w:tab/>
      </w:r>
      <w:r>
        <w:rPr>
          <w:noProof/>
        </w:rPr>
        <w:t>Ζητήθηκε η γνωμοδότηση του Ευρωπαίου Επόπτη Προστασίας Δεδομένων.</w:t>
      </w:r>
    </w:p>
    <w:p>
      <w:pPr>
        <w:pStyle w:val="ManualConsidrant"/>
        <w:rPr>
          <w:noProof/>
        </w:rPr>
      </w:pPr>
      <w:r>
        <w:t>(38)</w:t>
      </w:r>
      <w:r>
        <w:tab/>
      </w:r>
      <w:r>
        <w:rPr>
          <w:noProof/>
        </w:rPr>
        <w:t>Ζητήθηκε η γνώμη της Επιτροπής Ευρωπαϊκού Στατιστικού Συστήματος,</w:t>
      </w:r>
    </w:p>
    <w:p>
      <w:pPr>
        <w:pStyle w:val="Formuledadoption"/>
        <w:rPr>
          <w:noProof/>
        </w:rPr>
      </w:pPr>
      <w:r>
        <w:rPr>
          <w:noProof/>
        </w:rPr>
        <w:t>ΕΞΕΔΩΣΑΝ ΤΟΝ ΠΑΡΟΝΤΑ ΚΑΝΟΝΙΣΜΟ:</w:t>
      </w:r>
    </w:p>
    <w:p>
      <w:pPr>
        <w:pStyle w:val="ChapterTitle"/>
        <w:rPr>
          <w:noProof/>
        </w:rPr>
      </w:pPr>
      <w:r>
        <w:rPr>
          <w:noProof/>
        </w:rPr>
        <w:t xml:space="preserve">ΚΕΦΑΛΑΙΟ I </w:t>
      </w:r>
    </w:p>
    <w:p>
      <w:pPr>
        <w:pStyle w:val="ChapterTitle"/>
        <w:rPr>
          <w:noProof/>
        </w:rPr>
      </w:pPr>
      <w:r>
        <w:rPr>
          <w:noProof/>
        </w:rPr>
        <w:t>ΓΕΝΙΚΕΣ ΔΙΑΤΑΞΕΙΣ</w:t>
      </w:r>
    </w:p>
    <w:p>
      <w:pPr>
        <w:pStyle w:val="Titrearticle"/>
        <w:rPr>
          <w:noProof/>
        </w:rPr>
      </w:pPr>
      <w:r>
        <w:rPr>
          <w:noProof/>
        </w:rPr>
        <w:t>Άρθρο 1</w:t>
      </w:r>
    </w:p>
    <w:p>
      <w:pPr>
        <w:pStyle w:val="Titrearticle"/>
        <w:rPr>
          <w:noProof/>
        </w:rPr>
      </w:pPr>
      <w:r>
        <w:rPr>
          <w:noProof/>
        </w:rPr>
        <w:t>Αντικείμενο</w:t>
      </w:r>
    </w:p>
    <w:p>
      <w:pPr>
        <w:rPr>
          <w:noProof/>
        </w:rPr>
      </w:pPr>
      <w:r>
        <w:rPr>
          <w:noProof/>
        </w:rPr>
        <w:t xml:space="preserve">Ο παρών κανονισμός θεσπίζει ένα κοινό νομικό πλαίσιο για: </w:t>
      </w:r>
    </w:p>
    <w:p>
      <w:pPr>
        <w:pStyle w:val="Point1letter"/>
        <w:rPr>
          <w:noProof/>
        </w:rPr>
      </w:pPr>
      <w:r>
        <w:rPr>
          <w:noProof/>
        </w:rPr>
        <w:t>την ανάπτυξη, την παραγωγή και τη διάδοση ευρωπαϊκών στατιστικών σχετικά με τη διάρθρωση, τις οικονομικές δραστηριότητες και τις επιδόσεις των επιχειρήσεων, καθώς και τις διεθνείς συναλλαγές και δραστηριότητες έρευνας και ανάπτυξης της οικονομίας της Ένωσης (ευρωπαϊκές στατιστικές για τις επιχειρήσεις)·</w:t>
      </w:r>
    </w:p>
    <w:p>
      <w:pPr>
        <w:pStyle w:val="Point1letter"/>
        <w:rPr>
          <w:noProof/>
        </w:rPr>
      </w:pPr>
      <w:r>
        <w:rPr>
          <w:noProof/>
        </w:rPr>
        <w:t>το ευρωπαϊκό δίκτυο εθνικών στατιστικών μητρώων επιχειρήσεων και το μητρώο EuroGroups.</w:t>
      </w:r>
    </w:p>
    <w:p>
      <w:pPr>
        <w:pStyle w:val="Titrearticle"/>
        <w:rPr>
          <w:noProof/>
        </w:rPr>
      </w:pPr>
      <w:r>
        <w:rPr>
          <w:noProof/>
        </w:rPr>
        <w:t>Άρθρο 2</w:t>
      </w:r>
    </w:p>
    <w:p>
      <w:pPr>
        <w:pStyle w:val="Titrearticle"/>
        <w:rPr>
          <w:noProof/>
        </w:rPr>
      </w:pPr>
      <w:r>
        <w:rPr>
          <w:noProof/>
        </w:rPr>
        <w:t>Ορισμοί</w:t>
      </w:r>
    </w:p>
    <w:p>
      <w:pPr>
        <w:pStyle w:val="ManualNumPar1"/>
        <w:rPr>
          <w:noProof/>
        </w:rPr>
      </w:pPr>
      <w:r>
        <w:t>1.</w:t>
      </w:r>
      <w:r>
        <w:tab/>
      </w:r>
      <w:r>
        <w:rPr>
          <w:noProof/>
        </w:rPr>
        <w:t>Για τους σκοπούς του παρόντος κανονισμού εφαρμόζονται οι ακόλουθοι ορισμοί:</w:t>
      </w:r>
    </w:p>
    <w:p>
      <w:pPr>
        <w:pStyle w:val="Point1letter"/>
        <w:numPr>
          <w:ilvl w:val="3"/>
          <w:numId w:val="63"/>
        </w:numPr>
        <w:rPr>
          <w:noProof/>
        </w:rPr>
      </w:pPr>
      <w:r>
        <w:rPr>
          <w:noProof/>
        </w:rPr>
        <w:t>«στατιστική μονάδα»: οι στατιστικές μονάδες όπως ορίζονται στο παράρτημα του κανονισμού (ΕΟΚ) αριθ. 696/93 του Συμβουλίου</w:t>
      </w:r>
      <w:r>
        <w:rPr>
          <w:rStyle w:val="FootnoteReference"/>
          <w:noProof/>
        </w:rPr>
        <w:footnoteReference w:id="25"/>
      </w:r>
      <w:r>
        <w:rPr>
          <w:noProof/>
        </w:rPr>
        <w:t xml:space="preserve">· </w:t>
      </w:r>
    </w:p>
    <w:p>
      <w:pPr>
        <w:pStyle w:val="Point1letter"/>
        <w:rPr>
          <w:noProof/>
        </w:rPr>
      </w:pPr>
      <w:r>
        <w:rPr>
          <w:noProof/>
        </w:rPr>
        <w:t>«μονάδα αναφοράς»: η μονάδα που παρέχει τα στοιχεία·</w:t>
      </w:r>
    </w:p>
    <w:p>
      <w:pPr>
        <w:pStyle w:val="Point1letter"/>
        <w:rPr>
          <w:noProof/>
        </w:rPr>
      </w:pPr>
      <w:r>
        <w:rPr>
          <w:noProof/>
        </w:rPr>
        <w:t>«θεματικό πεδίο»: ένα ή περισσότερα σύνολα στοιχείων που έχουν οργανωθεί για την κάλυψη συγκεκριμένων ζητημάτων·</w:t>
      </w:r>
    </w:p>
    <w:p>
      <w:pPr>
        <w:pStyle w:val="Point1letter"/>
        <w:rPr>
          <w:noProof/>
        </w:rPr>
      </w:pPr>
      <w:r>
        <w:rPr>
          <w:noProof/>
        </w:rPr>
        <w:t xml:space="preserve">«θέμα» και «αναλυτικό θέμα»: το περιεχόμενο των πληροφοριών που πρέπει να καταρτιστούν σχετικά με τις στατιστικές μονάδες. Τα αναλυτικά θέματα περιλαμβάνουν υψηλότερο επίπεδο λεπτομέρειας από τα θέματα. Ένα θέμα καλύπτει μια σειρά λεπτομερών θεμάτων· </w:t>
      </w:r>
    </w:p>
    <w:p>
      <w:pPr>
        <w:pStyle w:val="Point1letter"/>
        <w:rPr>
          <w:noProof/>
        </w:rPr>
      </w:pPr>
      <w:r>
        <w:rPr>
          <w:noProof/>
        </w:rPr>
        <w:t>«μεταβλητή»: χαρακτηριστικό μιας μονάδας υπό παρατήρηση που μπορεί να αναλάβει περισσότερες από μία δέσμη αξιών·</w:t>
      </w:r>
    </w:p>
    <w:p>
      <w:pPr>
        <w:pStyle w:val="Point1letter"/>
        <w:rPr>
          <w:noProof/>
        </w:rPr>
      </w:pPr>
      <w:r>
        <w:rPr>
          <w:noProof/>
        </w:rPr>
        <w:t>«χαρακτηριστικό»: η αφαίρεση της ιδιότητας ενός αντικειμένου ή μιας σειράς αντικειμένων·</w:t>
      </w:r>
    </w:p>
    <w:p>
      <w:pPr>
        <w:pStyle w:val="Point1letter"/>
        <w:rPr>
          <w:noProof/>
        </w:rPr>
      </w:pPr>
      <w:r>
        <w:rPr>
          <w:noProof/>
        </w:rPr>
        <w:t>«δραστηριότητα παραγωγής εμπορεύσιμων προϊόντων» και «δραστηριότητα παραγωγής μη εμπορεύσιμων προϊόντων»: δραστηριότητες όπως ορίζονται στον κανονισμό (ΕΕ) αριθ. 549/2013·</w:t>
      </w:r>
    </w:p>
    <w:p>
      <w:pPr>
        <w:pStyle w:val="Point1letter"/>
        <w:rPr>
          <w:noProof/>
        </w:rPr>
      </w:pPr>
      <w:r>
        <w:rPr>
          <w:noProof/>
        </w:rPr>
        <w:t>«παραγωγός εμπορεύσιμων προϊόντων» και «παραγωγός μη εμπορεύσιμων προϊόντων»: δραστηριότητες όπως ορίζονται στον κανονισμό (ΕΕ) αριθ. 549/2013·</w:t>
      </w:r>
    </w:p>
    <w:p>
      <w:pPr>
        <w:pStyle w:val="Point1letter"/>
        <w:rPr>
          <w:noProof/>
        </w:rPr>
      </w:pPr>
      <w:r>
        <w:rPr>
          <w:noProof/>
        </w:rPr>
        <w:t xml:space="preserve">«εθνικές στατιστικές αρχές»: οι εθνικές στατιστικές υπηρεσίες που ορίζονται από τα κράτη μέλη και τις άλλες εθνικές αρχές που είναι υπεύθυνες για την ανάπτυξη, την παραγωγή και τη διάδοση των ευρωπαϊκών στατιστικών που αναφέρονται στο άρθρο 5 παράγραφοι 1 και 2 του κανονισμού (ΕΚ) αριθ. 223/2009· </w:t>
      </w:r>
    </w:p>
    <w:p>
      <w:pPr>
        <w:pStyle w:val="Point1letter"/>
        <w:rPr>
          <w:noProof/>
        </w:rPr>
      </w:pPr>
      <w:r>
        <w:rPr>
          <w:noProof/>
        </w:rPr>
        <w:t>«έγκυρη πηγή»: ο μοναδικός πάροχος αρχείων στοιχείων που περιέχουν στοιχεία από το εθνικό στατιστικό μητρώο επιχειρήσεων και το μητρώο EuroGroups σύμφωνα με τα πρότυπα ποιότητας που αναφέρονται στο άρθρο 16·</w:t>
      </w:r>
    </w:p>
    <w:p>
      <w:pPr>
        <w:pStyle w:val="Point1letter"/>
        <w:rPr>
          <w:noProof/>
        </w:rPr>
      </w:pPr>
      <w:r>
        <w:rPr>
          <w:noProof/>
        </w:rPr>
        <w:t>«μικροδεδομένα»: ατομικές παρατηρήσεις ή μετρήσεις χαρακτηριστικών ταυτοποιήσιμων μονάδων αναφοράς ή στατιστικών μονάδων·</w:t>
      </w:r>
    </w:p>
    <w:p>
      <w:pPr>
        <w:pStyle w:val="Point1letter"/>
        <w:rPr>
          <w:noProof/>
        </w:rPr>
      </w:pPr>
      <w:r>
        <w:rPr>
          <w:noProof/>
        </w:rPr>
        <w:t>«χρήση για στατιστικούς σκοπούς»: αποκλειστική χρήση για την ανάπτυξη και την παραγωγή στατιστικών αποτελεσμάτων και αναλύσεων, όπως ορίζεται στο άρθρο 3 παράγραφος 8 του κανονισμού (ΕΚ) αριθ. 223/2009·</w:t>
      </w:r>
    </w:p>
    <w:p>
      <w:pPr>
        <w:pStyle w:val="Point1letter"/>
        <w:rPr>
          <w:noProof/>
        </w:rPr>
      </w:pPr>
      <w:r>
        <w:rPr>
          <w:noProof/>
        </w:rPr>
        <w:t>«απόρρητα στοιχεία»: στοιχεία κατά τον ορισμό του άρθρου 3 παράγραφος 7 του κανονισμού (ΕΚ) αριθ. 223/2009·</w:t>
      </w:r>
    </w:p>
    <w:p>
      <w:pPr>
        <w:pStyle w:val="Point1letter"/>
        <w:rPr>
          <w:noProof/>
        </w:rPr>
      </w:pPr>
      <w:r>
        <w:rPr>
          <w:noProof/>
        </w:rPr>
        <w:t>«φορολογική αρχή»: η εθνική αρχή του κράτους μέλους που είναι αρμόδια για την εφαρμογή της οδηγίας 2006/112/ΕΚ του Συμβουλίου</w:t>
      </w:r>
      <w:r>
        <w:rPr>
          <w:rStyle w:val="FootnoteReference"/>
          <w:noProof/>
        </w:rPr>
        <w:footnoteReference w:id="26"/>
      </w:r>
      <w:r>
        <w:rPr>
          <w:noProof/>
        </w:rPr>
        <w:t>·</w:t>
      </w:r>
    </w:p>
    <w:p>
      <w:pPr>
        <w:pStyle w:val="Point1letter"/>
        <w:rPr>
          <w:noProof/>
        </w:rPr>
      </w:pPr>
      <w:r>
        <w:rPr>
          <w:noProof/>
        </w:rPr>
        <w:t>«τελωνειακές αρχές»: οι τελωνειακές αρχές όπως αναφέρονται στο άρθρο 5 παράγραφος 1 του κανονισμού (ΕΚ) αριθ. 952/2013.</w:t>
      </w:r>
    </w:p>
    <w:p>
      <w:pPr>
        <w:pStyle w:val="ManualNumPar1"/>
        <w:rPr>
          <w:noProof/>
        </w:rPr>
      </w:pPr>
      <w:r>
        <w:t>2.</w:t>
      </w:r>
      <w:r>
        <w:tab/>
      </w:r>
      <w:r>
        <w:rPr>
          <w:noProof/>
        </w:rPr>
        <w:t>Για τους σκοπούς των άρθρων 11 έως 15 ισχύουν οι ακόλουθοι ορισμοί:</w:t>
      </w:r>
    </w:p>
    <w:p>
      <w:pPr>
        <w:pStyle w:val="Point1letter"/>
        <w:numPr>
          <w:ilvl w:val="3"/>
          <w:numId w:val="64"/>
        </w:numPr>
        <w:rPr>
          <w:noProof/>
        </w:rPr>
      </w:pPr>
      <w:r>
        <w:rPr>
          <w:noProof/>
        </w:rPr>
        <w:t>«κράτος μέλος εξαγωγής»: το κράτος μέλος από το στατιστικό έδαφος του οποίου εξάγονται τα αγαθά με προορισμό το κράτος μέλος εισαγωγής·</w:t>
      </w:r>
    </w:p>
    <w:p>
      <w:pPr>
        <w:pStyle w:val="Point1letter"/>
        <w:rPr>
          <w:noProof/>
        </w:rPr>
      </w:pPr>
      <w:r>
        <w:rPr>
          <w:noProof/>
        </w:rPr>
        <w:t>«κράτος μέλος εισαγωγής»: το κράτος μέλος στο στατιστικό έδαφος του οποίου εισάγονται αγαθά προερχόμενα από το κράτος μέλος εξαγωγής·</w:t>
      </w:r>
    </w:p>
    <w:p>
      <w:pPr>
        <w:pStyle w:val="Point1letter"/>
        <w:rPr>
          <w:noProof/>
        </w:rPr>
      </w:pPr>
      <w:r>
        <w:rPr>
          <w:noProof/>
        </w:rPr>
        <w:t>«αγαθά»: κάθε κινητή περιουσία, συμπεριλαμβανομένης της ηλεκτρικής ενέργειας και του φυσικού αερίου.</w:t>
      </w:r>
    </w:p>
    <w:p>
      <w:pPr>
        <w:pStyle w:val="Titrearticle"/>
        <w:rPr>
          <w:noProof/>
        </w:rPr>
      </w:pPr>
      <w:r>
        <w:rPr>
          <w:noProof/>
        </w:rPr>
        <w:t>Άρθρο 3</w:t>
      </w:r>
    </w:p>
    <w:p>
      <w:pPr>
        <w:pStyle w:val="Titrearticle"/>
        <w:rPr>
          <w:noProof/>
        </w:rPr>
      </w:pPr>
      <w:r>
        <w:rPr>
          <w:noProof/>
        </w:rPr>
        <w:t>Πεδίο εφαρμογής</w:t>
      </w:r>
    </w:p>
    <w:p>
      <w:pPr>
        <w:pStyle w:val="ManualNumPar1"/>
        <w:rPr>
          <w:noProof/>
        </w:rPr>
      </w:pPr>
      <w:r>
        <w:t>1.</w:t>
      </w:r>
      <w:r>
        <w:tab/>
      </w:r>
      <w:r>
        <w:rPr>
          <w:noProof/>
        </w:rPr>
        <w:t>Οι ευρωπαϊκές στατιστικές για τις επιχειρήσεις καλύπτουν:</w:t>
      </w:r>
    </w:p>
    <w:p>
      <w:pPr>
        <w:pStyle w:val="Point1letter"/>
        <w:numPr>
          <w:ilvl w:val="3"/>
          <w:numId w:val="29"/>
        </w:numPr>
        <w:rPr>
          <w:noProof/>
        </w:rPr>
      </w:pPr>
      <w:r>
        <w:rPr>
          <w:noProof/>
        </w:rPr>
        <w:t>τη διάρθρωση, τις οικονομικές δραστηριότητες και τις επιδόσεις των στατιστικών μονάδων, των δραστηριοτήτων έρευνας, ανάπτυξης και καινοτομίας, της χρήσης ΤΠΕ και ηλεκτρονικού εμπορίου, καθώς και τις παγκόσμιες αλυσίδες αξίας·</w:t>
      </w:r>
    </w:p>
    <w:p>
      <w:pPr>
        <w:pStyle w:val="Point1letter"/>
        <w:rPr>
          <w:noProof/>
        </w:rPr>
      </w:pPr>
      <w:r>
        <w:rPr>
          <w:noProof/>
        </w:rPr>
        <w:t>την παραγωγή βιομηχανικών προϊόντων και υπηρεσιών, καθώς και το διεθνές εμπόριο αγαθών και υπηρεσιών.</w:t>
      </w:r>
    </w:p>
    <w:p>
      <w:pPr>
        <w:pStyle w:val="ManualNumPar1"/>
        <w:rPr>
          <w:noProof/>
        </w:rPr>
      </w:pPr>
      <w:r>
        <w:t>2.</w:t>
      </w:r>
      <w:r>
        <w:tab/>
      </w:r>
      <w:r>
        <w:rPr>
          <w:noProof/>
        </w:rPr>
        <w:t>Το ευρωπαϊκό δίκτυο μητρώων επιχειρήσεων για στατιστικούς σκοπούς καλύπτει τα εθνικά μητρώα επιχειρήσεων και το μητρώο EuroGroups, καθώς και τις ανταλλαγές μεταξύ τους.</w:t>
      </w:r>
    </w:p>
    <w:p>
      <w:pPr>
        <w:pStyle w:val="Point1letter"/>
        <w:numPr>
          <w:ilvl w:val="3"/>
          <w:numId w:val="12"/>
        </w:numPr>
        <w:rPr>
          <w:noProof/>
        </w:rPr>
      </w:pPr>
      <w:r>
        <w:rPr>
          <w:noProof/>
        </w:rPr>
        <w:t>Τα εθνικά στατιστικά μητρώα επιχειρήσεων περιλαμβάνουν:</w:t>
      </w:r>
    </w:p>
    <w:p>
      <w:pPr>
        <w:pStyle w:val="Point2"/>
        <w:rPr>
          <w:noProof/>
        </w:rPr>
      </w:pPr>
      <w:r>
        <w:rPr>
          <w:noProof/>
        </w:rPr>
        <w:t xml:space="preserve">i) </w:t>
      </w:r>
      <w:r>
        <w:rPr>
          <w:noProof/>
        </w:rPr>
        <w:tab/>
        <w:t>όλες τις επιχειρήσεις που ασκούν οικονομικές δραστηριότητες που συμβάλλουν στη δημιουργία του ακαθάριστου εγχώριου προϊόντος (ΑΕΠ), καθώς και τις τοπικές μονάδες τους·</w:t>
      </w:r>
    </w:p>
    <w:p>
      <w:pPr>
        <w:pStyle w:val="Point2"/>
        <w:rPr>
          <w:noProof/>
        </w:rPr>
      </w:pPr>
      <w:r>
        <w:rPr>
          <w:noProof/>
        </w:rPr>
        <w:t xml:space="preserve">ii) </w:t>
      </w:r>
      <w:r>
        <w:rPr>
          <w:noProof/>
        </w:rPr>
        <w:tab/>
        <w:t>τις νομικές μονάδες από τις οποίες αποτελούνται οι επιχειρήσεις αυτές·</w:t>
      </w:r>
    </w:p>
    <w:p>
      <w:pPr>
        <w:pStyle w:val="Point2"/>
        <w:rPr>
          <w:noProof/>
        </w:rPr>
      </w:pPr>
      <w:r>
        <w:rPr>
          <w:noProof/>
        </w:rPr>
        <w:t xml:space="preserve">iii) </w:t>
      </w:r>
      <w:r>
        <w:rPr>
          <w:noProof/>
        </w:rPr>
        <w:tab/>
        <w:t>τις μονάδες οικονομικής δραστηριότητας (ΜΟΔ) ή τον κωδικό NACE όπως ορίζονται στον κανονισμό (ΕΚ) αριθ. 1893/2006 του Ευρωπαϊκού Κοινοβουλίου και του Συμβουλίου</w:t>
      </w:r>
      <w:r>
        <w:rPr>
          <w:rStyle w:val="FootnoteReference"/>
          <w:noProof/>
        </w:rPr>
        <w:footnoteReference w:id="27"/>
      </w:r>
      <w:r>
        <w:rPr>
          <w:noProof/>
        </w:rPr>
        <w:t xml:space="preserve"> και το μέγεθος κάθε ΜΟΔ από τις οποίες αποτελούνται οι εν λόγω επιχειρήσεις, οι οποίες περιορίζονται σε εκείνες τις επιχειρήσεις οι οποίες λόγω του μεγέθους τους έχουν σημαντική επίδραση στα συγκεντρωτικά (εθνικά) στοιχεία·</w:t>
      </w:r>
    </w:p>
    <w:p>
      <w:pPr>
        <w:pStyle w:val="Point2"/>
        <w:rPr>
          <w:noProof/>
        </w:rPr>
      </w:pPr>
      <w:r>
        <w:rPr>
          <w:noProof/>
        </w:rPr>
        <w:t>iv)</w:t>
      </w:r>
      <w:r>
        <w:rPr>
          <w:noProof/>
        </w:rPr>
        <w:tab/>
        <w:t>ομίλους επιχειρήσεων·</w:t>
      </w:r>
    </w:p>
    <w:p>
      <w:pPr>
        <w:pStyle w:val="Point1letter"/>
        <w:numPr>
          <w:ilvl w:val="3"/>
          <w:numId w:val="13"/>
        </w:numPr>
        <w:rPr>
          <w:noProof/>
        </w:rPr>
      </w:pPr>
      <w:r>
        <w:rPr>
          <w:noProof/>
        </w:rPr>
        <w:t>Το μητρώο EuroGroups περιλαμβάνει:</w:t>
      </w:r>
    </w:p>
    <w:p>
      <w:pPr>
        <w:pStyle w:val="Point2"/>
        <w:rPr>
          <w:noProof/>
        </w:rPr>
      </w:pPr>
      <w:r>
        <w:rPr>
          <w:noProof/>
        </w:rPr>
        <w:t xml:space="preserve">i) </w:t>
      </w:r>
      <w:r>
        <w:rPr>
          <w:noProof/>
        </w:rPr>
        <w:tab/>
        <w:t>όλες τις επιχειρήσεις που ασκούν οικονομικές δραστηριότητες που συμβάλλουν στη δημιουργία του ακαθάριστου εγχώριου προϊόντος (ΑΕΠ), που αποτελούν μέρος ενός πολυεθνικού ομίλου επιχειρήσεων·</w:t>
      </w:r>
    </w:p>
    <w:p>
      <w:pPr>
        <w:pStyle w:val="Point2"/>
        <w:rPr>
          <w:noProof/>
        </w:rPr>
      </w:pPr>
      <w:r>
        <w:rPr>
          <w:noProof/>
        </w:rPr>
        <w:t xml:space="preserve">ii) </w:t>
      </w:r>
      <w:r>
        <w:rPr>
          <w:noProof/>
        </w:rPr>
        <w:tab/>
        <w:t>τις νομικές μονάδες από τις οποίες αποτελούνται οι επιχειρήσεις αυτές·</w:t>
      </w:r>
    </w:p>
    <w:p>
      <w:pPr>
        <w:pStyle w:val="Point2"/>
        <w:rPr>
          <w:noProof/>
        </w:rPr>
      </w:pPr>
      <w:r>
        <w:rPr>
          <w:noProof/>
        </w:rPr>
        <w:t>iii)</w:t>
      </w:r>
      <w:r>
        <w:rPr>
          <w:noProof/>
        </w:rPr>
        <w:tab/>
        <w:t>πολυεθνικούς ομίλους επιχειρήσεων.</w:t>
      </w:r>
    </w:p>
    <w:p>
      <w:pPr>
        <w:pStyle w:val="Point1letter"/>
        <w:rPr>
          <w:noProof/>
        </w:rPr>
      </w:pPr>
      <w:r>
        <w:rPr>
          <w:noProof/>
        </w:rPr>
        <w:t>Τα νοικοκυριά δεν εμπίπτουν στο πεδίο εφαρμογής του ευρωπαϊκού δικτύου των μητρώων επιχειρήσεων για στατιστικούς σκοπούς, εφόσον τα αγαθά και οι υπηρεσίες που παράγουν προορίζονται για ιδία κατανάλωση ή συνεπάγονται την εκμίσθωση ιδιόκτητων ακινήτων.</w:t>
      </w:r>
    </w:p>
    <w:p>
      <w:pPr>
        <w:pStyle w:val="Point1letter"/>
        <w:rPr>
          <w:noProof/>
        </w:rPr>
      </w:pPr>
      <w:r>
        <w:rPr>
          <w:noProof/>
        </w:rPr>
        <w:t>Οι τοπικές μονάδες ξένων επιχειρήσεων που δεν αποτελούν χωριστές νομικές οντότητες (υποκαταστήματα) και ταξινομούνται ως οιονεί επιχειρήσεις σύμφωνα με τον κανονισμό (ΕΕ) αριθ. 549/2013, θεωρούνται ως επιχειρήσεις για τους σκοπούς των εθνικών μητρώων επιχειρήσεων για στατιστικούς σκοπούς και το μητρώο EuroGroups.</w:t>
      </w:r>
    </w:p>
    <w:p>
      <w:pPr>
        <w:pStyle w:val="Point1letter"/>
        <w:rPr>
          <w:noProof/>
        </w:rPr>
      </w:pPr>
      <w:r>
        <w:rPr>
          <w:noProof/>
        </w:rPr>
        <w:t>Οι όμιλοι επιχειρήσεων ορίζονται μέσω των δεσμών ελέγχου μεταξύ των νομικών μονάδων τους σύμφωνα με τον κανονισμό (ΕΕ) αριθ. 549/2013.</w:t>
      </w:r>
    </w:p>
    <w:p>
      <w:pPr>
        <w:pStyle w:val="Point1letter"/>
        <w:rPr>
          <w:noProof/>
        </w:rPr>
      </w:pPr>
      <w:r>
        <w:rPr>
          <w:noProof/>
        </w:rPr>
        <w:t>Όταν γίνεται αναφορά στα εθνικά στατιστικά μητρώα επιχειρήσεων και το μητρώο EuroGroups, ο παρών κανονισμός εφαρμόζεται μόνο σε μονάδες που ασκούν, εν όλω ή εν μέρει, οικονομική δραστηριότητα. Για τους σκοπούς του ευρωπαϊκού δικτύου μητρώων επιχειρήσεων για στατιστικούς σκοπούς, κάθε δραστηριότητα που συνίσταται στην προσφορά αγαθών και υπηρεσιών σε συγκεκριμένη αγορά θεωρείται οικονομική δραστηριότητα. Η κατοχή περιουσιακών στοιχείων και/ή υποχρεώσεων μπορεί επίσης να θεωρηθεί ως δραστηριότητα. Επιπλέον, οι μη εμπορεύσιμες υπηρεσίες που συμβάλλουν στο ΑΕΠ, καθώς και η άμεση και έμμεση κατοχή ενεργών νομικών μονάδων, θεωρούνται οικονομική δραστηριότητα για τους σκοπούς του ευρωπαϊκού δικτύου μητρώων επιχειρήσεων για στατιστικούς σκοπούς. Οι οικονομικά μη ενεργές νομικές μονάδες αποτελούν μέρος μιας επιχείρησης μόνον σε συνδυασμό με οικονομικά ενεργές νομικές μονάδες.</w:t>
      </w:r>
    </w:p>
    <w:p>
      <w:pPr>
        <w:pStyle w:val="Point1letter"/>
        <w:rPr>
          <w:noProof/>
        </w:rPr>
      </w:pPr>
      <w:r>
        <w:rPr>
          <w:noProof/>
        </w:rPr>
        <w:t>Οι στατιστικές μονάδες στο πλαίσιο του ευρωπαϊκού δικτύου μητρώων επιχειρήσεων για στατιστικούς σκοπούς ορίζονται στο παράρτημα του κανονισμού (ΕΟΚ) αριθ. 696/93 του Συμβουλίου, με την επιφύλαξη των περιορισμών που προβλέπονται στο παρόν άρθρο.</w:t>
      </w:r>
    </w:p>
    <w:p>
      <w:pPr>
        <w:pStyle w:val="ChapterTitle"/>
        <w:rPr>
          <w:noProof/>
        </w:rPr>
      </w:pPr>
      <w:r>
        <w:rPr>
          <w:noProof/>
        </w:rPr>
        <w:t>ΚΕΦΑΛΑΙΟ II</w:t>
      </w:r>
    </w:p>
    <w:p>
      <w:pPr>
        <w:pStyle w:val="ChapterTitle"/>
        <w:rPr>
          <w:noProof/>
        </w:rPr>
      </w:pPr>
      <w:r>
        <w:rPr>
          <w:noProof/>
        </w:rPr>
        <w:t>ΠΗΓΕΣ ΣΤΟΙΧΕΙΩΝ</w:t>
      </w:r>
    </w:p>
    <w:p>
      <w:pPr>
        <w:pStyle w:val="Titrearticle"/>
        <w:rPr>
          <w:noProof/>
        </w:rPr>
      </w:pPr>
      <w:r>
        <w:rPr>
          <w:noProof/>
        </w:rPr>
        <w:t>Άρθρο 4</w:t>
      </w:r>
    </w:p>
    <w:p>
      <w:pPr>
        <w:pStyle w:val="Titrearticle"/>
        <w:rPr>
          <w:noProof/>
        </w:rPr>
      </w:pPr>
      <w:r>
        <w:rPr>
          <w:noProof/>
        </w:rPr>
        <w:t>Πηγές στοιχείων και μέθοδοι</w:t>
      </w:r>
    </w:p>
    <w:p>
      <w:pPr>
        <w:pStyle w:val="ManualNumPar1"/>
        <w:rPr>
          <w:noProof/>
        </w:rPr>
      </w:pPr>
      <w:r>
        <w:t>1.</w:t>
      </w:r>
      <w:r>
        <w:tab/>
      </w:r>
      <w:r>
        <w:rPr>
          <w:noProof/>
        </w:rPr>
        <w:t>Τα κράτη μέλη υποβάλλουν τις στατιστικές που αναφέρονται στα άρθρα 6 και 7, καθώς και τα εθνικά στατιστικά μητρώα επιχειρήσεων που αναφέρεται στο άρθρο 9, χρησιμοποιώντας όλες τις σχετικές πηγές στοιχείων, αποφεύγοντας παράλληλα την περιττή επιβάρυνση για τους απαντώντες και λαμβάνοντας δεόντως υπόψη τη σχέση κόστους/αποτελεσματικότητας των εθνικών στατιστικών αρχών. Οι εθνικές στατιστικές αρχές μπορούν να χρησιμοποιήσουν τις ακόλουθες πηγές στοιχείων για την παραγωγή των στατιστικών και των εθνικών μητρώων επιχειρήσεων για στατιστικούς σκοπούς που απαιτούνται στο πλαίσιο του παρόντος κανονισμού:</w:t>
      </w:r>
    </w:p>
    <w:p>
      <w:pPr>
        <w:pStyle w:val="Point1letter"/>
        <w:numPr>
          <w:ilvl w:val="3"/>
          <w:numId w:val="21"/>
        </w:numPr>
        <w:rPr>
          <w:noProof/>
        </w:rPr>
      </w:pPr>
      <w:r>
        <w:rPr>
          <w:noProof/>
        </w:rPr>
        <w:t>έρευνες: οι μονάδες αναφοράς που χρησιμοποιούνται από τα κράτη μέλη υποχρεούνται να παρέχουν επίκαιρες, ακριβείς και πλήρεις πληροφορίες που απαιτούνται για την παραγωγή στατιστικών και τα εθνικά μητρώα επιχειρήσεων για στατιστικούς σκοπούς που απαιτούνται στο πλαίσιο του παρόντος κανονισμού·</w:t>
      </w:r>
    </w:p>
    <w:p>
      <w:pPr>
        <w:pStyle w:val="Point1letter"/>
        <w:numPr>
          <w:ilvl w:val="3"/>
          <w:numId w:val="23"/>
        </w:numPr>
        <w:rPr>
          <w:noProof/>
        </w:rPr>
      </w:pPr>
      <w:r>
        <w:rPr>
          <w:noProof/>
        </w:rPr>
        <w:t>διοικητικά αρχεία, συμπεριλαμβανομένων των πληροφοριών από τις φορολογικές και τελωνειακές αρχές·</w:t>
      </w:r>
    </w:p>
    <w:p>
      <w:pPr>
        <w:pStyle w:val="Point1letter"/>
        <w:rPr>
          <w:noProof/>
        </w:rPr>
      </w:pPr>
      <w:r>
        <w:rPr>
          <w:noProof/>
        </w:rPr>
        <w:t>ανταλλαγή μικροδεδομένων·</w:t>
      </w:r>
    </w:p>
    <w:p>
      <w:pPr>
        <w:pStyle w:val="Point1letter"/>
        <w:rPr>
          <w:noProof/>
        </w:rPr>
      </w:pPr>
      <w:r>
        <w:rPr>
          <w:noProof/>
        </w:rPr>
        <w:t>άλλες σχετικές πηγές πληροφόρησης που πληρούν τα κριτήρια ποιότητας που αναφέρονται στο άρθρο 16, συμπεριλαμβανομένων των συνδυασμών υφιστάμενων πηγών στοιχείων.</w:t>
      </w:r>
    </w:p>
    <w:p>
      <w:pPr>
        <w:pStyle w:val="ManualNumPar1"/>
        <w:rPr>
          <w:noProof/>
        </w:rPr>
      </w:pPr>
      <w:r>
        <w:t>2.</w:t>
      </w:r>
      <w:r>
        <w:tab/>
      </w:r>
      <w:r>
        <w:rPr>
          <w:noProof/>
        </w:rPr>
        <w:t>Όταν οι απαιτούμενες στατιστικές δεν μπορούν να παραχθούν με τη χρήση των πηγών στοιχείων που αναφέρονται στην παράγραφο 1 και οι οποίες συμφωνούν με τα κριτήρια ποιότητας που αναφέρονται στο άρθρο 16, τα κράτη μέλη μπορούν να χρησιμοποιούν επιστημονικά βασισμένες και καλά τεκμηριωμένες μεθόδους στατιστικής εκτίμησης και καταλογισμού για την παραγωγή των εν λόγω στατιστικών.</w:t>
      </w:r>
    </w:p>
    <w:p>
      <w:pPr>
        <w:pStyle w:val="Titrearticle"/>
        <w:rPr>
          <w:noProof/>
        </w:rPr>
      </w:pPr>
      <w:r>
        <w:rPr>
          <w:noProof/>
        </w:rPr>
        <w:t>Άρθρο 5</w:t>
      </w:r>
    </w:p>
    <w:p>
      <w:pPr>
        <w:pStyle w:val="Titrearticle"/>
        <w:rPr>
          <w:noProof/>
        </w:rPr>
      </w:pPr>
      <w:r>
        <w:rPr>
          <w:noProof/>
        </w:rPr>
        <w:t xml:space="preserve">Πρόσβαση σε διοικητικά μητρώα και κοινοποίηση πληροφοριών </w:t>
      </w:r>
    </w:p>
    <w:p>
      <w:pPr>
        <w:pStyle w:val="ManualNumPar1"/>
        <w:rPr>
          <w:noProof/>
        </w:rPr>
      </w:pPr>
      <w:r>
        <w:t>1.</w:t>
      </w:r>
      <w:r>
        <w:tab/>
      </w:r>
      <w:r>
        <w:rPr>
          <w:noProof/>
        </w:rPr>
        <w:t>Σύμφωνα με τις αρχές που καθορίζονται στο άρθρο 17α του κανονισμού (ΕΚ) αριθ. 223/2009, οι εθνικές στατιστικές αρχές και η Επιτροπή (Eurostat) έχουν δικαίωμα πρόσβασης και χρήσης, αμέσως και δωρεάν, όλων των διοικητικών μητρώων, καθώς και ενσωμάτωσης των μητρώων αυτών σε άλλες πηγές στοιχείων για την εκπλήρωση των στατιστικών απαιτήσεων στο πλαίσιο του παρόντος κανονισμού και την επικαιροποίηση των εθνικών μητρώων επιχειρήσεων για στατιστικούς σκοπούς και του μητρώου EuroGroups. Η πρόσβαση των εθνικών στατιστικών αρχών και της Επιτροπής (Eurostat) περιορίζεται στα διοικητικά αρχεία του δικού τους αντίστοιχου δημόσιου διοικητικού συστήματος.</w:t>
      </w:r>
    </w:p>
    <w:p>
      <w:pPr>
        <w:pStyle w:val="ManualNumPar1"/>
        <w:rPr>
          <w:noProof/>
        </w:rPr>
      </w:pPr>
      <w:r>
        <w:t>2.</w:t>
      </w:r>
      <w:r>
        <w:tab/>
      </w:r>
      <w:r>
        <w:rPr>
          <w:noProof/>
        </w:rPr>
        <w:t>Με την επιφύλαξη της παραγράφου 1, η αρμόδια φορολογική αρχή σε κάθε κράτος μέλος παρέχει στην εθνική στατιστική αρχή πληροφορίες σχετικά με τις εξαγωγές και τις εισαγωγές αγαθών.</w:t>
      </w:r>
    </w:p>
    <w:p>
      <w:pPr>
        <w:pStyle w:val="Text1"/>
        <w:ind w:left="851"/>
        <w:rPr>
          <w:noProof/>
        </w:rPr>
      </w:pPr>
      <w:r>
        <w:rPr>
          <w:noProof/>
        </w:rPr>
        <w:t>Η Επιτροπή εξουσιοδοτείται να εκδίδει κατ’ εξουσιοδότηση πράξεις σύμφωνα με το άρθρο 21 για να καθορίσει τις ακριβείς πληροφορίες που πρέπει να παρέχουν οι φορολογικές αρχές.</w:t>
      </w:r>
    </w:p>
    <w:p>
      <w:pPr>
        <w:pStyle w:val="ManualNumPar1"/>
        <w:rPr>
          <w:noProof/>
        </w:rPr>
      </w:pPr>
      <w:r>
        <w:t>3.</w:t>
      </w:r>
      <w:r>
        <w:tab/>
      </w:r>
      <w:r>
        <w:rPr>
          <w:noProof/>
        </w:rPr>
        <w:t>Με την επιφύλαξη της παραγράφου 1, η αρμόδια τελωνειακή αρχή σε κάθε κράτος μέλος παρέχει στην εθνική στατιστική αρχή πληροφορίες σχετικά με τις εξαγωγές και τις εισαγωγές αγαθών.</w:t>
      </w:r>
    </w:p>
    <w:p>
      <w:pPr>
        <w:pStyle w:val="Text1"/>
        <w:ind w:left="851"/>
        <w:rPr>
          <w:noProof/>
        </w:rPr>
      </w:pPr>
      <w:r>
        <w:rPr>
          <w:noProof/>
        </w:rPr>
        <w:t>Η Επιτροπή εξουσιοδοτείται να εκδίδει κατ’ εξουσιοδότηση πράξεις σύμφωνα με το άρθρο 21 για να καθορίσει τις ακριβείς πληροφορίες που πρέπει να παρέχουν οι τελωνειακές αρχές.</w:t>
      </w:r>
    </w:p>
    <w:p>
      <w:pPr>
        <w:pStyle w:val="ManualNumPar1"/>
        <w:rPr>
          <w:noProof/>
        </w:rPr>
      </w:pPr>
      <w:r>
        <w:t>4.</w:t>
      </w:r>
      <w:r>
        <w:tab/>
      </w:r>
      <w:r>
        <w:rPr>
          <w:noProof/>
        </w:rPr>
        <w:t>Για να καταρτίσουν στατιστικές σχετικά με το διεθνές εμπόριο αγαθών και για να βελτιώσουν την ποιότητα των εν λόγω στατιστικών, οι εθνικές στατιστικές αρχές στα κράτη μέλη μπορούν να ανταλλάσσουν στοιχεία που λαμβάνουν από τις τελωνειακές αρχές τους σχετικά με τις εισαγωγές και τις εξαγωγές αγαθών, ιδίως σε περιπτώσεις όπου εμπλέκονται τελωνειακές αρχές περισσοτέρων του ενός κρατών μελών.</w:t>
      </w:r>
    </w:p>
    <w:p>
      <w:pPr>
        <w:pStyle w:val="ManualNumPar1"/>
        <w:rPr>
          <w:noProof/>
        </w:rPr>
      </w:pPr>
      <w:r>
        <w:t>5.</w:t>
      </w:r>
      <w:r>
        <w:tab/>
      </w:r>
      <w:r>
        <w:rPr>
          <w:noProof/>
        </w:rPr>
        <w:t>Η Επιτροπή εξουσιοδοτείται να εκδίδει εκτελεστικές πράξεις σύμφωνα με τη διαδικασία εξέτασης που αναφέρεται στο άρθρο 22 παράγραφος 2 για τον προσδιορισμό των λεπτομερειών για την ανταλλαγή στοιχείων σύμφωνα με το παρόν άρθρο.</w:t>
      </w:r>
    </w:p>
    <w:p>
      <w:pPr>
        <w:pStyle w:val="ChapterTitle"/>
        <w:rPr>
          <w:noProof/>
        </w:rPr>
      </w:pPr>
      <w:r>
        <w:rPr>
          <w:noProof/>
        </w:rPr>
        <w:t>ΚΕΦΑΛΑΙΟ IΙΙ</w:t>
      </w:r>
    </w:p>
    <w:p>
      <w:pPr>
        <w:pStyle w:val="ChapterTitle"/>
        <w:rPr>
          <w:noProof/>
        </w:rPr>
      </w:pPr>
      <w:r>
        <w:rPr>
          <w:noProof/>
        </w:rPr>
        <w:t>ΣΤΑΤΙΣΤΙΚΕΣ ΕΠΙΧΕΙΡΗΣΕΩΝ</w:t>
      </w:r>
    </w:p>
    <w:p>
      <w:pPr>
        <w:pStyle w:val="Titrearticle"/>
        <w:ind w:left="851" w:hanging="851"/>
        <w:rPr>
          <w:noProof/>
        </w:rPr>
      </w:pPr>
      <w:r>
        <w:rPr>
          <w:noProof/>
        </w:rPr>
        <w:t>Άρθρο 6</w:t>
      </w:r>
    </w:p>
    <w:p>
      <w:pPr>
        <w:pStyle w:val="Titrearticle"/>
        <w:rPr>
          <w:noProof/>
        </w:rPr>
      </w:pPr>
      <w:r>
        <w:rPr>
          <w:noProof/>
        </w:rPr>
        <w:t xml:space="preserve">Απαιτήσεις όσον αφορά τα στοιχεία </w:t>
      </w:r>
    </w:p>
    <w:p>
      <w:pPr>
        <w:pStyle w:val="ManualNumPar1"/>
        <w:rPr>
          <w:noProof/>
        </w:rPr>
      </w:pPr>
      <w:r>
        <w:t>1.</w:t>
      </w:r>
      <w:r>
        <w:tab/>
      </w:r>
      <w:r>
        <w:rPr>
          <w:noProof/>
        </w:rPr>
        <w:t>Οι ευρωπαϊκές στατιστικές για τις επιχειρήσεις καλύπτουν τους ακόλουθους θεματικούς τομείς:</w:t>
      </w:r>
    </w:p>
    <w:p>
      <w:pPr>
        <w:pStyle w:val="Point1letter"/>
        <w:numPr>
          <w:ilvl w:val="3"/>
          <w:numId w:val="22"/>
        </w:numPr>
        <w:rPr>
          <w:noProof/>
        </w:rPr>
      </w:pPr>
      <w:r>
        <w:rPr>
          <w:noProof/>
        </w:rPr>
        <w:t>Βραχυπρόθεσμες στατιστικές επιχειρήσεων·</w:t>
      </w:r>
    </w:p>
    <w:p>
      <w:pPr>
        <w:pStyle w:val="Point1letter"/>
        <w:numPr>
          <w:ilvl w:val="3"/>
          <w:numId w:val="13"/>
        </w:numPr>
        <w:rPr>
          <w:noProof/>
        </w:rPr>
      </w:pPr>
      <w:r>
        <w:rPr>
          <w:noProof/>
        </w:rPr>
        <w:t>Στατιστικές επιχειρήσεων σε επίπεδο χώρας·</w:t>
      </w:r>
    </w:p>
    <w:p>
      <w:pPr>
        <w:pStyle w:val="Point1letter"/>
        <w:numPr>
          <w:ilvl w:val="3"/>
          <w:numId w:val="25"/>
        </w:numPr>
        <w:rPr>
          <w:noProof/>
        </w:rPr>
      </w:pPr>
      <w:r>
        <w:rPr>
          <w:noProof/>
        </w:rPr>
        <w:t>Στατιστικές επιχειρήσεων σε επίπεδο περιφέρειας·</w:t>
      </w:r>
    </w:p>
    <w:p>
      <w:pPr>
        <w:pStyle w:val="Point1letter"/>
        <w:rPr>
          <w:noProof/>
        </w:rPr>
      </w:pPr>
      <w:r>
        <w:rPr>
          <w:noProof/>
        </w:rPr>
        <w:t>Στατιστικές σχετικά με διεθνείς δραστηριότητες.</w:t>
      </w:r>
    </w:p>
    <w:p>
      <w:pPr>
        <w:pStyle w:val="ManualNumPar1"/>
        <w:rPr>
          <w:noProof/>
        </w:rPr>
      </w:pPr>
      <w:r>
        <w:t>2.</w:t>
      </w:r>
      <w:r>
        <w:tab/>
      </w:r>
      <w:r>
        <w:rPr>
          <w:noProof/>
        </w:rPr>
        <w:t>Τα θεματικά πεδία περιλαμβάνουν ένα ή περισσότερα από τα ακόλουθα θέματα που παρουσιάζονται λεπτομερέστερα στο παράρτημα Ι:</w:t>
      </w:r>
    </w:p>
    <w:p>
      <w:pPr>
        <w:pStyle w:val="Point1letter"/>
        <w:numPr>
          <w:ilvl w:val="3"/>
          <w:numId w:val="32"/>
        </w:numPr>
        <w:rPr>
          <w:noProof/>
        </w:rPr>
      </w:pPr>
      <w:r>
        <w:rPr>
          <w:noProof/>
        </w:rPr>
        <w:t>Πληθυσμός των επιχειρήσεων·</w:t>
      </w:r>
    </w:p>
    <w:p>
      <w:pPr>
        <w:pStyle w:val="Point1letter"/>
        <w:numPr>
          <w:ilvl w:val="3"/>
          <w:numId w:val="26"/>
        </w:numPr>
        <w:rPr>
          <w:noProof/>
        </w:rPr>
      </w:pPr>
      <w:r>
        <w:rPr>
          <w:noProof/>
        </w:rPr>
        <w:t>Παγκόσμιες αλυσίδες αξίας·</w:t>
      </w:r>
    </w:p>
    <w:p>
      <w:pPr>
        <w:pStyle w:val="Point1letter"/>
        <w:rPr>
          <w:noProof/>
        </w:rPr>
      </w:pPr>
      <w:r>
        <w:rPr>
          <w:noProof/>
        </w:rPr>
        <w:t>Χρήση ΤΠΕ και ηλεκτρονικό εμπόριο·</w:t>
      </w:r>
    </w:p>
    <w:p>
      <w:pPr>
        <w:pStyle w:val="Point1letter"/>
        <w:rPr>
          <w:noProof/>
        </w:rPr>
      </w:pPr>
      <w:r>
        <w:rPr>
          <w:noProof/>
        </w:rPr>
        <w:t>Καινοτομία·</w:t>
      </w:r>
    </w:p>
    <w:p>
      <w:pPr>
        <w:pStyle w:val="Point1letter"/>
        <w:numPr>
          <w:ilvl w:val="3"/>
          <w:numId w:val="13"/>
        </w:numPr>
        <w:rPr>
          <w:noProof/>
        </w:rPr>
      </w:pPr>
      <w:r>
        <w:rPr>
          <w:noProof/>
        </w:rPr>
        <w:t>Διεθνείς εμπορευματικές συναλλαγές·</w:t>
      </w:r>
    </w:p>
    <w:p>
      <w:pPr>
        <w:pStyle w:val="Point1letter"/>
        <w:rPr>
          <w:noProof/>
        </w:rPr>
      </w:pPr>
      <w:r>
        <w:rPr>
          <w:noProof/>
        </w:rPr>
        <w:t>Διεθνές εμπόριο υπηρεσιών·</w:t>
      </w:r>
    </w:p>
    <w:p>
      <w:pPr>
        <w:pStyle w:val="Point1letter"/>
        <w:rPr>
          <w:noProof/>
        </w:rPr>
      </w:pPr>
      <w:r>
        <w:rPr>
          <w:noProof/>
        </w:rPr>
        <w:t>Επενδύσεις·</w:t>
      </w:r>
    </w:p>
    <w:p>
      <w:pPr>
        <w:pStyle w:val="Point1letter"/>
        <w:rPr>
          <w:noProof/>
        </w:rPr>
      </w:pPr>
      <w:r>
        <w:rPr>
          <w:noProof/>
        </w:rPr>
        <w:t>Εισροές εργασίας·</w:t>
      </w:r>
    </w:p>
    <w:p>
      <w:pPr>
        <w:pStyle w:val="Point1letter"/>
        <w:rPr>
          <w:noProof/>
        </w:rPr>
      </w:pPr>
      <w:r>
        <w:rPr>
          <w:noProof/>
        </w:rPr>
        <w:t>Αποτελέσματα και την απόδοση·</w:t>
      </w:r>
    </w:p>
    <w:p>
      <w:pPr>
        <w:pStyle w:val="Point1letter"/>
        <w:rPr>
          <w:noProof/>
        </w:rPr>
      </w:pPr>
      <w:r>
        <w:rPr>
          <w:noProof/>
        </w:rPr>
        <w:t>Άδειες·</w:t>
      </w:r>
    </w:p>
    <w:p>
      <w:pPr>
        <w:pStyle w:val="Point1letter"/>
        <w:rPr>
          <w:noProof/>
        </w:rPr>
      </w:pPr>
      <w:r>
        <w:rPr>
          <w:noProof/>
        </w:rPr>
        <w:t>Τιμές·</w:t>
      </w:r>
    </w:p>
    <w:p>
      <w:pPr>
        <w:pStyle w:val="Point1letter"/>
        <w:rPr>
          <w:noProof/>
        </w:rPr>
      </w:pPr>
      <w:r>
        <w:rPr>
          <w:noProof/>
        </w:rPr>
        <w:t>Αγορές·</w:t>
      </w:r>
    </w:p>
    <w:p>
      <w:pPr>
        <w:pStyle w:val="Point1letter"/>
        <w:rPr>
          <w:noProof/>
        </w:rPr>
      </w:pPr>
      <w:r>
        <w:rPr>
          <w:noProof/>
        </w:rPr>
        <w:t>Συνεισφορές έρευνας &amp; ανάπτυξης.</w:t>
      </w:r>
    </w:p>
    <w:p>
      <w:pPr>
        <w:pStyle w:val="ManualNumPar1"/>
        <w:rPr>
          <w:noProof/>
        </w:rPr>
      </w:pPr>
      <w:r>
        <w:t>3.</w:t>
      </w:r>
      <w:r>
        <w:tab/>
      </w:r>
      <w:r>
        <w:rPr>
          <w:noProof/>
        </w:rPr>
        <w:t xml:space="preserve">Η περιοδικότητα κάθε θέματος καθορίζεται στο παράρτημα II. </w:t>
      </w:r>
    </w:p>
    <w:p>
      <w:pPr>
        <w:pStyle w:val="ManualNumPar1"/>
        <w:rPr>
          <w:noProof/>
        </w:rPr>
      </w:pPr>
      <w:r>
        <w:t>4.</w:t>
      </w:r>
      <w:r>
        <w:tab/>
      </w:r>
      <w:r>
        <w:rPr>
          <w:noProof/>
        </w:rPr>
        <w:t>Η Επιτροπή εξουσιοδοτείται να εκδίδει κατ’ εξουσιοδότηση πράξεις σύμφωνα με το άρθρο 21 για την τροποποίηση των ειδικών θεμάτων που προσδιορίζονται στο παράρτημα Ι και για τον προσδιορισμό θεμάτων και χαρακτηριστικών που καλύπτονται από τα ειδικά θέματα της καινοτομίας και της χρήσης των ΤΠΕ, του ηλεκτρονικού εμπορίου και των παγκόσμιων αλυσίδων αξίας.</w:t>
      </w:r>
    </w:p>
    <w:p>
      <w:pPr>
        <w:pStyle w:val="ManualNumPar1"/>
        <w:rPr>
          <w:noProof/>
        </w:rPr>
      </w:pPr>
      <w:r>
        <w:t>5.</w:t>
      </w:r>
      <w:r>
        <w:tab/>
      </w:r>
      <w:r>
        <w:rPr>
          <w:noProof/>
        </w:rPr>
        <w:t>Κατά την άσκηση των εξουσιών της έκδοσης κατ’ εξουσιοδότηση πράξεων, η Επιτροπή πρέπει να διασφαλίζει ότι πληρούνται οι ακόλουθες τρεις προϋποθέσεις:</w:t>
      </w:r>
    </w:p>
    <w:p>
      <w:pPr>
        <w:pStyle w:val="Point1letter"/>
        <w:numPr>
          <w:ilvl w:val="3"/>
          <w:numId w:val="34"/>
        </w:numPr>
        <w:rPr>
          <w:noProof/>
        </w:rPr>
      </w:pPr>
      <w:r>
        <w:rPr>
          <w:noProof/>
        </w:rPr>
        <w:t xml:space="preserve"> οι κατ’ εξουσιοδότηση πράξεις αποσκοπούν στην ουδετερότητα ή μείωση του κόστους και της επιβάρυνσης και, σε κάθε περίπτωση, δεν συνεπάγονται σημαντικό πρόσθετο κόστος ή σημαντική πρόσθετη επιβάρυνση για τα κράτη μέλη ή τους απαντώντες·</w:t>
      </w:r>
    </w:p>
    <w:p>
      <w:pPr>
        <w:pStyle w:val="Point1letter"/>
        <w:numPr>
          <w:ilvl w:val="3"/>
          <w:numId w:val="23"/>
        </w:numPr>
        <w:rPr>
          <w:noProof/>
        </w:rPr>
      </w:pPr>
      <w:r>
        <w:rPr>
          <w:noProof/>
        </w:rPr>
        <w:t xml:space="preserve">σε υφιστάμενη κατ’ εξουσιοδότηση πράξη δεν προστίθεται ή αντικαθίσταται από άλλο λεπτομερές θέμα για διάστημα πέντε συνεχόμενων ετών το πολύ ένα λεπτομερές θέμα για τον θεματικό τομέα «βραχυπρόθεσμες στατιστικές επιχειρήσεων», πέντε λεπτομερή θέματα για τον θεματικό τομέα «στατιστικές επιχειρήσεων σε επίπεδο χώρας», δύο λεπτομερή θέματα για τον θεματικό τομέα «περιφερειακές στατιστικές επιχειρήσεων» και δύο λεπτομερή θέματα για τον θεματικό τομέα «στατιστικές για τις διεθνείς δραστηριότητες». Το ανώτατο όριο δεν ισχύει για τις τροπολογίες που απορρέουν από συμφωνίες, συνθήκες και συμβάσεις και από άλλους διεθνείς οργανισμούς στους οποίους η Ένωση είναι μέλος, και για τις αλλαγές που προκύπτουν από τις αλλαγές στα λογιστικά πλαίσια εθνικών και περιφερειακών λογαριασμών σύμφωνα με τον κανονισμό (ΕΚ) αριθ. 549/2013 και των στατιστικών σχετικά με το ισοζύγιο πληρωμών σύμφωνα με τον κανονισμό (ΕΚ) αριθ. 184/2005. Ο αριθμός ειδικών θεμάτων των δυναμικών χαρακτηριστικών για τις στατιστικές των επιχειρήσεων δεν πρέπει να αυξάνεται σημαντικά μεταξύ δύο διαδοχικών περιόδων αναφοράς και δεν υπερβαίνει τον αριθμό των χαρακτηριστικών του πρώτου έτους εφαρμογής του παρόντος κανονισμού· </w:t>
      </w:r>
    </w:p>
    <w:p>
      <w:pPr>
        <w:pStyle w:val="Point1letter"/>
        <w:numPr>
          <w:ilvl w:val="3"/>
          <w:numId w:val="14"/>
        </w:numPr>
        <w:rPr>
          <w:noProof/>
        </w:rPr>
      </w:pPr>
      <w:r>
        <w:rPr>
          <w:noProof/>
        </w:rPr>
        <w:t xml:space="preserve"> οι κατ’ εξουσιοδότηση πράξεις εγκρίνονται τουλάχιστον 15 μήνες πριν από τη λήξη της περιόδου αναφοράς των στοιχείων, με εξαίρεση τα θέματα «καινοτομία» και «χρήση ΤΠΕ και ηλεκτρονικό εμπόριο» για τις οποίες οι κατ’ εξουσιοδότηση πράξεις εκδίδονται τουλάχιστον έξι και δώδεκα μήνες αντιστοίχως πριν από την περάτωση της περιόδου αναφοράς των στοιχείων.</w:t>
      </w:r>
    </w:p>
    <w:p>
      <w:pPr>
        <w:pStyle w:val="Titrearticle"/>
        <w:rPr>
          <w:noProof/>
        </w:rPr>
      </w:pPr>
      <w:r>
        <w:rPr>
          <w:noProof/>
        </w:rPr>
        <w:t>Άρθρο 7</w:t>
      </w:r>
    </w:p>
    <w:p>
      <w:pPr>
        <w:pStyle w:val="Titrearticle"/>
        <w:rPr>
          <w:noProof/>
        </w:rPr>
      </w:pPr>
      <w:r>
        <w:rPr>
          <w:noProof/>
        </w:rPr>
        <w:t>Τεχνικές προδιαγραφές απαιτήσεων στοιχείων</w:t>
      </w:r>
    </w:p>
    <w:p>
      <w:pPr>
        <w:pStyle w:val="ManualNumPar1"/>
        <w:rPr>
          <w:noProof/>
        </w:rPr>
      </w:pPr>
      <w:r>
        <w:t>1.</w:t>
      </w:r>
      <w:r>
        <w:tab/>
      </w:r>
      <w:r>
        <w:rPr>
          <w:noProof/>
        </w:rPr>
        <w:t>Για τα λεπτομερή θέματα που απαριθμούνται στο παράρτημα I, τα κράτη μέλη συλλέγουν στοιχεία σχετικά με κάθε λεπτομερές θέμα. Η Επιτροπή εξουσιοδοτείται να εκδίδει εκτελεστικές πράξεις για τον περαιτέρω προσδιορισμό των ακόλουθων πτυχών των στοιχείων που πρέπει να διαβιβάζονται βάσει του παρόντος κανονισμού, τους τεχνικούς ορισμούς και τις απλουστεύσεις:</w:t>
      </w:r>
    </w:p>
    <w:p>
      <w:pPr>
        <w:pStyle w:val="Point1letter"/>
        <w:numPr>
          <w:ilvl w:val="3"/>
          <w:numId w:val="36"/>
        </w:numPr>
        <w:rPr>
          <w:noProof/>
        </w:rPr>
      </w:pPr>
      <w:r>
        <w:rPr>
          <w:noProof/>
        </w:rPr>
        <w:t>μεταβλητές (εκτός από τα λεπτομερή θέματα καινοτομίας και τη χρήση των ΤΠΕ και το ηλεκτρονικό εμπόριο και τις παγκόσμιες αλυσίδες αξίας)·</w:t>
      </w:r>
    </w:p>
    <w:p>
      <w:pPr>
        <w:pStyle w:val="Point1letter"/>
        <w:rPr>
          <w:noProof/>
        </w:rPr>
      </w:pPr>
      <w:r>
        <w:rPr>
          <w:noProof/>
        </w:rPr>
        <w:t>στατιστική μονάδα·</w:t>
      </w:r>
    </w:p>
    <w:p>
      <w:pPr>
        <w:pStyle w:val="Point1letter"/>
        <w:rPr>
          <w:noProof/>
        </w:rPr>
      </w:pPr>
      <w:r>
        <w:rPr>
          <w:noProof/>
        </w:rPr>
        <w:t>μονάδα μέτρησης·</w:t>
      </w:r>
    </w:p>
    <w:p>
      <w:pPr>
        <w:pStyle w:val="Point1letter"/>
        <w:rPr>
          <w:noProof/>
        </w:rPr>
      </w:pPr>
      <w:r>
        <w:rPr>
          <w:noProof/>
        </w:rPr>
        <w:t>περίοδο αναφοράς·</w:t>
      </w:r>
    </w:p>
    <w:p>
      <w:pPr>
        <w:pStyle w:val="Point1letter"/>
        <w:rPr>
          <w:noProof/>
        </w:rPr>
      </w:pPr>
      <w:r>
        <w:rPr>
          <w:noProof/>
        </w:rPr>
        <w:t>στατιστικός πληθυσμός (συμπεριλαμβανομένων των απαιτήσεων όσον αφορά τις δραστηριότητες ή παραγωγούς εμπορεύσιμων ή μη προϊόντων)·</w:t>
      </w:r>
    </w:p>
    <w:p>
      <w:pPr>
        <w:pStyle w:val="Point1letter"/>
        <w:rPr>
          <w:noProof/>
        </w:rPr>
      </w:pPr>
      <w:r>
        <w:rPr>
          <w:noProof/>
        </w:rPr>
        <w:t xml:space="preserve">ταξινομήσεις (συμπεριλαμβανομένου του προϊόντος, των χωρών και εδαφών καθώς και των καταλόγων με τη φύση της συναλλαγής) και αναλύσεις· </w:t>
      </w:r>
    </w:p>
    <w:p>
      <w:pPr>
        <w:pStyle w:val="Point1letter"/>
        <w:rPr>
          <w:noProof/>
        </w:rPr>
      </w:pPr>
      <w:r>
        <w:rPr>
          <w:noProof/>
        </w:rPr>
        <w:t>διαβίβαση των επιμέρους αρχείων στοιχείων σε εθελοντική βάση·</w:t>
      </w:r>
    </w:p>
    <w:p>
      <w:pPr>
        <w:pStyle w:val="Point1letter"/>
        <w:rPr>
          <w:noProof/>
        </w:rPr>
      </w:pPr>
      <w:r>
        <w:rPr>
          <w:noProof/>
        </w:rPr>
        <w:t>χρήση των προσεγγίσεων και των απαιτήσεων ποιότητας·</w:t>
      </w:r>
    </w:p>
    <w:p>
      <w:pPr>
        <w:pStyle w:val="Point1letter"/>
        <w:rPr>
          <w:noProof/>
        </w:rPr>
      </w:pPr>
      <w:r>
        <w:rPr>
          <w:noProof/>
        </w:rPr>
        <w:t>προθεσμίες διαβίβασης των στοιχείων·</w:t>
      </w:r>
    </w:p>
    <w:p>
      <w:pPr>
        <w:pStyle w:val="Point1letter"/>
        <w:rPr>
          <w:noProof/>
        </w:rPr>
      </w:pPr>
      <w:r>
        <w:rPr>
          <w:noProof/>
        </w:rPr>
        <w:t>πρώτη περίοδος αναφοράς·</w:t>
      </w:r>
    </w:p>
    <w:p>
      <w:pPr>
        <w:pStyle w:val="Point1letter"/>
        <w:rPr>
          <w:noProof/>
        </w:rPr>
      </w:pPr>
      <w:r>
        <w:rPr>
          <w:noProof/>
        </w:rPr>
        <w:t>αλλαγή στάθμισης και έτους βάσης για τον θεματικό τομέα «βραχυπρόθεσμες στατιστικές επιχειρήσεων»·</w:t>
      </w:r>
    </w:p>
    <w:p>
      <w:pPr>
        <w:pStyle w:val="Point1letter"/>
        <w:ind w:left="1440" w:hanging="590"/>
        <w:rPr>
          <w:noProof/>
        </w:rPr>
      </w:pPr>
      <w:r>
        <w:rPr>
          <w:noProof/>
        </w:rPr>
        <w:t>τεχνικές προδιαγραφές για το θέμα «διεθνές εμπόριο αγαθών».</w:t>
      </w:r>
    </w:p>
    <w:p>
      <w:pPr>
        <w:pStyle w:val="ManualNumPar1"/>
        <w:rPr>
          <w:noProof/>
        </w:rPr>
      </w:pPr>
      <w:r>
        <w:t>2.</w:t>
      </w:r>
      <w:r>
        <w:tab/>
      </w:r>
      <w:r>
        <w:rPr>
          <w:noProof/>
        </w:rPr>
        <w:t xml:space="preserve">Κατά την άσκηση των εξουσιών που αναφέρονται στην παράγραφο 1 όσον αφορά τις απλουστευμένες διαδικασίες, η Επιτροπή λαμβάνει υπόψη το μέγεθος και τη σημασία των επιχειρηματικών οικονομιών, σύμφωνα με την αρχή της αναλογικότητας, προκειμένου να ελαφρυνθεί η επιβάρυνση για τις επιχειρήσεις. Επιπλέον, η Επιτροπή εξασφαλίζει ότι διατηρείται η εισαγωγή των στοιχείων που χρειάζονται για την κατάρτιση λογιστικών πλαισίων εθνικών και περιφερειακών λογαριασμών σύμφωνα με τον κανονισμό (ΕΚ) αριθ. 549/2013 και των στατιστικών σχετικά με το ισοζύγιο πληρωμών σύμφωνα με τον κανονισμό (ΕΚ) αριθ. 184/2005. Οι εκτελεστικές πράξεις, εκτός αυτών που ρυθμίζουν την πρώτη εφαρμογή του κανονισμού, εγκρίνονται τουλάχιστον 15 μήνες πριν από τη λήξη της περιόδου αναφοράς των στοιχείων για τα θέματα που απαριθμούνται στο παράρτημα Ι.  Για τα θέματα «καινοτομία» και «χρήση ΤΠΕ και ηλεκτρονικό εμπόριο» οι εκτελεστικές πράξεις εκδίδονται τουλάχιστον έξι και δώδεκα μήνες αντιστοίχως πριν από την περάτωση της περιόδου αναφοράς των στοιχείων. </w:t>
      </w:r>
    </w:p>
    <w:p>
      <w:pPr>
        <w:pStyle w:val="ManualNumPar1"/>
        <w:rPr>
          <w:noProof/>
        </w:rPr>
      </w:pPr>
      <w:r>
        <w:t>3.</w:t>
      </w:r>
      <w:r>
        <w:tab/>
      </w:r>
      <w:r>
        <w:rPr>
          <w:noProof/>
        </w:rPr>
        <w:t>Οι εκτελεστικές πράξεις που αναφέρονται στην παράγραφο 1 εκδίδονται σύμφωνα με την διαδικασία εξέτασης στην οποία παραπέμπει άρθρο 22 παράγραφος 2.</w:t>
      </w:r>
    </w:p>
    <w:p>
      <w:pPr>
        <w:pStyle w:val="ChapterTitle"/>
        <w:rPr>
          <w:noProof/>
        </w:rPr>
      </w:pPr>
      <w:r>
        <w:rPr>
          <w:noProof/>
        </w:rPr>
        <w:t xml:space="preserve">ΚΕΦΑΛΑΙΟ IV </w:t>
      </w:r>
    </w:p>
    <w:p>
      <w:pPr>
        <w:pStyle w:val="ChapterTitle"/>
        <w:rPr>
          <w:noProof/>
        </w:rPr>
      </w:pPr>
      <w:r>
        <w:rPr>
          <w:noProof/>
        </w:rPr>
        <w:t>ΜΗΤΡΩΑ ΕΠΙΧΕΙΡΗΣΕΩΝ</w:t>
      </w:r>
    </w:p>
    <w:p>
      <w:pPr>
        <w:pStyle w:val="Titrearticle"/>
        <w:rPr>
          <w:noProof/>
        </w:rPr>
      </w:pPr>
      <w:r>
        <w:rPr>
          <w:noProof/>
        </w:rPr>
        <w:t>Άρθρο 8</w:t>
      </w:r>
    </w:p>
    <w:p>
      <w:pPr>
        <w:pStyle w:val="Titrearticle"/>
        <w:rPr>
          <w:noProof/>
        </w:rPr>
      </w:pPr>
      <w:r>
        <w:rPr>
          <w:noProof/>
        </w:rPr>
        <w:t xml:space="preserve">Ευρωπαϊκό δίκτυο μητρώων επιχειρήσεων για στατιστικούς σκοπούς </w:t>
      </w:r>
    </w:p>
    <w:p>
      <w:pPr>
        <w:pStyle w:val="ManualNumPar1"/>
        <w:rPr>
          <w:noProof/>
        </w:rPr>
      </w:pPr>
      <w:r>
        <w:t>1.</w:t>
      </w:r>
      <w:r>
        <w:tab/>
      </w:r>
      <w:r>
        <w:rPr>
          <w:noProof/>
        </w:rPr>
        <w:t xml:space="preserve">Η Επιτροπή (Eurostat) καταρτίζει το μητρώο EuroGroups πολυεθνικών ομίλων επιχειρήσεων για στατιστικούς σκοπούς σε επίπεδο Ένωσης. </w:t>
      </w:r>
    </w:p>
    <w:p>
      <w:pPr>
        <w:pStyle w:val="ManualNumPar1"/>
        <w:rPr>
          <w:noProof/>
        </w:rPr>
      </w:pPr>
      <w:r>
        <w:t>2.</w:t>
      </w:r>
      <w:r>
        <w:tab/>
      </w:r>
      <w:r>
        <w:rPr>
          <w:noProof/>
        </w:rPr>
        <w:t>Τα κράτη μέλη καταρτίζουν σε εθνικό επίπεδο ένα ή περισσότερα εναρμονισμένα μητρώα επιχειρήσεων για στατιστικούς σκοπούς, ως βάση για την προετοιμασία και το συντονισμό ερευνών και ως πηγή πληροφοριών για τη στατιστική ανάλυση του πληθυσμού των επιχειρήσεων και των δημογραφικών του στοιχείων, για τη χρήση διοικητικών στοιχείων και για τον εντοπισμό και τη συγκρότηση στατιστικών μονάδων.</w:t>
      </w:r>
    </w:p>
    <w:p>
      <w:pPr>
        <w:pStyle w:val="ManualNumPar1"/>
        <w:rPr>
          <w:noProof/>
        </w:rPr>
      </w:pPr>
      <w:r>
        <w:t>3.</w:t>
      </w:r>
      <w:r>
        <w:tab/>
      </w:r>
      <w:r>
        <w:rPr>
          <w:noProof/>
        </w:rPr>
        <w:t>Τα κράτη μέλη και η Επιτροπή (Eurostat) ανταλλάσσουν στοιχεία για τους σκοπούς του ευρωπαϊκού δικτύου μητρώων επιχειρήσεων για στατιστικούς σκοπούς όπως ορίζεται στο άρθρο 10.</w:t>
      </w:r>
    </w:p>
    <w:p>
      <w:pPr>
        <w:pStyle w:val="ManualNumPar1"/>
        <w:rPr>
          <w:noProof/>
        </w:rPr>
      </w:pPr>
      <w:r>
        <w:t>4.</w:t>
      </w:r>
      <w:r>
        <w:tab/>
      </w:r>
      <w:r>
        <w:rPr>
          <w:noProof/>
        </w:rPr>
        <w:t xml:space="preserve">Τα εθνικά στατιστικά μητρώα επιχειρήσεων και το μητρώο EuroGroups είναι η μόνη έγκυρη πηγή από την οποία προκύπτουν υψηλής ποιότητας, συνεπείς και συντονισμένοι πληθυσμοί μητρώων, σύμφωνα με το άρθρο 16 του παρόντος κανονισμού για την παραγωγή ευρωπαϊκών στατιστικών. </w:t>
      </w:r>
    </w:p>
    <w:p>
      <w:pPr>
        <w:pStyle w:val="Text1"/>
        <w:rPr>
          <w:noProof/>
        </w:rPr>
      </w:pPr>
      <w:r>
        <w:rPr>
          <w:noProof/>
        </w:rPr>
        <w:t>Τα εθνικά μητρώα επιχειρήσεων για στατιστικούς σκοπούς είναι η αυθεντική πηγή για τους πληθυσμούς εθνικών μητρώων. Το μητρώο EuroGroups είναι η αυθεντική πηγή για το ευρωπαϊκό στατιστικό σύστημα πληθυσμού μητρώων για τις στατιστικές επιχειρήσεων που απαιτεί τον συντονισμό των διασυνοριακών πληροφοριών.</w:t>
      </w:r>
    </w:p>
    <w:p>
      <w:pPr>
        <w:pStyle w:val="Titrearticle"/>
        <w:rPr>
          <w:noProof/>
        </w:rPr>
      </w:pPr>
      <w:r>
        <w:rPr>
          <w:noProof/>
        </w:rPr>
        <w:t>Άρθρο 9</w:t>
      </w:r>
    </w:p>
    <w:p>
      <w:pPr>
        <w:pStyle w:val="Titrearticle"/>
        <w:rPr>
          <w:noProof/>
        </w:rPr>
      </w:pPr>
      <w:r>
        <w:rPr>
          <w:noProof/>
        </w:rPr>
        <w:t>Απαιτήσεις για το ευρωπαϊκό δίκτυο μητρώων επιχειρήσεων για στατιστικούς σκοπούς</w:t>
      </w:r>
    </w:p>
    <w:p>
      <w:pPr>
        <w:pStyle w:val="ManualNumPar1"/>
        <w:rPr>
          <w:noProof/>
        </w:rPr>
      </w:pPr>
      <w:r>
        <w:t>1.</w:t>
      </w:r>
      <w:r>
        <w:tab/>
      </w:r>
      <w:r>
        <w:rPr>
          <w:noProof/>
        </w:rPr>
        <w:t>Οι στατιστικές και νομικές μονάδες που καλύπτονται από το ευρωπαϊκό δίκτυο μητρώων επιχειρήσεων για στατιστικούς σκοπούς σύμφωνα με το άρθρο 8 χαρακτηρίζονται από τα ακόλουθα στοιχεία, όπως ορίζεται περαιτέρω στο παράρτημα ΙΙΙ:</w:t>
      </w:r>
    </w:p>
    <w:p>
      <w:pPr>
        <w:pStyle w:val="Point1letter"/>
        <w:numPr>
          <w:ilvl w:val="3"/>
          <w:numId w:val="39"/>
        </w:numPr>
        <w:rPr>
          <w:noProof/>
        </w:rPr>
      </w:pPr>
      <w:r>
        <w:rPr>
          <w:noProof/>
        </w:rPr>
        <w:t>λεπτομερή θέματα και αποκλειστικός αναγνωριστικός κωδικός του μητρώου·</w:t>
      </w:r>
    </w:p>
    <w:p>
      <w:pPr>
        <w:pStyle w:val="Point1letter"/>
        <w:rPr>
          <w:noProof/>
        </w:rPr>
      </w:pPr>
      <w:r>
        <w:rPr>
          <w:noProof/>
        </w:rPr>
        <w:t>χρόνος αναφοράς και περιοδικότητα.</w:t>
      </w:r>
    </w:p>
    <w:p>
      <w:pPr>
        <w:pStyle w:val="ManualNumPar1"/>
        <w:rPr>
          <w:noProof/>
        </w:rPr>
      </w:pPr>
      <w:r>
        <w:t>2.</w:t>
      </w:r>
      <w:r>
        <w:tab/>
      </w:r>
      <w:r>
        <w:rPr>
          <w:noProof/>
        </w:rPr>
        <w:t>Η Επιτροπή εξουσιοδοτείται να εκδίδει κατ’ εξουσιοδότηση πράξεις σύμφωνα με το άρθρο 21, προκειμένου να τροποποιεί τα λεπτομερή θέματα του μητρώου που απαριθμούνται στο παράρτημα ΙΙI, ώστε να αντικατοπτρίζουν τις σχετικές τεχνικές και οικονομικές εξελίξεις και να ανταποκρίνονται στις νέες ανάγκες των χρηστών.</w:t>
      </w:r>
    </w:p>
    <w:p>
      <w:pPr>
        <w:pStyle w:val="ManualNumPar1"/>
        <w:rPr>
          <w:noProof/>
        </w:rPr>
      </w:pPr>
      <w:r>
        <w:t>3.</w:t>
      </w:r>
      <w:r>
        <w:tab/>
      </w:r>
      <w:r>
        <w:rPr>
          <w:noProof/>
        </w:rPr>
        <w:t>Κατά την άσκηση των εξουσιών της τροποποίησης του παραρτήματος ΙΙΙ, η Επιτροπή διασφαλίζει ότι πληρούνται οι ακόλουθες δύο προϋποθέσεις:</w:t>
      </w:r>
    </w:p>
    <w:p>
      <w:pPr>
        <w:pStyle w:val="Point1letter"/>
        <w:numPr>
          <w:ilvl w:val="3"/>
          <w:numId w:val="40"/>
        </w:numPr>
        <w:rPr>
          <w:noProof/>
        </w:rPr>
      </w:pPr>
      <w:r>
        <w:rPr>
          <w:noProof/>
        </w:rPr>
        <w:t xml:space="preserve">η κατ’ εξουσιοδότηση πράξη δεν επιβάλει σημαντική πρόσθετη επιβάρυνση στα κράτη μέλη ή στους απαντώντες· </w:t>
      </w:r>
    </w:p>
    <w:p>
      <w:pPr>
        <w:pStyle w:val="Point1letter"/>
        <w:rPr>
          <w:noProof/>
        </w:rPr>
      </w:pPr>
      <w:r>
        <w:rPr>
          <w:noProof/>
        </w:rPr>
        <w:t>δεν προστίθεται ή αντικαθίσταται μέσω κατ’ εξουσιοδότηση πράξης πάνω από ένα λεπτομερές θέμα για διάστημα πέντε συνεχόμενων ετών.</w:t>
      </w:r>
    </w:p>
    <w:p>
      <w:pPr>
        <w:pStyle w:val="ManualNumPar1"/>
        <w:rPr>
          <w:noProof/>
        </w:rPr>
      </w:pPr>
      <w:r>
        <w:t>4.</w:t>
      </w:r>
      <w:r>
        <w:tab/>
      </w:r>
      <w:r>
        <w:rPr>
          <w:noProof/>
        </w:rPr>
        <w:t>Η Επιτροπή εξουσιοδοτείται να εκδίδει εκτελεστικές πράξεις σύμφωνα με τη διαδικασία εξέτασης που αναφέρεται στο άρθρο 22 παράγραφος 2 για τον προσδιορισμό των περιγραφικών λεπτομερειών για κάθε ένα από τα λεπτομερή θέματα του μητρώου.</w:t>
      </w:r>
    </w:p>
    <w:p>
      <w:pPr>
        <w:pStyle w:val="Titrearticle"/>
        <w:rPr>
          <w:noProof/>
        </w:rPr>
      </w:pPr>
      <w:r>
        <w:rPr>
          <w:noProof/>
        </w:rPr>
        <w:t>Άρθρο 10</w:t>
      </w:r>
    </w:p>
    <w:p>
      <w:pPr>
        <w:pStyle w:val="Titrearticle"/>
        <w:rPr>
          <w:noProof/>
        </w:rPr>
      </w:pPr>
      <w:r>
        <w:rPr>
          <w:noProof/>
        </w:rPr>
        <w:t xml:space="preserve">Ανταλλαγή πληροφοριών και την πρόσβαση σε απόρρητα στοιχεία για τους σκοπούς του ευρωπαϊκού δικτύου των μητρώων επιχειρήσεων για στατιστικούς σκοπούς </w:t>
      </w:r>
    </w:p>
    <w:p>
      <w:pPr>
        <w:pStyle w:val="ManualNumPar1"/>
        <w:rPr>
          <w:noProof/>
        </w:rPr>
      </w:pPr>
      <w:r>
        <w:t>1.</w:t>
      </w:r>
      <w:r>
        <w:tab/>
      </w:r>
      <w:r>
        <w:rPr>
          <w:noProof/>
        </w:rPr>
        <w:t xml:space="preserve">Τα απόρρητα στοιχεία ανταλλάσσονται μεταξύ των κρατών μελών ως εξής: </w:t>
      </w:r>
    </w:p>
    <w:p>
      <w:pPr>
        <w:pStyle w:val="Point1letter"/>
        <w:numPr>
          <w:ilvl w:val="3"/>
          <w:numId w:val="66"/>
        </w:numPr>
        <w:rPr>
          <w:noProof/>
        </w:rPr>
      </w:pPr>
      <w:r>
        <w:rPr>
          <w:noProof/>
        </w:rPr>
        <w:t>Η ανταλλαγή απόρρητων στοιχείων πολυεθνικών ομίλων επιχειρήσεων και των μονάδων που ανήκουν στους ομίλους αυτούς, σύμφωνα με το άρθρο 9 παράγραφος 4, πραγματοποιείται αποκλειστικά για στατιστικούς σκοπούς, μεταξύ των υπηρεσιών που συμβάλλουν στην παραγωγή του μητρώου EuroGroups στις εθνικές στατιστικές αρχές διαφορετικών κρατών μελών, εφόσον η ανταλλαγή γίνεται για τη διασφάλιση της ποιότητας των πληροφοριών σχετικά με τους πολυεθνικούς ομίλους επιχειρήσεων στην Ένωση. Οι ανταλλαγές αυτές μπορούν επίσης να διενεργούνται με σκοπό τη μείωση της επιβάρυνσης απάντησης.</w:t>
      </w:r>
    </w:p>
    <w:p>
      <w:pPr>
        <w:pStyle w:val="Point1letter"/>
        <w:rPr>
          <w:noProof/>
        </w:rPr>
      </w:pPr>
      <w:r>
        <w:rPr>
          <w:noProof/>
        </w:rPr>
        <w:t>Εφόσον η ανταλλαγή γίνεται για τη διασφάλιση της ποιότητας των πληροφοριών για τους πολυεθνικούς ομίλους επιχειρήσεων στην Ένωση, οι εθνικές κεντρικές τράπεζες μπορούν να συμμετέχουν στην ανταλλαγή πληροφοριών απόρρητων στοιχείων, αποκλειστικά για στατιστικούς σκοπούς.</w:t>
      </w:r>
    </w:p>
    <w:p>
      <w:pPr>
        <w:pStyle w:val="ManualNumPar1"/>
        <w:rPr>
          <w:noProof/>
        </w:rPr>
      </w:pPr>
      <w:r>
        <w:t>2.</w:t>
      </w:r>
      <w:r>
        <w:tab/>
      </w:r>
      <w:r>
        <w:rPr>
          <w:noProof/>
        </w:rPr>
        <w:t>Τα απόρρητα στοιχεία ανταλλάσσονται μεταξύ της Επιτροπής (Eurostat) και των κρατών μελών ως εξής:</w:t>
      </w:r>
    </w:p>
    <w:p>
      <w:pPr>
        <w:pStyle w:val="Point1letter"/>
        <w:numPr>
          <w:ilvl w:val="3"/>
          <w:numId w:val="42"/>
        </w:numPr>
        <w:rPr>
          <w:noProof/>
        </w:rPr>
      </w:pPr>
      <w:r>
        <w:rPr>
          <w:noProof/>
        </w:rPr>
        <w:t>Οι εθνικές στατιστικές αρχές διαβιβάζουν στοιχεία για τους πολυεθνικούς ομίλους επιχειρήσεων και τις μονάδες που ανήκουν στους ομίλους αυτούς, σύμφωνα με το άρθρο 9 παράγραφος 4, στην Επιτροπή (Eurostat), ώστε να παρέχουν, αποκλειστικά για στατιστικούς σκοπούς, πληροφορίες για τους πολυεθνικούς ομίλους επιχειρήσεων στην Ένωση.</w:t>
      </w:r>
    </w:p>
    <w:p>
      <w:pPr>
        <w:pStyle w:val="Point1letter"/>
        <w:rPr>
          <w:noProof/>
        </w:rPr>
      </w:pPr>
      <w:r>
        <w:rPr>
          <w:noProof/>
        </w:rPr>
        <w:t xml:space="preserve">Για να εξασφαλιστεί η συνεπής καταχώριση στοιχείων, αποκλειστικά για στατιστικούς σκοπούς, η Επιτροπή (Eurostat) διαβιβάζει, στις κατάλληλες εθνικές στατιστικές αρχές κάθε κράτους μέλους, στοιχεία για πολυεθνικούς ομίλους επιχειρήσεων, συμπεριλαμβανομένων των μονάδων που ανήκουν στους εν λόγω ομίλους, όταν τουλάχιστον μία νομική μονάδα του ομίλου είναι εγκατεστημένη στην επικράτεια του εν λόγω κράτους μέλους. </w:t>
      </w:r>
    </w:p>
    <w:p>
      <w:pPr>
        <w:pStyle w:val="Point1letter"/>
        <w:rPr>
          <w:noProof/>
        </w:rPr>
      </w:pPr>
      <w:r>
        <w:rPr>
          <w:noProof/>
        </w:rPr>
        <w:t>Για να εξασφαλιστεί η αποτελεσματικότητα και η υψηλή ποιότητα στην παραγωγή του μητρώου EuroGroups, αποκλειστικά για στατιστικούς σκοπούς, η Επιτροπή (Eurostat) διαβιβάζει στα μέλη του προσωπικού των εθνικών στατιστικών αρχών που συμβάλλουν στην παραγωγή του μητρώου EuroGroups τα στοιχεία για όλους τους πολυεθνικούς ομίλους επιχειρήσεων που έχουν καταχωριστεί στο μητρώο EuroGroups, συμπεριλαμβανομένων των μονάδων που ανήκουν σε αυτούς τους ομίλους.</w:t>
      </w:r>
    </w:p>
    <w:p>
      <w:pPr>
        <w:pStyle w:val="ManualNumPar1"/>
        <w:rPr>
          <w:noProof/>
        </w:rPr>
      </w:pPr>
      <w:r>
        <w:t>3.</w:t>
      </w:r>
      <w:r>
        <w:tab/>
      </w:r>
      <w:r>
        <w:rPr>
          <w:noProof/>
        </w:rPr>
        <w:t xml:space="preserve">Τα απόρρητα στοιχεία ανταλλάσσονται μεταξύ της Επιτροπής (Eurostat) και των κρατών μελών για την ταυτοποίηση των νομικών μονάδων ως εξής: </w:t>
      </w:r>
    </w:p>
    <w:p>
      <w:pPr>
        <w:pStyle w:val="Point1letter"/>
        <w:numPr>
          <w:ilvl w:val="3"/>
          <w:numId w:val="43"/>
        </w:numPr>
        <w:rPr>
          <w:noProof/>
        </w:rPr>
      </w:pPr>
      <w:r>
        <w:rPr>
          <w:noProof/>
        </w:rPr>
        <w:t>Οι εθνικές στατιστικές αρχές διαβιβάζουν στην Επιτροπή (Eurostat) στοιχεία σχετικά με τις ενσωματωμένες νομικές μονάδες, σύμφωνα με το άρθρο 9 παράγραφος 4, αποκλειστικά για τους σκοπούς της αποκλειστικής ταυτοποίησης των νομικών μονάδων στην Ένωση.</w:t>
      </w:r>
    </w:p>
    <w:p>
      <w:pPr>
        <w:pStyle w:val="Point1letter"/>
        <w:rPr>
          <w:noProof/>
        </w:rPr>
      </w:pPr>
      <w:r>
        <w:rPr>
          <w:noProof/>
        </w:rPr>
        <w:t>Για να εξασφαλιστεί η αποτελεσματικότητα και η υψηλή ποιότητα στην παραγωγή του μητρώου EuroGroups, η Επιτροπή (Eurostat) διαβιβάζει στις εθνικές στατιστικές αρχές κάθε κράτους μέλους στοιχεία σχετικά με τις νομικές μονάδες, σύμφωνα με το άρθρο 9 παράγραφος 4, αποκλειστικά για τους σκοπούς της αναγνώρισης των νόμιμων μονάδων στην Ένωση.</w:t>
      </w:r>
    </w:p>
    <w:p>
      <w:pPr>
        <w:pStyle w:val="ManualNumPar1"/>
        <w:rPr>
          <w:noProof/>
        </w:rPr>
      </w:pPr>
      <w:r>
        <w:t>4.</w:t>
      </w:r>
      <w:r>
        <w:tab/>
      </w:r>
      <w:r>
        <w:rPr>
          <w:noProof/>
        </w:rPr>
        <w:t>Τα απόρρητα στοιχεία μπορούν να ανταλλάσσονται μεταξύ της Επιτροπής (Eurostat) και των κεντρικών τραπεζών ως εξής:</w:t>
      </w:r>
    </w:p>
    <w:p>
      <w:pPr>
        <w:pStyle w:val="Text1"/>
        <w:rPr>
          <w:noProof/>
        </w:rPr>
      </w:pPr>
      <w:r>
        <w:rPr>
          <w:noProof/>
        </w:rPr>
        <w:t xml:space="preserve">Είναι δυνατόν να πραγματοποιείται, αποκλειστικά για στατιστικούς σκοπούς, η ανταλλαγή εμπιστευτικών στοιχείων μεταξύ της Επιτροπής (Eurostat) και των εθνικών κεντρικών τραπεζών και μεταξύ της Επιτροπής (Eurostat) και της Ευρωπαϊκής Κεντρικής Τράπεζας, εφόσον η ανταλλαγή γίνεται για τη διασφάλιση της ποιότητας των πληροφοριών σχετικά με τους πολυεθνικούς ομίλους επιχειρήσεων στην Ένωση και εφόσον η ανταλλαγή έχει επιτραπεί ρητά από την αρμόδια εθνική στατιστική αρχή. </w:t>
      </w:r>
    </w:p>
    <w:p>
      <w:pPr>
        <w:pStyle w:val="ManualNumPar1"/>
        <w:rPr>
          <w:noProof/>
        </w:rPr>
      </w:pPr>
      <w:r>
        <w:t>5.</w:t>
      </w:r>
      <w:r>
        <w:tab/>
      </w:r>
      <w:r>
        <w:rPr>
          <w:noProof/>
        </w:rPr>
        <w:t>Για να εξασφαλιστεί ότι τα στοιχεία που ανταλλάσσονται βάσει του παρόντος άρθρου χρησιμοποιούνται αποκλειστικά για στατιστικούς σκοπούς, ανατίθεται στην Επιτροπή η εξουσία να εκδίδει εκτελεστικές πράξεις που καθορίζουν τον μορφότυπο, τα μέτρα ασφάλειας και απορρήτου για τέτοια στοιχεία, καθώς και τη διαδικασία για την ανταλλαγή στοιχείων, σύμφωνα με τη διαδικασία εξέτασης που αναφέρεται στο άρθρο 22 παράγραφος 2.</w:t>
      </w:r>
    </w:p>
    <w:p>
      <w:pPr>
        <w:pStyle w:val="ManualNumPar1"/>
        <w:rPr>
          <w:noProof/>
        </w:rPr>
      </w:pPr>
      <w:r>
        <w:t>6.</w:t>
      </w:r>
      <w:r>
        <w:tab/>
      </w:r>
      <w:r>
        <w:rPr>
          <w:noProof/>
        </w:rPr>
        <w:t>Όταν η Επιτροπή (Eurostat), οι εθνικές στατιστικές αρχές, οι εθνικές κεντρικές τράπεζες και η Ευρωπαϊκή Κεντρική Τράπεζα παραλαμβάνουν στοιχεία εμπιστευτικού χαρακτήρα σχετικά με μονάδες που βρίσκονται εντός ή εκτός της εθνικής επικράτειας, δυνάμει του παρόντος άρθρου χειρίζονται τις εν λόγω πληροφορίες εμπιστευτικώς, σύμφωνα με τον κανονισμό (ΕΚ) αριθ. 223/2009.</w:t>
      </w:r>
    </w:p>
    <w:p>
      <w:pPr>
        <w:pStyle w:val="Text1"/>
        <w:rPr>
          <w:noProof/>
        </w:rPr>
      </w:pPr>
      <w:r>
        <w:rPr>
          <w:noProof/>
        </w:rPr>
        <w:t>Η διαβίβαση απόρρητων στοιχείων μεταξύ των εθνικών στατιστικών αρχών και της Επιτροπής (Eurostat) πρέπει να γίνεται στον βαθμό που η διαβίβαση αυτή είναι αναγκαία για την παραγωγή των ευρωπαϊκών στατιστικών. Για οποιαδήποτε περαιτέρω διαβίβαση, απαιτείται ρητή άδεια της εθνικής αρχής που συνέλεξε τα στοιχεία.</w:t>
      </w:r>
    </w:p>
    <w:p>
      <w:pPr>
        <w:pStyle w:val="ChapterTitle"/>
        <w:rPr>
          <w:noProof/>
        </w:rPr>
      </w:pPr>
      <w:r>
        <w:rPr>
          <w:noProof/>
        </w:rPr>
        <w:t xml:space="preserve">ΚΕΦΑΛΑΙΟ V </w:t>
      </w:r>
    </w:p>
    <w:p>
      <w:pPr>
        <w:pStyle w:val="ChapterTitle"/>
        <w:rPr>
          <w:noProof/>
        </w:rPr>
      </w:pPr>
      <w:r>
        <w:rPr>
          <w:noProof/>
        </w:rPr>
        <w:t>ΑΝΤΑΛΛΑΓΗ ΑΠΟΡΡΗΤΩΝ ΣΤΟΙΧΕΙΩΝΓΙΑ ΤΟΥΣ ΣΚΟΠΟΥΣ ΤΩΝ ΣΤΑΤΙΣΤΙΚΩΝ ΓΙΑ ΤΟ ΕΝΔΟΕΝΩΣΙΑΚΟ ΕΜΠΟΡΙΟ ΑΓΑΘΩΝ</w:t>
      </w:r>
    </w:p>
    <w:p>
      <w:pPr>
        <w:pStyle w:val="Titrearticle"/>
        <w:rPr>
          <w:noProof/>
        </w:rPr>
      </w:pPr>
      <w:r>
        <w:rPr>
          <w:noProof/>
        </w:rPr>
        <w:t>Άρθρο 11</w:t>
      </w:r>
    </w:p>
    <w:p>
      <w:pPr>
        <w:pStyle w:val="Titrearticle"/>
        <w:rPr>
          <w:noProof/>
        </w:rPr>
      </w:pPr>
      <w:r>
        <w:rPr>
          <w:noProof/>
        </w:rPr>
        <w:t>Ανταλλαγή εμπιστευτικών στοιχείων</w:t>
      </w:r>
    </w:p>
    <w:p>
      <w:pPr>
        <w:pStyle w:val="ManualNumPar1"/>
        <w:rPr>
          <w:noProof/>
        </w:rPr>
      </w:pPr>
      <w:r>
        <w:t>1.</w:t>
      </w:r>
      <w:r>
        <w:tab/>
      </w:r>
      <w:r>
        <w:rPr>
          <w:noProof/>
        </w:rPr>
        <w:t>Η ανταλλαγή απόρρητων στοιχείων μεταξύ των κρατών μελών για τις ενδοενωσιακές εξαγωγές αγαθών πρέπει να πραγματοποιείται αποκλειστικά για στατιστικούς σκοπούς μεταξύ των εθνικών στατιστικών αρχών που συμβάλλουν στην ανάπτυξη, την παραγωγή και τη διάδοση των στατιστικών για το ενδοενωσιακό εμπόριο αγαθών.</w:t>
      </w:r>
    </w:p>
    <w:p>
      <w:pPr>
        <w:pStyle w:val="Text1"/>
        <w:rPr>
          <w:noProof/>
        </w:rPr>
      </w:pPr>
      <w:r>
        <w:rPr>
          <w:noProof/>
        </w:rPr>
        <w:t>Οι τεχνικές προδιαγραφές για τις απαιτήσεις στοιχείων όπως αναφέρονται στο άρθρο 7 παράγραφοι 1 και 2 εφαρμόζονται επίσης στην ανταλλαγή απόρρητων στοιχείων, σύμφωνα με τις διατάξεις του παρόντος κεφαλαίου.</w:t>
      </w:r>
    </w:p>
    <w:p>
      <w:pPr>
        <w:pStyle w:val="ManualNumPar1"/>
        <w:rPr>
          <w:noProof/>
        </w:rPr>
      </w:pPr>
      <w:r>
        <w:t>2.</w:t>
      </w:r>
      <w:r>
        <w:tab/>
      </w:r>
      <w:r>
        <w:rPr>
          <w:noProof/>
        </w:rPr>
        <w:t>Η εθνική στατιστική υπηρεσία του κράτους μέλους εξαγωγής παρέχει στην εθνική στατιστική υπηρεσία του κράτους μέλους εισαγωγής τις στατιστικές πληροφορίες για τις ενδοενωσιακές εξαγωγές αγαθών προς το εν λόγω κράτος μέλος όπως ορίζεται στο άρθρο 12.</w:t>
      </w:r>
    </w:p>
    <w:p>
      <w:pPr>
        <w:pStyle w:val="ManualNumPar1"/>
        <w:rPr>
          <w:noProof/>
        </w:rPr>
      </w:pPr>
      <w:r>
        <w:t>3.</w:t>
      </w:r>
      <w:r>
        <w:tab/>
      </w:r>
      <w:r>
        <w:rPr>
          <w:noProof/>
        </w:rPr>
        <w:t>Η εθνική στατιστική αρχή του κράτους μέλους εξαγωγής παρέχει στην εθνική στατιστική υπηρεσία του κράτους μέλους εισαγωγής τα μεταδεδομένα που σχετίζονται με τη χρήση στην κατάρτιση των στατιστικών των στοιχείων που ανταλλάσσονται.</w:t>
      </w:r>
    </w:p>
    <w:p>
      <w:pPr>
        <w:pStyle w:val="ManualNumPar1"/>
        <w:rPr>
          <w:noProof/>
        </w:rPr>
      </w:pPr>
      <w:r>
        <w:t>4.</w:t>
      </w:r>
      <w:r>
        <w:tab/>
      </w:r>
      <w:r>
        <w:rPr>
          <w:noProof/>
        </w:rPr>
        <w:t>Η Επιτροπή εξουσιοδοτείται να εκδίδει εκτελεστικές πράξεις για τον προσδιορισμό των πληροφοριών που θεωρούνται ως σχετικά μεταδεδομένα, όπως αναφέρεται στην παράγραφο 3, καθώς και το χρονοδιάγραμμα για την παροχή των πληροφοριών αυτών και των στατιστικών πληροφοριών που αναφέρονται στην παράγραφο 2, σύμφωνα με τη διαδικασία εξέτασης που αναφέρεται στο άρθρο 22 παράγραφος 2.</w:t>
      </w:r>
    </w:p>
    <w:p>
      <w:pPr>
        <w:pStyle w:val="ManualNumPar1"/>
        <w:rPr>
          <w:noProof/>
        </w:rPr>
      </w:pPr>
      <w:r>
        <w:t>5.</w:t>
      </w:r>
      <w:r>
        <w:tab/>
      </w:r>
      <w:r>
        <w:rPr>
          <w:noProof/>
        </w:rPr>
        <w:t>Κατόπιν αιτήματος της εθνικής στατιστικής αρχής του κράτους μέλους εξαγωγής, το κράτος μέλος εισαγωγής μπορεί να παρέχει στην εθνική στατιστική υπηρεσία του κράτους μέλους εξαγωγής τα μικροδεδομένα που συλλέγονται για τις ενδοενωσιακές εισαγωγές αγαθών που εισάγονται από το κράτος μέλος εξαγωγής.</w:t>
      </w:r>
    </w:p>
    <w:p>
      <w:pPr>
        <w:pStyle w:val="Titrearticle"/>
        <w:rPr>
          <w:noProof/>
        </w:rPr>
      </w:pPr>
      <w:r>
        <w:rPr>
          <w:noProof/>
        </w:rPr>
        <w:t>Άρθρο 12</w:t>
      </w:r>
    </w:p>
    <w:p>
      <w:pPr>
        <w:pStyle w:val="Titrearticle"/>
        <w:rPr>
          <w:noProof/>
        </w:rPr>
      </w:pPr>
      <w:r>
        <w:rPr>
          <w:noProof/>
        </w:rPr>
        <w:t>Ανταλλαγή στατιστικών πληροφοριών</w:t>
      </w:r>
    </w:p>
    <w:p>
      <w:pPr>
        <w:pStyle w:val="ManualNumPar1"/>
        <w:rPr>
          <w:noProof/>
        </w:rPr>
      </w:pPr>
      <w:r>
        <w:t>1.</w:t>
      </w:r>
      <w:r>
        <w:tab/>
      </w:r>
      <w:r>
        <w:rPr>
          <w:noProof/>
        </w:rPr>
        <w:t xml:space="preserve"> Οι στατιστικές πληροφορίες που αναφέρονται στο άρθρο 11 παράγραφος 2 συνίστανται σε:</w:t>
      </w:r>
    </w:p>
    <w:p>
      <w:pPr>
        <w:pStyle w:val="Point1letter"/>
        <w:numPr>
          <w:ilvl w:val="3"/>
          <w:numId w:val="45"/>
        </w:numPr>
        <w:rPr>
          <w:noProof/>
        </w:rPr>
      </w:pPr>
      <w:r>
        <w:rPr>
          <w:noProof/>
        </w:rPr>
        <w:t>μικροδεδομένα που συλλέγονται μέσω ερευνών,</w:t>
      </w:r>
    </w:p>
    <w:p>
      <w:pPr>
        <w:pStyle w:val="Point1letter"/>
        <w:rPr>
          <w:noProof/>
        </w:rPr>
      </w:pPr>
      <w:r>
        <w:rPr>
          <w:noProof/>
        </w:rPr>
        <w:t>στοιχεία που συλλέγονται σχετικά με ειδικά αγαθά ή μετακινήσεις χρησιμοποιώντας στοιχεία από άλλες πηγές εκτός των ερευνών, και</w:t>
      </w:r>
    </w:p>
    <w:p>
      <w:pPr>
        <w:pStyle w:val="Point1letter"/>
        <w:rPr>
          <w:noProof/>
        </w:rPr>
      </w:pPr>
      <w:r>
        <w:rPr>
          <w:noProof/>
        </w:rPr>
        <w:t>στοιχεία που συλλέγονται με βάση στοιχεία των τελωνειακών διασαφήσεων.</w:t>
      </w:r>
    </w:p>
    <w:p>
      <w:pPr>
        <w:pStyle w:val="ManualNumPar1"/>
        <w:rPr>
          <w:noProof/>
        </w:rPr>
      </w:pPr>
      <w:r>
        <w:t>2.</w:t>
      </w:r>
      <w:r>
        <w:tab/>
      </w:r>
      <w:r>
        <w:rPr>
          <w:noProof/>
        </w:rPr>
        <w:t>Οι στατιστικές πληροφορίες που αναφέρονται στο άρθρο 11 παράγραφος 2 καλύπτουν τουλάχιστον το 95% της αξίας των συνολικών ενδοενωσιακών εξαγωγών αγαθών από κάθε κράτος μέλος σε όλα τα άλλα κράτη μέλη.</w:t>
      </w:r>
    </w:p>
    <w:p>
      <w:pPr>
        <w:pStyle w:val="Text2"/>
        <w:ind w:left="851"/>
        <w:rPr>
          <w:noProof/>
        </w:rPr>
      </w:pPr>
      <w:r>
        <w:rPr>
          <w:noProof/>
        </w:rPr>
        <w:t>Ανατίθεται στην Επιτροπή η αρμοδιότητα να εκδίδει κατ’ εξουσιοδότηση πράξεις, σύμφωνα με το άρθρο 21, για να τροποποιεί τον παρόντα κανονισμό μειώνοντας το ποσοστό κάλυψης σε συνάρτηση με τις τεχνικές και οικονομικές εξελίξεις, διατηρώντας ταυτόχρονα στατιστικές που συμμορφώνονται με τα ισχύοντα πρότυπα ποιότητας.</w:t>
      </w:r>
    </w:p>
    <w:p>
      <w:pPr>
        <w:pStyle w:val="ManualNumPar1"/>
        <w:rPr>
          <w:noProof/>
        </w:rPr>
      </w:pPr>
      <w:r>
        <w:t>3.</w:t>
      </w:r>
      <w:r>
        <w:tab/>
      </w:r>
      <w:r>
        <w:rPr>
          <w:noProof/>
        </w:rPr>
        <w:t>Η Επιτροπή εξουσιοδοτείται να εκδίδει εκτελεστικές πράξεις σύμφωνα με τη διαδικασία εξέτασης που αναφέρεται στο άρθρο 22 παράγραφος 2 για τον προσδιορισμό των λεπτομερειών που αφορούν συλλογή ή αντίστοιχα την κατάρτιση των πληροφοριών που αναφέρονται στην παράγραφο 1 και για τον περαιτέρω προσδιορισμό των λεπτομερειών για την εφαρμογή του ποσοστού κάλυψης που αναφέρεται στην παράγραφο 2.</w:t>
      </w:r>
    </w:p>
    <w:p>
      <w:pPr>
        <w:pStyle w:val="Titrearticle"/>
        <w:rPr>
          <w:noProof/>
        </w:rPr>
      </w:pPr>
      <w:r>
        <w:rPr>
          <w:noProof/>
        </w:rPr>
        <w:t>Άρθρο 13</w:t>
      </w:r>
    </w:p>
    <w:p>
      <w:pPr>
        <w:pStyle w:val="Titrearticle"/>
        <w:rPr>
          <w:noProof/>
        </w:rPr>
      </w:pPr>
      <w:r>
        <w:rPr>
          <w:noProof/>
        </w:rPr>
        <w:t xml:space="preserve">Συστατικά των στατιστικών στοιχείων </w:t>
      </w:r>
      <w:r>
        <w:rPr>
          <w:noProof/>
        </w:rPr>
        <w:br/>
      </w:r>
    </w:p>
    <w:p>
      <w:pPr>
        <w:pStyle w:val="ManualNumPar1"/>
        <w:rPr>
          <w:noProof/>
        </w:rPr>
      </w:pPr>
      <w:r>
        <w:t>1.</w:t>
      </w:r>
      <w:r>
        <w:tab/>
      </w:r>
      <w:r>
        <w:rPr>
          <w:noProof/>
        </w:rPr>
        <w:t>Τα μικροδεδομένα που αναφέρονται στο άρθρο 12 παράγραφος 1 στοιχείο α) περιλαμβάνουν τα ακόλουθα συστατικά στατιστικών στοιχείων:</w:t>
      </w:r>
    </w:p>
    <w:p>
      <w:pPr>
        <w:pStyle w:val="Point1"/>
        <w:rPr>
          <w:noProof/>
        </w:rPr>
      </w:pPr>
      <w:r>
        <w:rPr>
          <w:noProof/>
        </w:rPr>
        <w:t>α)</w:t>
      </w:r>
      <w:r>
        <w:rPr>
          <w:noProof/>
        </w:rPr>
        <w:tab/>
        <w:t>τον ατομικό αναγνωριστικό αριθμό που χορηγείται στον εταίρο φορέα στο κράτος μέλος εισαγωγής σύμφωνα με το άρθρο 214 της οδηγίας 2006/112/ΕΚ</w:t>
      </w:r>
      <w:r>
        <w:rPr>
          <w:rStyle w:val="FootnoteReference"/>
          <w:noProof/>
        </w:rPr>
        <w:footnoteReference w:id="28"/>
      </w:r>
      <w:r>
        <w:rPr>
          <w:noProof/>
        </w:rPr>
        <w:t>·</w:t>
      </w:r>
    </w:p>
    <w:p>
      <w:pPr>
        <w:pStyle w:val="Point1"/>
        <w:rPr>
          <w:noProof/>
        </w:rPr>
      </w:pPr>
      <w:r>
        <w:rPr>
          <w:noProof/>
        </w:rPr>
        <w:t>β)</w:t>
      </w:r>
      <w:r>
        <w:rPr>
          <w:noProof/>
        </w:rPr>
        <w:tab/>
        <w:t>την περίοδο αναφοράς·</w:t>
      </w:r>
    </w:p>
    <w:p>
      <w:pPr>
        <w:pStyle w:val="Point1"/>
        <w:rPr>
          <w:noProof/>
        </w:rPr>
      </w:pPr>
      <w:r>
        <w:rPr>
          <w:noProof/>
        </w:rPr>
        <w:t>γ)</w:t>
      </w:r>
      <w:r>
        <w:rPr>
          <w:noProof/>
        </w:rPr>
        <w:tab/>
        <w:t>τη ροή·</w:t>
      </w:r>
    </w:p>
    <w:p>
      <w:pPr>
        <w:pStyle w:val="Point1"/>
        <w:rPr>
          <w:noProof/>
        </w:rPr>
      </w:pPr>
      <w:r>
        <w:rPr>
          <w:noProof/>
        </w:rPr>
        <w:t>δ)</w:t>
      </w:r>
      <w:r>
        <w:rPr>
          <w:noProof/>
        </w:rPr>
        <w:tab/>
        <w:t>το εμπόρευμα·</w:t>
      </w:r>
    </w:p>
    <w:p>
      <w:pPr>
        <w:pStyle w:val="Point1"/>
        <w:rPr>
          <w:noProof/>
        </w:rPr>
      </w:pPr>
      <w:r>
        <w:rPr>
          <w:noProof/>
        </w:rPr>
        <w:t>ε)</w:t>
      </w:r>
      <w:r>
        <w:rPr>
          <w:noProof/>
        </w:rPr>
        <w:tab/>
        <w:t>το κράτος μέλος-εταίρο·</w:t>
      </w:r>
    </w:p>
    <w:p>
      <w:pPr>
        <w:pStyle w:val="Point1"/>
        <w:rPr>
          <w:noProof/>
        </w:rPr>
      </w:pPr>
      <w:r>
        <w:rPr>
          <w:noProof/>
        </w:rPr>
        <w:t>στ)</w:t>
      </w:r>
      <w:r>
        <w:rPr>
          <w:noProof/>
        </w:rPr>
        <w:tab/>
        <w:t>τη χώρα καταγωγής·</w:t>
      </w:r>
    </w:p>
    <w:p>
      <w:pPr>
        <w:pStyle w:val="Point1"/>
        <w:rPr>
          <w:noProof/>
        </w:rPr>
      </w:pPr>
      <w:r>
        <w:rPr>
          <w:noProof/>
        </w:rPr>
        <w:t>ζ)</w:t>
      </w:r>
      <w:r>
        <w:rPr>
          <w:noProof/>
        </w:rPr>
        <w:tab/>
        <w:t>την αξία των αγαθών·</w:t>
      </w:r>
    </w:p>
    <w:p>
      <w:pPr>
        <w:pStyle w:val="Point1"/>
        <w:rPr>
          <w:noProof/>
        </w:rPr>
      </w:pPr>
      <w:r>
        <w:rPr>
          <w:noProof/>
        </w:rPr>
        <w:t>η)</w:t>
      </w:r>
      <w:r>
        <w:rPr>
          <w:noProof/>
        </w:rPr>
        <w:tab/>
        <w:t>την ποσότητα των αγαθών·</w:t>
      </w:r>
    </w:p>
    <w:p>
      <w:pPr>
        <w:pStyle w:val="Point1"/>
        <w:rPr>
          <w:noProof/>
        </w:rPr>
      </w:pPr>
      <w:r>
        <w:rPr>
          <w:noProof/>
        </w:rPr>
        <w:t>θ)</w:t>
      </w:r>
      <w:r>
        <w:rPr>
          <w:noProof/>
        </w:rPr>
        <w:tab/>
        <w:t>τη φύση της συναλλαγής.</w:t>
      </w:r>
    </w:p>
    <w:p>
      <w:pPr>
        <w:pStyle w:val="Text1"/>
        <w:rPr>
          <w:noProof/>
        </w:rPr>
      </w:pPr>
      <w:r>
        <w:rPr>
          <w:noProof/>
        </w:rPr>
        <w:t>Τα μικροδεδομένα που αναφέρονται στο άρθρο 12 παράγραφος 1 στοιχείο α) μπορεί να περιέχουν το μεταφορικό μέσο, υπό την προϋπόθεση ότι το κράτος μέλος εξαγωγής συλλέγει αυτή την πληροφορία.</w:t>
      </w:r>
    </w:p>
    <w:p>
      <w:pPr>
        <w:pStyle w:val="Text1"/>
        <w:rPr>
          <w:noProof/>
        </w:rPr>
      </w:pPr>
      <w:r>
        <w:rPr>
          <w:noProof/>
        </w:rPr>
        <w:t>Η Επιτροπή εξουσιοδοτείται να εκδίδει εκτελεστικές πράξεις σύμφωνα με τη διαδικασία εξέτασης που αναφέρεται στο άρθρο 22 παράγραφος 2 για τον προσδιορισμό των συστατικών στατιστικών στοιχείων που αναφέρονται στα στοιχεία α) έως θ) και για τον καθορισμό του καταλόγου των συστατικών στατιστικών στοιχείων που ισχύουν για τα συγκεκριμένα αγαθά ή μετακινήσεις και στοιχεία που συνέλεξε βάσει των στοιχείων των τελωνειακών διασαφήσεων που αναφέρονται στο άρθρο 12 παράγραφος 1 στοιχεία β) και γ).</w:t>
      </w:r>
    </w:p>
    <w:p>
      <w:pPr>
        <w:pStyle w:val="ManualNumPar1"/>
        <w:rPr>
          <w:noProof/>
        </w:rPr>
      </w:pPr>
      <w:r>
        <w:t>2.</w:t>
      </w:r>
      <w:r>
        <w:tab/>
      </w:r>
      <w:r>
        <w:rPr>
          <w:noProof/>
        </w:rPr>
        <w:t>Τα κράτη μέλη δύνανται, υπό ορισμένους όρους που πληρούν τις απαιτήσεις ποιότητας, να απλουστεύουν τις πληροφορίες που πρέπει να υποβάλλονται για μεμονωμένες συναλλαγές ήσσονος σημασίας, υπό την προϋπόθεση ότι η απλούστευση αυτή δεν αποβαίνει εις βάρος της ποιότητας των στατιστικών.</w:t>
      </w:r>
    </w:p>
    <w:p>
      <w:pPr>
        <w:pStyle w:val="Text1"/>
        <w:ind w:left="851"/>
        <w:rPr>
          <w:noProof/>
        </w:rPr>
      </w:pPr>
      <w:r>
        <w:rPr>
          <w:noProof/>
        </w:rPr>
        <w:t>Σε ειδικές περιπτώσεις, τα κράτη μέλη μπορούν να συλλέγουν ένα μειωμένο σύνολο συστατικών στατιστικών στοιχείων που αναφέρονται στην παράγραφο 1 ή να συλλέγουν τις πληροφορίες που σχετίζονται με ορισμένα από αυτά τα συστατικά στοιχείων σε λιγότερο λεπτομερές επίπεδο.</w:t>
      </w:r>
    </w:p>
    <w:p>
      <w:pPr>
        <w:pStyle w:val="Text1"/>
        <w:rPr>
          <w:noProof/>
        </w:rPr>
      </w:pPr>
      <w:r>
        <w:rPr>
          <w:noProof/>
        </w:rPr>
        <w:t>Η Επιτροπή εξουσιοδοτείται να εκδίδει εκτελεστικές πράξεις σύμφωνα με τη διαδικασία εξέτασης που αναφέρεται στο άρθρο 22 παράγραφος 2 για τον προσδιορισμό των λεπτομερειών σχετικά με την απλούστευση και τη μέγιστη αξία των ενδοενωσιακών εξαγωγών που επωφελούνται αυτής της απλούστευσης.</w:t>
      </w:r>
    </w:p>
    <w:p>
      <w:pPr>
        <w:pStyle w:val="Titrearticle"/>
        <w:rPr>
          <w:noProof/>
        </w:rPr>
      </w:pPr>
      <w:r>
        <w:rPr>
          <w:noProof/>
        </w:rPr>
        <w:tab/>
        <w:t xml:space="preserve"> Άρθρο 14</w:t>
      </w:r>
    </w:p>
    <w:p>
      <w:pPr>
        <w:pStyle w:val="Titrearticle"/>
        <w:rPr>
          <w:noProof/>
        </w:rPr>
      </w:pPr>
      <w:r>
        <w:rPr>
          <w:noProof/>
        </w:rPr>
        <w:t>Προστασία των ανταλλασσόμενων απόρρητων στοιχείων</w:t>
      </w:r>
    </w:p>
    <w:p>
      <w:pPr>
        <w:pStyle w:val="ManualNumPar1"/>
        <w:rPr>
          <w:noProof/>
        </w:rPr>
      </w:pPr>
      <w:r>
        <w:t>1.</w:t>
      </w:r>
      <w:r>
        <w:tab/>
      </w:r>
      <w:r>
        <w:rPr>
          <w:noProof/>
        </w:rPr>
        <w:t>Εφαρμόζονται οι ακόλουθοι κανόνες απορρήτου:</w:t>
      </w:r>
    </w:p>
    <w:p>
      <w:pPr>
        <w:pStyle w:val="Point1letter"/>
        <w:numPr>
          <w:ilvl w:val="3"/>
          <w:numId w:val="49"/>
        </w:numPr>
        <w:rPr>
          <w:noProof/>
        </w:rPr>
      </w:pPr>
      <w:r>
        <w:rPr>
          <w:noProof/>
        </w:rPr>
        <w:t>Τα αρχεία μικροδεδομένων που αφορούν εξαγωγείς των οποίων η αίτηση για το στατιστικό απόρρητο, σύμφωνα με το άρθρο 18, γίνεται δεκτή από την εθνική στατιστική αρχή του κράτους μέλους εξαγωγής, παρέχονται από την εθνική στατιστική υπηρεσία του κράτους μέλους εξαγωγής στην εθνική στατιστική υπηρεσία του κράτους μέλους εισαγωγής με την πραγματική αξία και όλα τα συστατικά στατιστικών στοιχείων που αναφέρονται στο άρθρο 13 παράγραφος 1 και με μια σημαία που υποδηλώνει ότι το εν λόγω αρχείο μικροδεδομένων αποτελεί αντικείμενο απορρήτου.</w:t>
      </w:r>
    </w:p>
    <w:p>
      <w:pPr>
        <w:pStyle w:val="Point1letter"/>
        <w:numPr>
          <w:ilvl w:val="3"/>
          <w:numId w:val="23"/>
        </w:numPr>
        <w:rPr>
          <w:noProof/>
        </w:rPr>
      </w:pPr>
      <w:r>
        <w:rPr>
          <w:noProof/>
        </w:rPr>
        <w:t>Η εθνική στατιστική υπηρεσία του κράτους μέλους εισαγωγής δύναται να χρησιμοποιήσει στην κατάρτιση των στατιστικών αποτελεσμάτων των ενδοενωσιακών εισαγωγών τα αρχεία μικροδεδομένων για τις εξαγωγές που αποτελούν αντικείμενο απορρήτου. Εάν η εθνική στατιστική υπηρεσία του κράτους μέλους εισαγωγής χρησιμοποιεί τα αρχεία μικροδεδομένων για εξαγωγές που υπόκεινται στο απόρρητο, μεριμνά ότι η διάδοση των στατιστικών αποτελεσμάτων για τις ενδοενωσιακές εισαγωγές από την εθνική στατιστική αρχή του κράτους μέλους εισαγωγής σέβεται το στατιστικό απόρρητο που χορηγείται από την εθνική στατιστική υπηρεσία του κράτους μέλους εξαγωγής.</w:t>
      </w:r>
    </w:p>
    <w:p>
      <w:pPr>
        <w:pStyle w:val="ManualNumPar1"/>
        <w:rPr>
          <w:noProof/>
        </w:rPr>
      </w:pPr>
      <w:r>
        <w:t>2.</w:t>
      </w:r>
      <w:r>
        <w:tab/>
      </w:r>
      <w:r>
        <w:rPr>
          <w:noProof/>
        </w:rPr>
        <w:t>Η Επιτροπή εξουσιοδοτείται να εκδίδει εκτελεστικές πράξεις προκειμένου να διασφαλίζει την προστασία του απορρήτου των στοιχείων που ανταλλάσσονται δυνάμει του παρόντος κεφαλαίου όπου προσδιορίζεται ο μορφότυπος, τα μέτρα ασφάλειας και το απόρρητο για τα στοιχεία αυτά, συμπεριλαμβανομένων των τρόπων εφαρμογής των κανόνων στην παράγραφο 1, καθώς και τη διαδικασία για την ανταλλαγή στοιχείων, σύμφωνα με τη διαδικασία εξέτασης που αναφέρεται στο άρθρο 22 παράγραφος 2.</w:t>
      </w:r>
    </w:p>
    <w:p>
      <w:pPr>
        <w:pStyle w:val="ManualNumPar1"/>
        <w:rPr>
          <w:noProof/>
        </w:rPr>
      </w:pPr>
      <w:r>
        <w:t>3.</w:t>
      </w:r>
      <w:r>
        <w:tab/>
      </w:r>
      <w:r>
        <w:rPr>
          <w:noProof/>
        </w:rPr>
        <w:t>Τα κράτη μέλη και η Επιτροπή λαμβάνουν κατάλληλα μέτρα για την αποτροπή και την επιβολή κυρώσεων για κάθε παραβίαση του στατιστικού απορρήτου των στοιχείων που ανταλλάσσονται. Οι κυρώσεις που προβλέπονται πρέπει να είναι αποτελεσματικές, αναλογικές και αποτρεπτικές.</w:t>
      </w:r>
    </w:p>
    <w:p>
      <w:pPr>
        <w:pStyle w:val="Titrearticle"/>
        <w:rPr>
          <w:noProof/>
        </w:rPr>
      </w:pPr>
      <w:r>
        <w:rPr>
          <w:noProof/>
        </w:rPr>
        <w:t>Άρθρο 15</w:t>
      </w:r>
    </w:p>
    <w:p>
      <w:pPr>
        <w:pStyle w:val="Titrearticle"/>
        <w:rPr>
          <w:noProof/>
        </w:rPr>
      </w:pPr>
      <w:r>
        <w:rPr>
          <w:noProof/>
        </w:rPr>
        <w:t>Πρόσβαση σε ανταλλασσόμενα απόρρητα στοιχεία για επιστημονικούς σκοπούς</w:t>
      </w:r>
    </w:p>
    <w:p>
      <w:pPr>
        <w:pStyle w:val="Text1"/>
        <w:ind w:left="142"/>
        <w:rPr>
          <w:noProof/>
        </w:rPr>
      </w:pPr>
      <w:r>
        <w:rPr>
          <w:noProof/>
        </w:rPr>
        <w:t>Η πρόσβαση στα ανταλλασσόμενα απόρρητα στοιχεία παρέχεται σε ερευνητές που διεξάγουν στατιστικές αναλύσεις για επιστημονικούς σκοπούς, σύμφωνα με το άρθρο 23 του κανονισμού (ΕΚ) αριθ. 223/2009. Απαιτείται η έγκριση της εθνικής στατιστικής αρχής του κράτους μέλους εξαγωγής που παρέσχε τα στοιχεία.</w:t>
      </w:r>
    </w:p>
    <w:p>
      <w:pPr>
        <w:pStyle w:val="ChapterTitle"/>
        <w:ind w:left="120"/>
        <w:rPr>
          <w:noProof/>
        </w:rPr>
      </w:pPr>
      <w:r>
        <w:rPr>
          <w:noProof/>
        </w:rPr>
        <w:t xml:space="preserve">ΚΕΦΑΛΑΙΟ VI </w:t>
      </w:r>
    </w:p>
    <w:p>
      <w:pPr>
        <w:pStyle w:val="ChapterTitle"/>
        <w:ind w:left="120"/>
        <w:rPr>
          <w:noProof/>
        </w:rPr>
      </w:pPr>
      <w:r>
        <w:rPr>
          <w:noProof/>
        </w:rPr>
        <w:t>ΠΟΙΟΤΗΤΑ, ΔΙΑΒΙΒΑΣΗ ΚΑΙ ΔΙΑΔΟΣΗ</w:t>
      </w:r>
    </w:p>
    <w:p>
      <w:pPr>
        <w:pStyle w:val="Titrearticle"/>
        <w:rPr>
          <w:noProof/>
        </w:rPr>
      </w:pPr>
      <w:r>
        <w:rPr>
          <w:noProof/>
        </w:rPr>
        <w:t>Άρθρο 16</w:t>
      </w:r>
    </w:p>
    <w:p>
      <w:pPr>
        <w:pStyle w:val="Titrearticle"/>
        <w:rPr>
          <w:noProof/>
        </w:rPr>
      </w:pPr>
      <w:r>
        <w:rPr>
          <w:noProof/>
        </w:rPr>
        <w:t xml:space="preserve">Ποιότητα </w:t>
      </w:r>
    </w:p>
    <w:p>
      <w:pPr>
        <w:pStyle w:val="ManualNumPar1"/>
        <w:rPr>
          <w:noProof/>
        </w:rPr>
      </w:pPr>
      <w:r>
        <w:t>1.</w:t>
      </w:r>
      <w:r>
        <w:tab/>
      </w:r>
      <w:r>
        <w:rPr>
          <w:noProof/>
        </w:rPr>
        <w:t>Τα κράτη μέλη λαμβάνουν όλα τα αναγκαία μέτρα για τη διασφάλιση της ποιότητας των ευρωπαϊκών στατιστικών για τις επιχειρήσεις που διαβιβάζονται, καθώς και των εθνικών στατιστικών μητρώων επιχειρήσεων και του μητρώου EuroGroups.</w:t>
      </w:r>
    </w:p>
    <w:p>
      <w:pPr>
        <w:pStyle w:val="ManualNumPar1"/>
        <w:rPr>
          <w:noProof/>
        </w:rPr>
      </w:pPr>
      <w:r>
        <w:t>2.</w:t>
      </w:r>
      <w:r>
        <w:tab/>
      </w:r>
      <w:r>
        <w:rPr>
          <w:noProof/>
        </w:rPr>
        <w:t>Για τους σκοπούς του παρόντος κανονισμού, ισχύουν τα κριτήρια ποιότητας που καθορίζονται στο άρθρο 12 παράγραφος 1 του κανονισμού (ΕΚ) αριθ. 223/2009.</w:t>
      </w:r>
    </w:p>
    <w:p>
      <w:pPr>
        <w:pStyle w:val="ManualNumPar1"/>
        <w:rPr>
          <w:noProof/>
        </w:rPr>
      </w:pPr>
      <w:r>
        <w:t>3.</w:t>
      </w:r>
      <w:r>
        <w:tab/>
      </w:r>
      <w:r>
        <w:rPr>
          <w:noProof/>
        </w:rPr>
        <w:t xml:space="preserve">Η Επιτροπή (Eurostat) αξιολογεί την ποιότητα των διαβιβαζόμενων στοιχείων και μεταδεδομένων. </w:t>
      </w:r>
    </w:p>
    <w:p>
      <w:pPr>
        <w:pStyle w:val="ManualNumPar1"/>
        <w:rPr>
          <w:noProof/>
        </w:rPr>
      </w:pPr>
      <w:r>
        <w:t>4.</w:t>
      </w:r>
      <w:r>
        <w:tab/>
      </w:r>
      <w:r>
        <w:rPr>
          <w:noProof/>
        </w:rPr>
        <w:t>Για τον σκοπό αυτό, τα κράτη μέλη διαβιβάζουν:</w:t>
      </w:r>
    </w:p>
    <w:p>
      <w:pPr>
        <w:pStyle w:val="Point1letter"/>
        <w:numPr>
          <w:ilvl w:val="3"/>
          <w:numId w:val="67"/>
        </w:numPr>
        <w:rPr>
          <w:noProof/>
        </w:rPr>
      </w:pPr>
      <w:r>
        <w:rPr>
          <w:noProof/>
        </w:rPr>
        <w:t xml:space="preserve"> ετήσιες εκθέσεις ποιότητας και μεταδεδομένων για τα διαβιβαζόμενα στοιχεία. Στην περίπτωση πολυετών στατιστικών, η περιοδικότητα των εκθέσεων πρέπει να είναι η ίδια όπως και για τις στατιστικές·</w:t>
      </w:r>
    </w:p>
    <w:p>
      <w:pPr>
        <w:pStyle w:val="Point1letter"/>
        <w:rPr>
          <w:noProof/>
        </w:rPr>
      </w:pPr>
      <w:r>
        <w:rPr>
          <w:noProof/>
        </w:rPr>
        <w:t xml:space="preserve"> ετήσιες εκθέσεις ποιότητας και μεταδεδομένων που αφορούν τα εθνικά μητρώα επιχειρήσεων για στατιστικούς σκοπούς. </w:t>
      </w:r>
    </w:p>
    <w:p>
      <w:pPr>
        <w:pStyle w:val="ManualNumPar1"/>
        <w:rPr>
          <w:noProof/>
        </w:rPr>
      </w:pPr>
      <w:r>
        <w:t>5.</w:t>
      </w:r>
      <w:r>
        <w:tab/>
      </w:r>
      <w:r>
        <w:rPr>
          <w:noProof/>
        </w:rPr>
        <w:t>Η Επιτροπή (Eurostat) παρέχει στα κράτη μέλη ετήσιες εκθέσεις ποιότητας και μεταδεδομένων που σχετίζονται με το μητρώο EuroGroups.</w:t>
      </w:r>
    </w:p>
    <w:p>
      <w:pPr>
        <w:pStyle w:val="ManualNumPar1"/>
        <w:rPr>
          <w:noProof/>
        </w:rPr>
      </w:pPr>
      <w:r>
        <w:t>6.</w:t>
      </w:r>
      <w:r>
        <w:tab/>
      </w:r>
      <w:r>
        <w:rPr>
          <w:noProof/>
        </w:rPr>
        <w:t>Η Επιτροπή εξουσιοδοτείται να εκδίδει εκτελεστικές πράξεις οι οποίες ορίζουν τις λεπτομέρειες, το περιεχόμενο και τις προθεσμίες για τις εκθέσεις ποιότητας και μεταδεδομένων. Οι εν λόγω εκτελεστικές πράξεις εκδίδονται σύμφωνα με τη διαδικασία εξέτασης που προβλέπεται στο άρθρο 22 παράγραφος 2.</w:t>
      </w:r>
    </w:p>
    <w:p>
      <w:pPr>
        <w:pStyle w:val="ManualNumPar1"/>
        <w:rPr>
          <w:noProof/>
        </w:rPr>
      </w:pPr>
      <w:r>
        <w:t>7.</w:t>
      </w:r>
      <w:r>
        <w:tab/>
      </w:r>
      <w:r>
        <w:rPr>
          <w:noProof/>
        </w:rPr>
        <w:t>Τα κράτη μέλη ενημερώνουν την Επιτροπή (Eurostat) το συντομότερο δυνατόν για κάθε σχετική πληροφορία ή αλλαγή όσον αφορά την εφαρμογή του παρόντος κανονισμού, που θα μπορούσε να επηρεάσει την ποιότητα των διαβιβαζόμενων στοιχείων. Τα κράτη μέλη ενημερώνουν την Επιτροπή (Eurostat) σχετικά με μείζονες μεθοδολογικές ή άλλες αλλαγές που επηρεάζουν την ποιότητα των εθνικών μητρώων επιχειρήσεων για στατιστικούς σκοπούς. Οι πληροφορίες αυτές παρέχονται το συντομότερο δυνατό και το αργότερο εντός έξι μηνών από την έναρξη ισχύος κάθε τέτοιας αλλαγής.</w:t>
      </w:r>
    </w:p>
    <w:p>
      <w:pPr>
        <w:pStyle w:val="ManualNumPar1"/>
        <w:rPr>
          <w:noProof/>
        </w:rPr>
      </w:pPr>
      <w:r>
        <w:t>8.</w:t>
      </w:r>
      <w:r>
        <w:tab/>
      </w:r>
      <w:r>
        <w:rPr>
          <w:noProof/>
        </w:rPr>
        <w:t>Εάν ζητηθεί από την Επιτροπή (Eurostat), τα κράτη μέλη παρέχουν τις πρόσθετες πληροφορίες που απαιτούνται για την αξιολόγηση της ποιότητας της στατιστικής πληροφόρησης.</w:t>
      </w:r>
    </w:p>
    <w:p>
      <w:pPr>
        <w:pStyle w:val="Titrearticle"/>
        <w:rPr>
          <w:noProof/>
        </w:rPr>
      </w:pPr>
      <w:r>
        <w:rPr>
          <w:noProof/>
        </w:rPr>
        <w:t>Άρθρο 17</w:t>
      </w:r>
    </w:p>
    <w:p>
      <w:pPr>
        <w:pStyle w:val="Titrearticle"/>
        <w:rPr>
          <w:noProof/>
        </w:rPr>
      </w:pPr>
      <w:r>
        <w:rPr>
          <w:noProof/>
        </w:rPr>
        <w:t>Διαβίβαση στοιχείων και μεταδεδομένων</w:t>
      </w:r>
    </w:p>
    <w:p>
      <w:pPr>
        <w:pStyle w:val="ManualNumPar1"/>
        <w:rPr>
          <w:noProof/>
        </w:rPr>
      </w:pPr>
      <w:r>
        <w:t>1.</w:t>
      </w:r>
      <w:r>
        <w:tab/>
      </w:r>
      <w:r>
        <w:rPr>
          <w:noProof/>
        </w:rPr>
        <w:t>Τα κράτη μέλη παρέχουν στην Επιτροπή (Eurostat) τα στοιχεία και μεταδεδομένα που απαιτούνται από τον παρόντα κανονισμό σύμφωνα με τα πρότυπα ανταλλαγής στοιχείων και μεταδεδομένων. Η Επιτροπή εξουσιοδοτείται να εκδίδει εκτελεστικές πράξεις σύμφωνα με τη διαδικασία εξέτασης που αναφέρεται στο άρθρο 22 παράγραφος 2 για τον προσδιορισμό τέτοιων προτύπων, καθώς και μιας διαδικασίας για τη διαβίβαση των στοιχείων και μεταδεδομένων. Όταν τα στοιχεία που διαβιβάζονται είναι απόρρητα, η πραγματική τιμή θα πρέπει να αποστέλλεται σε μια σημαία που να υποδηλώνει ότι είναι απόρρητα και δεν μπορούν να διαδοθούν.</w:t>
      </w:r>
    </w:p>
    <w:p>
      <w:pPr>
        <w:pStyle w:val="ManualNumPar1"/>
        <w:rPr>
          <w:noProof/>
        </w:rPr>
      </w:pPr>
      <w:r>
        <w:t>2.</w:t>
      </w:r>
      <w:r>
        <w:tab/>
      </w:r>
      <w:r>
        <w:rPr>
          <w:noProof/>
        </w:rPr>
        <w:t xml:space="preserve">Τα κράτη μέλη προβαίνουν σε στατιστικές αναλύσεις των εθνικών μητρώων επιχειρήσεων για στατιστικούς σκοπούς και διαβιβάζουν τις σχετικές πληροφορίες στην Επιτροπή (Eurostat), με τον μορφότυπο και τη διαδικασία που προσδιορίζονται σε εκτελεστικές πράξεις οι οποίες εκδίδονται σύμφωνα με τη διαδικασία εξέτασης που αναφέρεται στο άρθρο 22 παράγραφος 2. </w:t>
      </w:r>
    </w:p>
    <w:p>
      <w:pPr>
        <w:pStyle w:val="ManualNumPar1"/>
        <w:rPr>
          <w:noProof/>
        </w:rPr>
      </w:pPr>
      <w:r>
        <w:t>3.</w:t>
      </w:r>
      <w:r>
        <w:tab/>
      </w:r>
      <w:r>
        <w:rPr>
          <w:noProof/>
        </w:rPr>
        <w:t>Τα κράτη μέλη διαβιβάζουν στην Επιτροπή (Eurostat), κατόπιν αιτήματός της, κάθε σχετική πληροφορία για την εφαρμογή του παρόντος κανονισμού στα κράτη μέλη.</w:t>
      </w:r>
    </w:p>
    <w:p>
      <w:pPr>
        <w:pStyle w:val="Titrearticle"/>
        <w:rPr>
          <w:noProof/>
        </w:rPr>
      </w:pPr>
      <w:r>
        <w:rPr>
          <w:noProof/>
        </w:rPr>
        <w:t>Άρθρο 18</w:t>
      </w:r>
    </w:p>
    <w:p>
      <w:pPr>
        <w:pStyle w:val="Titrearticle"/>
        <w:rPr>
          <w:noProof/>
        </w:rPr>
      </w:pPr>
      <w:r>
        <w:rPr>
          <w:noProof/>
        </w:rPr>
        <w:t>Απόρρητο όσον αφορά τη διάδοση στατιστικών στοιχείων για το διεθνές εμπόριο αγαθών</w:t>
      </w:r>
    </w:p>
    <w:p>
      <w:pPr>
        <w:rPr>
          <w:rStyle w:val="Text2Char"/>
          <w:noProof/>
        </w:rPr>
      </w:pPr>
      <w:r>
        <w:rPr>
          <w:rStyle w:val="Text2Char"/>
          <w:noProof/>
        </w:rPr>
        <w:t>Οι εθνικές στατιστικές αρχές, κατόπιν αιτήσεως του εισαγωγέα ή του εξαγωγέα, αποφασίζουν σχετικά με τη διάδοση των στατιστικών αποτελεσμάτων που ενδέχεται να επιτρέπουν την αναγνώριση του προαναφερόμενου εισαγωγέα ή εξαγωγέα ή το κατά πόσον τα στατιστικά αποτελέσματα πρέπει να τροποποιηθούν ώστε να μη θίγει το στατιστικό απόρρητο, σύμφωνα με το άρθρο 20 παράγραφος 3 στοιχείο α) του κανονισμού (ΕΚ) αριθ. 223/2009.</w:t>
      </w:r>
    </w:p>
    <w:p>
      <w:pPr>
        <w:pStyle w:val="ChapterTitle"/>
        <w:rPr>
          <w:noProof/>
        </w:rPr>
      </w:pPr>
      <w:r>
        <w:rPr>
          <w:noProof/>
        </w:rPr>
        <w:t>ΚΕΦΑΛΑΙΟ VII</w:t>
      </w:r>
    </w:p>
    <w:p>
      <w:pPr>
        <w:pStyle w:val="ChapterTitle"/>
        <w:rPr>
          <w:noProof/>
        </w:rPr>
      </w:pPr>
      <w:r>
        <w:rPr>
          <w:noProof/>
        </w:rPr>
        <w:t>ΠΙΛΟΤΙΚΕΣ ΜΕΛΕΤΕΣ ΚΑΙ ΧΡΗΜΑΤΟΔΟΤΗΣΗ</w:t>
      </w:r>
    </w:p>
    <w:p>
      <w:pPr>
        <w:pStyle w:val="Titrearticle"/>
        <w:rPr>
          <w:noProof/>
        </w:rPr>
      </w:pPr>
      <w:r>
        <w:rPr>
          <w:noProof/>
        </w:rPr>
        <w:t>Άρθρο 19</w:t>
      </w:r>
    </w:p>
    <w:p>
      <w:pPr>
        <w:pStyle w:val="Titrearticle"/>
        <w:rPr>
          <w:noProof/>
        </w:rPr>
      </w:pPr>
      <w:r>
        <w:rPr>
          <w:noProof/>
        </w:rPr>
        <w:t>Πιλοτικές μελέτες</w:t>
      </w:r>
    </w:p>
    <w:p>
      <w:pPr>
        <w:pStyle w:val="ManualNumPar1"/>
        <w:rPr>
          <w:noProof/>
        </w:rPr>
      </w:pPr>
      <w:r>
        <w:t>1.</w:t>
      </w:r>
      <w:r>
        <w:tab/>
      </w:r>
      <w:r>
        <w:rPr>
          <w:noProof/>
        </w:rPr>
        <w:t>Όταν η Επιτροπή (Eurostat) εντοπίζει την ανάγκη για σημαντικές νέες απαιτήσεις για στοιχεία ή βελτιώσεις στα σύνολα στοιχείων που καλύπτονται από τον παρόντα κανονισμό, δύναται να δρομολογήσει πιλοτικές μελέτες που πρέπει να πραγματοποιηθούν από τα κράτη μέλη σε εθελοντική βάση, πριν από κάθε νέα συλλογή στοιχείων.</w:t>
      </w:r>
    </w:p>
    <w:p>
      <w:pPr>
        <w:pStyle w:val="ManualNumPar1"/>
        <w:rPr>
          <w:noProof/>
        </w:rPr>
      </w:pPr>
      <w:r>
        <w:t>2.</w:t>
      </w:r>
      <w:r>
        <w:tab/>
      </w:r>
      <w:r>
        <w:rPr>
          <w:noProof/>
        </w:rPr>
        <w:t>Οι πιλοτικές αυτές μελέτες διενεργούνται προκειμένου να αξιολογηθεί η καταλληλότητα και η σκοπιμότητα της συλλογής των στοιχείων, λαμβάνοντας υπόψη τα πλεονεκτήματα από τη διαθεσιμότητα των στοιχείων σε σχέση με το κόστος της συλλογής τους και με την επιβάρυνση των επιχειρήσεων.</w:t>
      </w:r>
    </w:p>
    <w:p>
      <w:pPr>
        <w:pStyle w:val="ManualNumPar1"/>
        <w:rPr>
          <w:noProof/>
        </w:rPr>
      </w:pPr>
      <w:r>
        <w:t>3.</w:t>
      </w:r>
      <w:r>
        <w:tab/>
      </w:r>
      <w:r>
        <w:rPr>
          <w:noProof/>
        </w:rPr>
        <w:t>Οι πρώτες πιλοτικές μελέτες που θα ξεκινήσουν καλύπτουν τους τρόπους παροχής διεθνούς εμπορίου στον τομέα των υπηρεσιών, καθώς και τις διεθνείς εμπορικές συναλλαγές υπηρεσιών, βάσει των χαρακτηριστικών των επιχειρήσεων.</w:t>
      </w:r>
    </w:p>
    <w:p>
      <w:pPr>
        <w:pStyle w:val="Titrearticle"/>
        <w:rPr>
          <w:noProof/>
        </w:rPr>
      </w:pPr>
      <w:r>
        <w:rPr>
          <w:noProof/>
        </w:rPr>
        <w:t>Άρθρο 20</w:t>
      </w:r>
    </w:p>
    <w:p>
      <w:pPr>
        <w:pStyle w:val="Titrearticle"/>
        <w:rPr>
          <w:noProof/>
        </w:rPr>
      </w:pPr>
      <w:r>
        <w:rPr>
          <w:noProof/>
        </w:rPr>
        <w:t>Χρηματοδότηση</w:t>
      </w:r>
    </w:p>
    <w:p>
      <w:pPr>
        <w:pStyle w:val="ManualNumPar1"/>
        <w:rPr>
          <w:noProof/>
        </w:rPr>
      </w:pPr>
      <w:r>
        <w:t>1.</w:t>
      </w:r>
      <w:r>
        <w:tab/>
      </w:r>
      <w:r>
        <w:rPr>
          <w:noProof/>
        </w:rPr>
        <w:t>Για την εφαρμογή του παρόντος κανονισμού, η Ένωση μπορεί να χορηγεί χρηματοδοτική υποστήριξη στις εθνικές στατιστικές υπηρεσίες και άλλες εθνικές αρχές που αναφέρονται στον κατάλογο που καταρτίζεται με βάση το άρθρο 5 παράγραφος 2 του κανονισμού (ΕΚ) αριθ. 223/2009, έναντι του κόστους για:</w:t>
      </w:r>
    </w:p>
    <w:p>
      <w:pPr>
        <w:pStyle w:val="Point1letter"/>
        <w:numPr>
          <w:ilvl w:val="3"/>
          <w:numId w:val="54"/>
        </w:numPr>
        <w:rPr>
          <w:noProof/>
        </w:rPr>
      </w:pPr>
      <w:r>
        <w:rPr>
          <w:noProof/>
        </w:rPr>
        <w:t xml:space="preserve">την ανάπτυξη ή την εφαρμογή των απαιτήσεων στοιχείων στον τομέα των στατιστικών για τις επιχειρήσεις· </w:t>
      </w:r>
    </w:p>
    <w:p>
      <w:pPr>
        <w:pStyle w:val="Point1letter"/>
        <w:numPr>
          <w:ilvl w:val="3"/>
          <w:numId w:val="26"/>
        </w:numPr>
        <w:rPr>
          <w:noProof/>
        </w:rPr>
      </w:pPr>
      <w:r>
        <w:rPr>
          <w:noProof/>
        </w:rPr>
        <w:t>την ανάπτυξη μεθοδολογιών οι οποίες αποβλέπουν σε υψηλότερη ποιότητα ή χαμηλότερο κόστος και διοικητική επιβάρυνση που συνεπάγεται η συλλογή και παραγωγή στατιστικών για τις επιχειρήσεις, καθώς και για τη βελτίωση του ευρωπαϊκού δικτύου των μητρώων επιχειρήσεων για στατιστικούς σκοπούς.</w:t>
      </w:r>
    </w:p>
    <w:p>
      <w:pPr>
        <w:pStyle w:val="ManualNumPar1"/>
        <w:rPr>
          <w:noProof/>
        </w:rPr>
      </w:pPr>
      <w:r>
        <w:t>2.</w:t>
      </w:r>
      <w:r>
        <w:tab/>
      </w:r>
      <w:r>
        <w:rPr>
          <w:noProof/>
        </w:rPr>
        <w:t>Η χρηματοδοτική συνεισφορά της Ένωσης παρέχεται σύμφωνα με το άρθρο 7 του κανονισμού (ΕΕ) αριθ. 99/2013 του Ευρωπαϊκού Κοινοβουλίου και του Συμβουλίου, καθώς και το άρθρο 6 του κανονισμού (ΕΕ) αριθ. 1291/2013 του Ευρωπαϊκού Κοινοβουλίου και του Συμβουλίου.</w:t>
      </w:r>
    </w:p>
    <w:p>
      <w:pPr>
        <w:pStyle w:val="ManualNumPar1"/>
        <w:rPr>
          <w:noProof/>
        </w:rPr>
      </w:pPr>
      <w:r>
        <w:t>3.</w:t>
      </w:r>
      <w:r>
        <w:tab/>
      </w:r>
      <w:r>
        <w:rPr>
          <w:noProof/>
        </w:rPr>
        <w:t>Η χρηματοδοτική συνεισφορά της Ένωσης δεν υπερβαίνει το 95 % των επιλέξιμων δαπανών.</w:t>
      </w:r>
    </w:p>
    <w:p>
      <w:pPr>
        <w:pStyle w:val="ChapterTitle"/>
        <w:rPr>
          <w:noProof/>
        </w:rPr>
      </w:pPr>
      <w:r>
        <w:rPr>
          <w:noProof/>
        </w:rPr>
        <w:t>ΚΕΦΑΛΑΙΟVIII</w:t>
      </w:r>
    </w:p>
    <w:p>
      <w:pPr>
        <w:pStyle w:val="ChapterTitle"/>
        <w:rPr>
          <w:noProof/>
        </w:rPr>
      </w:pPr>
      <w:r>
        <w:rPr>
          <w:noProof/>
        </w:rPr>
        <w:t>ΤΕΛΙΚΕΣ ΔΙΑΤΑΞΕΙΣ</w:t>
      </w:r>
    </w:p>
    <w:p>
      <w:pPr>
        <w:pStyle w:val="Titrearticle"/>
        <w:rPr>
          <w:noProof/>
        </w:rPr>
      </w:pPr>
      <w:r>
        <w:rPr>
          <w:noProof/>
        </w:rPr>
        <w:t>Άρθρο 21</w:t>
      </w:r>
    </w:p>
    <w:p>
      <w:pPr>
        <w:pStyle w:val="Titrearticle"/>
        <w:rPr>
          <w:noProof/>
        </w:rPr>
      </w:pPr>
      <w:r>
        <w:rPr>
          <w:noProof/>
        </w:rPr>
        <w:t>Άσκηση της εξουσιοδότησης</w:t>
      </w:r>
    </w:p>
    <w:p>
      <w:pPr>
        <w:pStyle w:val="ManualNumPar1"/>
        <w:rPr>
          <w:noProof/>
        </w:rPr>
      </w:pPr>
      <w:r>
        <w:t>1.</w:t>
      </w:r>
      <w:r>
        <w:tab/>
      </w:r>
      <w:r>
        <w:rPr>
          <w:noProof/>
        </w:rPr>
        <w:t xml:space="preserve">Η εξουσία έκδοσης κατ’ εξουσιοδότηση πράξεων ανατίθεται στην Επιτροπή υπό τις προϋποθέσεις που καθορίζονται στο παρόν άρθρο. </w:t>
      </w:r>
    </w:p>
    <w:p>
      <w:pPr>
        <w:pStyle w:val="ManualNumPar1"/>
        <w:rPr>
          <w:noProof/>
        </w:rPr>
      </w:pPr>
      <w:r>
        <w:t>2.</w:t>
      </w:r>
      <w:r>
        <w:tab/>
      </w:r>
      <w:r>
        <w:rPr>
          <w:noProof/>
        </w:rPr>
        <w:t>Η αρμοδιότητα έκδοσης των κατ’ εξουσιοδότηση πράξεων που αναφέρονται στα άρθρα 5, 6, 9 και 12 ανατίθεται στην Επιτροπή επ’ αόριστον.</w:t>
      </w:r>
    </w:p>
    <w:p>
      <w:pPr>
        <w:pStyle w:val="ManualNumPar1"/>
        <w:rPr>
          <w:noProof/>
        </w:rPr>
      </w:pPr>
      <w:r>
        <w:t>3.</w:t>
      </w:r>
      <w:r>
        <w:tab/>
      </w:r>
      <w:r>
        <w:rPr>
          <w:noProof/>
        </w:rPr>
        <w:t>Η εξουσιοδότηση που αναφέρεται στα άρθρα 5, 6, 9 και 12 μπορεί ανά πάσα στιγμή να ανακληθεί από το Ευρωπαϊκό Κοινοβούλιο ή το Συμβούλιο. Η απόφαση ανάκλησης περατώνει την εξουσιοδότηση που προσδιορίζεται στην εν λόγω απόφαση. Αρχίζει να παράγει αποτελέσματα την επόμενη ημέρα από τη δημοσίευση της απόφασης στην Επίσημη Εφημερίδα της Ευρωπαϊκής Ένωσης ή σε μεταγενέστερη ημερομηνία που ορίζεται σε αυτήν. Δεν θίγει το κύρος των κατ’ εξουσιοδότηση πράξεων που βρίσκονται ήδη σε ισχύ.</w:t>
      </w:r>
    </w:p>
    <w:p>
      <w:pPr>
        <w:pStyle w:val="ManualNumPar1"/>
        <w:rPr>
          <w:noProof/>
        </w:rPr>
      </w:pPr>
      <w:r>
        <w:t>4.</w:t>
      </w:r>
      <w:r>
        <w:tab/>
      </w:r>
      <w:r>
        <w:rPr>
          <w:noProof/>
        </w:rPr>
        <w:t>Πριν από την έκδοση μιας κατ’ εξουσιοδότηση πράξης, η Επιτροπή διεξάγει διαβουλεύσεις με εμπειρογνώμονες που ορίζουν τα κράτη μέλη σύμφωνα με τις αρχές που καθορίζονται στη διοργανική συμφωνία για τη βελτίωση της νομοθεσίας της 13ης Απριλίου 2016.</w:t>
      </w:r>
    </w:p>
    <w:p>
      <w:pPr>
        <w:pStyle w:val="ManualNumPar1"/>
        <w:rPr>
          <w:noProof/>
        </w:rPr>
      </w:pPr>
      <w:r>
        <w:t>5.</w:t>
      </w:r>
      <w:r>
        <w:tab/>
      </w:r>
      <w:r>
        <w:rPr>
          <w:noProof/>
        </w:rPr>
        <w:t>Μόλις εκδώσει κατ’ εξουσιοδότηση πράξη, η Επιτροπή την κοινοποιεί ταυτοχρόνως στο Ευρωπαϊκό Κοινοβούλιο και το Συμβούλιο.</w:t>
      </w:r>
    </w:p>
    <w:p>
      <w:pPr>
        <w:pStyle w:val="ManualNumPar1"/>
        <w:rPr>
          <w:noProof/>
        </w:rPr>
      </w:pPr>
      <w:r>
        <w:t>6.</w:t>
      </w:r>
      <w:r>
        <w:tab/>
      </w:r>
      <w:r>
        <w:rPr>
          <w:noProof/>
        </w:rPr>
        <w:t>Η κατ’ εξουσιοδότηση πράξη που εκδίδεται δυνάμει των άρθρων 5 6, 9 και 12 τίθεται σε ισχύ μόνο εφόσον δεν έχει διατυπωθεί αντίρρηση από το Ευρωπαϊκό Κοινοβούλιο ή το Συμβούλιο εντός δύο μηνών από την κοινοποίηση της εν λόγω πράξης στο Ευρωπαϊκό Κοινοβούλιο και στο Συμβούλιο ή εάν, πριν λήξει αυτή η περίοδος, το Ευρωπαϊκό Κοινοβούλιο και το Συμβούλιο ενημερώσουν αμφότερα την Επιτροπή ότι δεν θα προβάλουν αντιρρήσεις. Η περίοδος αυτή παρατείνεται κατά δύο μήνες με πρωτοβουλία του Ευρωπαϊκού Κοινοβουλίου ή του Συμβουλίου.</w:t>
      </w:r>
    </w:p>
    <w:p>
      <w:pPr>
        <w:pStyle w:val="Titrearticle"/>
        <w:rPr>
          <w:noProof/>
        </w:rPr>
      </w:pPr>
      <w:r>
        <w:rPr>
          <w:noProof/>
        </w:rPr>
        <w:t>Άρθρο 22</w:t>
      </w:r>
    </w:p>
    <w:p>
      <w:pPr>
        <w:pStyle w:val="Titrearticle"/>
        <w:rPr>
          <w:noProof/>
        </w:rPr>
      </w:pPr>
      <w:r>
        <w:rPr>
          <w:noProof/>
        </w:rPr>
        <w:t>Επιτροπή</w:t>
      </w:r>
    </w:p>
    <w:p>
      <w:pPr>
        <w:pStyle w:val="ManualNumPar1"/>
        <w:rPr>
          <w:noProof/>
        </w:rPr>
      </w:pPr>
      <w:r>
        <w:t>1.</w:t>
      </w:r>
      <w:r>
        <w:tab/>
      </w:r>
      <w:r>
        <w:rPr>
          <w:noProof/>
        </w:rPr>
        <w:t>Η Επιτροπή επικουρείται από την επιτροπή Ευρωπαϊκού Στατιστικού Συστήματος που θεσπίστηκε με τον κανονισμό (ΕΚ) αριθ. 223/2009. Η εν λόγω επιτροπή αποτελεί επιτροπή κατά την έννοια του κανονισμού (ΕΕ) αριθ. 182/2011.</w:t>
      </w:r>
    </w:p>
    <w:p>
      <w:pPr>
        <w:pStyle w:val="ManualNumPar1"/>
        <w:rPr>
          <w:noProof/>
        </w:rPr>
      </w:pPr>
      <w:r>
        <w:t>2.</w:t>
      </w:r>
      <w:r>
        <w:tab/>
      </w:r>
      <w:r>
        <w:rPr>
          <w:noProof/>
        </w:rPr>
        <w:t>Όπου γίνεται αναφορά στην παρούσα παράγραφο, εφαρμόζεται το άρθρο 5 του κανονισμού (ΕΕ) αριθ. 182/2011.</w:t>
      </w:r>
    </w:p>
    <w:p>
      <w:pPr>
        <w:pStyle w:val="Titrearticle"/>
        <w:rPr>
          <w:noProof/>
        </w:rPr>
      </w:pPr>
      <w:r>
        <w:rPr>
          <w:noProof/>
        </w:rPr>
        <w:t>Άρθρο 23</w:t>
      </w:r>
    </w:p>
    <w:p>
      <w:pPr>
        <w:pStyle w:val="Titrearticle"/>
        <w:rPr>
          <w:noProof/>
        </w:rPr>
      </w:pPr>
      <w:r>
        <w:rPr>
          <w:noProof/>
        </w:rPr>
        <w:t>Συνεργασία με άλλες επιτροπές</w:t>
      </w:r>
    </w:p>
    <w:p>
      <w:pPr>
        <w:spacing w:after="200" w:line="276" w:lineRule="auto"/>
        <w:rPr>
          <w:noProof/>
        </w:rPr>
      </w:pPr>
      <w:r>
        <w:rPr>
          <w:noProof/>
        </w:rPr>
        <w:t>Για όλα τα θέματα που εμπίπτουν στην αρμοδιότητα της επιτροπής στατιστικών για θέματα νομισματικά, χρηματοπιστωτικά και ισοζυγίου πληρωμών που θεσπίσθηκε με την απόφαση 2006/856/ΕΚ, η Επιτροπή ζητεί τη γνώμη της εν λόγω επιτροπής σύμφωνα την απόφαση αυτή.</w:t>
      </w:r>
    </w:p>
    <w:p>
      <w:pPr>
        <w:pStyle w:val="Titrearticle"/>
        <w:rPr>
          <w:noProof/>
        </w:rPr>
      </w:pPr>
      <w:r>
        <w:rPr>
          <w:noProof/>
        </w:rPr>
        <w:t>Άρθρο 24</w:t>
      </w:r>
    </w:p>
    <w:p>
      <w:pPr>
        <w:pStyle w:val="Titrearticle"/>
        <w:rPr>
          <w:noProof/>
        </w:rPr>
      </w:pPr>
      <w:r>
        <w:rPr>
          <w:noProof/>
        </w:rPr>
        <w:t>Παρεκκλίσεις</w:t>
      </w:r>
    </w:p>
    <w:p>
      <w:pPr>
        <w:pStyle w:val="ManualNumPar1"/>
        <w:rPr>
          <w:noProof/>
        </w:rPr>
      </w:pPr>
      <w:r>
        <w:t>1.</w:t>
      </w:r>
      <w:r>
        <w:tab/>
      </w:r>
      <w:r>
        <w:rPr>
          <w:noProof/>
        </w:rPr>
        <w:t>Σε περίπτωση που η εφαρμογή του παρόντος κανονισμού στο εθνικό στατιστικό σύστημα κράτους μέλους απαιτεί μείζονες προσαρμογές, η Επιτροπή μπορεί να εγκρίνει, μέσω εκτελεστικών πράξεων, παρεκκλίσεις από την εφαρμογή του για περίοδο μέγιστης διάρκειας τριών ετών, με την προϋπόθεση ότι οι εν λόγω παρεκκλίσεις δεν εμποδίζουν ούτε τη δυνατότητα σύγκρισης των στοιχείων που παρέχουν τα κράτη μέλη ούτε τον υπολογισμό των απαιτούμενων έγκαιρων και αντιπροσωπευτικών ευρωπαϊκών συγκεντρωτικών στοιχείων.</w:t>
      </w:r>
    </w:p>
    <w:p>
      <w:pPr>
        <w:pStyle w:val="ManualNumPar1"/>
        <w:rPr>
          <w:noProof/>
        </w:rPr>
      </w:pPr>
      <w:r>
        <w:t>2.</w:t>
      </w:r>
      <w:r>
        <w:tab/>
      </w:r>
      <w:r>
        <w:rPr>
          <w:noProof/>
        </w:rPr>
        <w:t>Η Επιτροπή εγκρίνει τις εν λόγω εκτελεστικές πράξεις σύμφωνα με τη διαδικασία εξέτασης που αναφέρεται στο άρθρο 22 παράγραφος 2.</w:t>
      </w:r>
    </w:p>
    <w:p>
      <w:pPr>
        <w:pStyle w:val="Titrearticle"/>
        <w:rPr>
          <w:noProof/>
        </w:rPr>
      </w:pPr>
      <w:r>
        <w:rPr>
          <w:noProof/>
        </w:rPr>
        <w:t xml:space="preserve">Άρθρο 25 </w:t>
      </w:r>
    </w:p>
    <w:p>
      <w:pPr>
        <w:pStyle w:val="Titrearticle"/>
        <w:rPr>
          <w:noProof/>
        </w:rPr>
      </w:pPr>
      <w:r>
        <w:rPr>
          <w:noProof/>
        </w:rPr>
        <w:t>Τροποποίηση του κανονισμού (ΕΕ) αριθ. 184/2005</w:t>
      </w:r>
    </w:p>
    <w:p>
      <w:pPr>
        <w:rPr>
          <w:noProof/>
        </w:rPr>
      </w:pPr>
      <w:r>
        <w:rPr>
          <w:noProof/>
        </w:rPr>
        <w:t>Ο κανονισμός (ΕΚ) αριθ. 184/2005 τροποποιείται ως εξής:</w:t>
      </w:r>
    </w:p>
    <w:p>
      <w:pPr>
        <w:pStyle w:val="Point0letter"/>
        <w:numPr>
          <w:ilvl w:val="1"/>
          <w:numId w:val="58"/>
        </w:numPr>
        <w:rPr>
          <w:noProof/>
        </w:rPr>
      </w:pPr>
      <w:r>
        <w:rPr>
          <w:noProof/>
        </w:rPr>
        <w:t xml:space="preserve">Το άρθρο 1 αντικαθίσταται ως ακολούθως: </w:t>
      </w:r>
    </w:p>
    <w:p>
      <w:pPr>
        <w:pStyle w:val="title-article-norm2"/>
        <w:rPr>
          <w:rFonts w:eastAsia="Arial Unicode MS"/>
          <w:noProof/>
          <w:color w:val="444444"/>
        </w:rPr>
      </w:pPr>
      <w:r>
        <w:rPr>
          <w:noProof/>
        </w:rPr>
        <w:t>«</w:t>
      </w:r>
      <w:r>
        <w:rPr>
          <w:noProof/>
          <w:color w:val="444444"/>
        </w:rPr>
        <w:t>Άρθρο 1</w:t>
      </w:r>
    </w:p>
    <w:p>
      <w:pPr>
        <w:pStyle w:val="stitle-article-norm2"/>
        <w:rPr>
          <w:rFonts w:eastAsia="Arial Unicode MS"/>
          <w:noProof/>
          <w:color w:val="444444"/>
        </w:rPr>
      </w:pPr>
      <w:r>
        <w:rPr>
          <w:noProof/>
          <w:color w:val="444444"/>
        </w:rPr>
        <w:t>Αντικείμενο</w:t>
      </w:r>
    </w:p>
    <w:p>
      <w:pPr>
        <w:pStyle w:val="stitle-article-norm2"/>
        <w:jc w:val="left"/>
        <w:rPr>
          <w:rFonts w:eastAsia="Arial Unicode MS"/>
          <w:noProof/>
          <w:color w:val="444444"/>
        </w:rPr>
      </w:pPr>
      <w:r>
        <w:rPr>
          <w:b w:val="0"/>
          <w:noProof/>
          <w:color w:val="444444"/>
        </w:rPr>
        <w:t>Ο παρών κανονισμός θεσπίζει κοινό πλαίσιο για τη συστηματική παραγωγή κοινοτικών στατιστικών σχετικά με το ισοζύγιο πληρωμών και τις άμεσες ξένες επενδύσεις.</w:t>
      </w:r>
      <w:r>
        <w:rPr>
          <w:b w:val="0"/>
          <w:noProof/>
        </w:rPr>
        <w:t>»·</w:t>
      </w:r>
    </w:p>
    <w:p>
      <w:pPr>
        <w:pStyle w:val="norm3"/>
        <w:rPr>
          <w:noProof/>
        </w:rPr>
      </w:pPr>
    </w:p>
    <w:p>
      <w:pPr>
        <w:pStyle w:val="Point0letter"/>
        <w:numPr>
          <w:ilvl w:val="1"/>
          <w:numId w:val="24"/>
        </w:numPr>
        <w:rPr>
          <w:noProof/>
        </w:rPr>
      </w:pPr>
      <w:r>
        <w:rPr>
          <w:noProof/>
        </w:rPr>
        <w:t xml:space="preserve">Στο άρθρο 2, η παράγραφος 1 αντικαθίσταται από το ακόλουθο κείμενο: </w:t>
      </w:r>
    </w:p>
    <w:p>
      <w:pPr>
        <w:pStyle w:val="Point1"/>
        <w:rPr>
          <w:noProof/>
        </w:rPr>
      </w:pPr>
      <w:r>
        <w:rPr>
          <w:noProof/>
        </w:rPr>
        <w:t>«1. Τα κράτη μέλη υποβάλλουν στην Επιτροπή (Eurostat) στοιχεία για το ισοζύγιο πληρωμών και τις άμεσες ξένες επενδύσεις, όπως αναφέρεται στο παράρτημα I. Τα στοιχεία αυτά καθορίζονται στο παράρτημα II.»·</w:t>
      </w:r>
    </w:p>
    <w:p>
      <w:pPr>
        <w:pStyle w:val="Point0letter"/>
        <w:rPr>
          <w:noProof/>
        </w:rPr>
      </w:pPr>
      <w:r>
        <w:rPr>
          <w:noProof/>
        </w:rPr>
        <w:t>Στο άρθρο 5 παράγραφος 1, το στοιχείο γ) διαγράφεται.</w:t>
      </w:r>
    </w:p>
    <w:p>
      <w:pPr>
        <w:pStyle w:val="Point0letter"/>
        <w:rPr>
          <w:noProof/>
        </w:rPr>
      </w:pPr>
      <w:r>
        <w:rPr>
          <w:noProof/>
        </w:rPr>
        <w:t xml:space="preserve">στο άρθρο 12 το στοιχείο α) αντικαθίσταται από το ακόλουθο κείμενο: </w:t>
      </w:r>
    </w:p>
    <w:p>
      <w:pPr>
        <w:pStyle w:val="Point1"/>
        <w:rPr>
          <w:noProof/>
        </w:rPr>
      </w:pPr>
      <w:r>
        <w:rPr>
          <w:noProof/>
        </w:rPr>
        <w:t>«α) αξιολογεί την ποιότητα των στοιχείων για το ισοζύγιο πληρωμών και τις ΑΞΕ·»·</w:t>
      </w:r>
    </w:p>
    <w:p>
      <w:pPr>
        <w:pStyle w:val="Point0letter"/>
        <w:rPr>
          <w:noProof/>
        </w:rPr>
      </w:pPr>
      <w:r>
        <w:rPr>
          <w:noProof/>
        </w:rPr>
        <w:t xml:space="preserve">στο παράρτημα I, ο πίνακας 3 (διεθνές εμπόριο υπηρεσιών) τροποποιείται σύμφωνα με το παράρτημα IV του παρόντος κανονισμού. </w:t>
      </w:r>
    </w:p>
    <w:p>
      <w:pPr>
        <w:pStyle w:val="Titrearticle"/>
        <w:rPr>
          <w:noProof/>
        </w:rPr>
      </w:pPr>
      <w:r>
        <w:rPr>
          <w:noProof/>
        </w:rPr>
        <w:t>Άρθρο 26</w:t>
      </w:r>
    </w:p>
    <w:p>
      <w:pPr>
        <w:pStyle w:val="Titrearticle"/>
        <w:rPr>
          <w:noProof/>
        </w:rPr>
      </w:pPr>
      <w:r>
        <w:rPr>
          <w:noProof/>
        </w:rPr>
        <w:t>Καταργούμενες διατάξεις</w:t>
      </w:r>
    </w:p>
    <w:p>
      <w:pPr>
        <w:pStyle w:val="ManualNumPar1"/>
        <w:rPr>
          <w:noProof/>
        </w:rPr>
      </w:pPr>
      <w:r>
        <w:t>1.</w:t>
      </w:r>
      <w:r>
        <w:tab/>
      </w:r>
      <w:r>
        <w:rPr>
          <w:noProof/>
        </w:rPr>
        <w:t xml:space="preserve">Οι κανονισμοί (ΕΟΚ) αριθ. 3924/91, (ΕΚ) αριθ. 48/2004, (ΕΚ) αριθ. 716/2007, (ΕΚ) αριθ. 177/2008 και (ΕΚ) αριθ. 295/2008 και η απόφαση (ΕΚ) αριθ. 1608/2003 καταργούνται από την 1η Ιανουαρίου 2019. </w:t>
      </w:r>
    </w:p>
    <w:p>
      <w:pPr>
        <w:pStyle w:val="ManualNumPar1"/>
        <w:rPr>
          <w:noProof/>
        </w:rPr>
      </w:pPr>
      <w:r>
        <w:t>2.</w:t>
      </w:r>
      <w:r>
        <w:tab/>
      </w:r>
      <w:r>
        <w:rPr>
          <w:noProof/>
        </w:rPr>
        <w:t>Ο κανονισμός (ΕΚ) αριθ. 1165/1998 καταργείται από τις Δευτέρα, 1 Ιανουαρίου 2024.</w:t>
      </w:r>
    </w:p>
    <w:p>
      <w:pPr>
        <w:pStyle w:val="ManualNumPar1"/>
        <w:rPr>
          <w:noProof/>
        </w:rPr>
      </w:pPr>
      <w:r>
        <w:t>3.</w:t>
      </w:r>
      <w:r>
        <w:tab/>
      </w:r>
      <w:r>
        <w:rPr>
          <w:noProof/>
        </w:rPr>
        <w:t xml:space="preserve">Ο κανονισμός (ΕΚ) αριθ. 808/2004 καταργείται από τις Τετάρτη, 1 Ιανουαρίου 2020. </w:t>
      </w:r>
    </w:p>
    <w:p>
      <w:pPr>
        <w:pStyle w:val="ManualNumPar1"/>
        <w:rPr>
          <w:noProof/>
        </w:rPr>
      </w:pPr>
      <w:r>
        <w:t>4.</w:t>
      </w:r>
      <w:r>
        <w:tab/>
      </w:r>
      <w:r>
        <w:rPr>
          <w:noProof/>
        </w:rPr>
        <w:t>Οι κανονισμοί (ΕΚ) αριθ. 638/2004 και (ΕΚ) αριθ. 471/2009 καταργούνται από την 1η Ιανουαρίου 2020.</w:t>
      </w:r>
    </w:p>
    <w:p>
      <w:pPr>
        <w:pStyle w:val="ManualNumPar1"/>
        <w:rPr>
          <w:noProof/>
        </w:rPr>
      </w:pPr>
      <w:r>
        <w:t>5.</w:t>
      </w:r>
      <w:r>
        <w:tab/>
      </w:r>
      <w:r>
        <w:rPr>
          <w:noProof/>
        </w:rPr>
        <w:t>Οι παραπομπές στις καταργούμενες νομικές πράξεις νοούνται ως παραπομπές στον παρόντα κανονισμό.</w:t>
      </w:r>
    </w:p>
    <w:p>
      <w:pPr>
        <w:pStyle w:val="Titrearticle"/>
        <w:rPr>
          <w:noProof/>
        </w:rPr>
      </w:pPr>
      <w:r>
        <w:rPr>
          <w:noProof/>
        </w:rPr>
        <w:t>Άρθρο 27</w:t>
      </w:r>
    </w:p>
    <w:p>
      <w:pPr>
        <w:pStyle w:val="Titrearticle"/>
        <w:rPr>
          <w:noProof/>
        </w:rPr>
      </w:pPr>
      <w:r>
        <w:rPr>
          <w:noProof/>
        </w:rPr>
        <w:t>Έναρξη ισχύος και εφαρμογή</w:t>
      </w:r>
    </w:p>
    <w:p>
      <w:pPr>
        <w:pStyle w:val="ManualNumPar1"/>
        <w:rPr>
          <w:noProof/>
        </w:rPr>
      </w:pPr>
      <w:r>
        <w:t>1.</w:t>
      </w:r>
      <w:r>
        <w:tab/>
      </w: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ManualNumPar1"/>
        <w:rPr>
          <w:noProof/>
        </w:rPr>
      </w:pPr>
      <w:r>
        <w:t>2.</w:t>
      </w:r>
      <w:r>
        <w:tab/>
      </w:r>
      <w:r>
        <w:rPr>
          <w:noProof/>
        </w:rPr>
        <w:t>Εφαρμόζεται από τις Τρίτη, 1 Ιανουαρίου 2019.</w:t>
      </w:r>
    </w:p>
    <w:p>
      <w:pPr>
        <w:pStyle w:val="ManualNumPar1"/>
        <w:rPr>
          <w:noProof/>
        </w:rPr>
      </w:pPr>
      <w:r>
        <w:t>3.</w:t>
      </w:r>
      <w:r>
        <w:tab/>
      </w:r>
      <w:r>
        <w:rPr>
          <w:noProof/>
        </w:rPr>
        <w:t>Ωστόσο, τα άρθρα 11 έως 15 εφαρμόζονται από την 1η Ιανουαρίου 2020.</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 xml:space="preserve">Ο Πρόεδρος </w:t>
      </w:r>
      <w:r>
        <w:rPr>
          <w:noProof/>
        </w:rPr>
        <w:tab/>
        <w:t>Ο Πρόεδρος</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Σχετικός/-οί τομέας/-είς πολιτικής στη δομή ΔΒΔ/ΠΒΔ</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Στόχος/-οι </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1.6.</w:t>
      </w:r>
      <w:r>
        <w:rPr>
          <w:noProof/>
        </w:rPr>
        <w:tab/>
      </w:r>
      <w:r>
        <w:rPr>
          <w:b w:val="0"/>
          <w:noProof/>
        </w:rPr>
        <w:t xml:space="preserve">Διάρκεια και δημοσιονομικές επιπτώσεις </w:t>
      </w:r>
    </w:p>
    <w:p>
      <w:pPr>
        <w:pStyle w:val="ManualHeading2"/>
        <w:rPr>
          <w:b w:val="0"/>
          <w:noProof/>
        </w:rPr>
      </w:pPr>
      <w:r>
        <w:rPr>
          <w:noProof/>
        </w:rPr>
        <w:tab/>
      </w:r>
      <w:r>
        <w:rPr>
          <w:b w:val="0"/>
          <w:noProof/>
        </w:rPr>
        <w:t>1.7.</w:t>
      </w:r>
      <w:r>
        <w:rPr>
          <w:noProof/>
        </w:rPr>
        <w:tab/>
      </w:r>
      <w:r>
        <w:rPr>
          <w:b w:val="0"/>
          <w:noProof/>
        </w:rPr>
        <w:t xml:space="preserve">Προβλεπόμενος/-οι τρόπος/-οι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Κανόνες παρακολούθησης και αναφοράς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ΕΚΤΙΜΩΜΕΝΗ ΔΗΜΟΣΙΟΝΟΜΙΚΗ ΕΠΙΠΤΩΣΗ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Τομέας/-είς του πολυετούς δημοσιονομικού πλαισίου και γραμμή/-ές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επιχειρησιακές πιστώσεις </w:t>
      </w:r>
    </w:p>
    <w:p>
      <w:pPr>
        <w:pStyle w:val="ManualHeading3"/>
        <w:rPr>
          <w:noProof/>
        </w:rPr>
      </w:pPr>
      <w:r>
        <w:rPr>
          <w:noProof/>
        </w:rPr>
        <w:tab/>
        <w:t>3.2.3.</w:t>
      </w:r>
      <w:r>
        <w:rPr>
          <w:noProof/>
        </w:rPr>
        <w:tab/>
        <w:t>Εκτιμώμενες επιπτώσεις στις πιστώσεις διοικητικού χαρακτήρα</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μερών στη χρηματοδότηση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pPr>
        <w:jc w:val="center"/>
        <w:rPr>
          <w:noProof/>
        </w:rPr>
      </w:pPr>
      <w:r>
        <w:rPr>
          <w:b/>
          <w:noProof/>
          <w:u w:val="single"/>
        </w:rPr>
        <w:t>ΝΟΜΟΘΕΤΙΚΟ ΔΗΜΟΣΙΟΝΟΜΙΚΟ ΔΕΛΤΙΟ</w:t>
      </w:r>
    </w:p>
    <w:p>
      <w:pPr>
        <w:pStyle w:val="ManualHeading1"/>
        <w:rPr>
          <w:noProof/>
        </w:rPr>
      </w:pPr>
      <w:r>
        <w:t>1.</w:t>
      </w:r>
      <w:r>
        <w:tab/>
      </w:r>
      <w:r>
        <w:rPr>
          <w:noProof/>
        </w:rPr>
        <w:t xml:space="preserve">ΠΛΑΙΣΙΟ ΤΗΣ ΠΡΟΤΑΣΗΣ/ΠΡΩΤΟΒΟΥΛΙΑΣ </w:t>
      </w:r>
    </w:p>
    <w:p>
      <w:pPr>
        <w:pStyle w:val="ManualHeading2"/>
        <w:rPr>
          <w:noProof/>
        </w:rPr>
      </w:pPr>
      <w:r>
        <w:t>1.1.</w:t>
      </w:r>
      <w:r>
        <w:tab/>
      </w:r>
      <w:r>
        <w:rPr>
          <w:noProof/>
        </w:rPr>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ΚΑΝΟΝΙΣΜΟΣ ΤΟΥ ΕΥΡΩΠΑΪΚΟΥ ΚΟΙΝΟΒΟΥΛΙΟΥ ΚΑΙ ΤΟΥ ΣΥΜΒΟΥΛΙΟΥ σχετικά με τις ευρωπαϊκές στατιστικές για τις επιχειρήσεις</w:t>
      </w:r>
    </w:p>
    <w:p>
      <w:pPr>
        <w:pStyle w:val="ManualHeading2"/>
        <w:rPr>
          <w:noProof/>
          <w:szCs w:val="24"/>
        </w:rPr>
      </w:pPr>
      <w:r>
        <w:t>1.2.</w:t>
      </w:r>
      <w:r>
        <w:tab/>
      </w:r>
      <w:r>
        <w:rPr>
          <w:noProof/>
        </w:rPr>
        <w:t>Σχετικός/-οί τομέας/-είς πολιτικής στη δομή ΔΒΔ/ΠΒΔ</w:t>
      </w:r>
      <w:r>
        <w:rPr>
          <w:rStyle w:val="FootnoteReference"/>
          <w:noProof/>
        </w:rPr>
        <w:footnoteReference w:id="29"/>
      </w:r>
      <w:r>
        <w:rPr>
          <w:noProof/>
        </w:rPr>
        <w:t xml:space="preserve"> ΔΒΔ:</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2902 – Ευρωπαϊκό στατιστικό πρόγραμμα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0904 - Ορίζοντας 2020 </w:t>
      </w:r>
    </w:p>
    <w:p>
      <w:pPr>
        <w:pStyle w:val="ManualHeading2"/>
        <w:rPr>
          <w:bCs/>
          <w:noProof/>
          <w:szCs w:val="24"/>
        </w:rPr>
      </w:pPr>
      <w:r>
        <w:t>1.3.</w:t>
      </w:r>
      <w:r>
        <w:tab/>
      </w:r>
      <w:r>
        <w:rPr>
          <w:noProof/>
        </w:rPr>
        <w:t xml:space="preserve">Χαρακτήρας της πρότασης/πρωτοβουλίας </w:t>
      </w:r>
    </w:p>
    <w:p>
      <w:pPr>
        <w:pStyle w:val="Text1"/>
        <w:rPr>
          <w:b/>
          <w:noProof/>
          <w:sz w:val="22"/>
        </w:rPr>
      </w:pPr>
      <w:r>
        <w:rPr>
          <w:noProof/>
          <w:sz w:val="22"/>
        </w:rPr>
        <w:sym w:font="Wingdings" w:char="F0A8"/>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μετά από πιλοτικό έργο/προπαρασκευαστική δράση</w:t>
      </w:r>
      <w:r>
        <w:rPr>
          <w:rStyle w:val="FootnoteReference"/>
          <w:b/>
          <w:noProof/>
        </w:rPr>
        <w:footnoteReference w:id="30"/>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sz w:val="22"/>
        </w:rPr>
        <w:sym w:font="Wingdings" w:char="F0FD"/>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pPr>
        <w:pStyle w:val="ManualHeading2"/>
        <w:rPr>
          <w:bCs/>
          <w:noProof/>
          <w:szCs w:val="24"/>
        </w:rPr>
      </w:pPr>
      <w:r>
        <w:t>1.4.</w:t>
      </w:r>
      <w:r>
        <w:tab/>
      </w:r>
      <w:r>
        <w:rPr>
          <w:noProof/>
        </w:rPr>
        <w:t>Στόχος/-οι</w:t>
      </w:r>
    </w:p>
    <w:p>
      <w:pPr>
        <w:pStyle w:val="ManualHeading3"/>
        <w:rPr>
          <w:noProof/>
        </w:rPr>
      </w:pPr>
      <w:r>
        <w:t>1.4.1.</w:t>
      </w:r>
      <w:r>
        <w:tab/>
      </w:r>
      <w:r>
        <w:rPr>
          <w:noProof/>
        </w:rPr>
        <w:t xml:space="preserve">Ο/Οι πολυετής/-είς στρατηγικός/-οί στόχος/-οι της Επιτροπής τον/τους οποίο/-ους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rPr>
        <w:t>Η παρακολούθηση των στόχων που έχουν θέσει η Επιτροπή Juncker - 10 προτεραιότητες σε επίπεδο κρατών μελών και σε επίπεδο Ένωσης - απαιτεί εναρμονισμένα και συγκρίσιμα ευρωπαϊκά στατιστικά στοιχεία. Η ολοκληρωμένη προσέγγιση του FRIBS έχει ως στόχο την παροχή υψηλής ποιότητας στατιστικών για τις επιχειρήσεις για την παρακολούθηση των στόχων πολιτικής που ορίζονται από τις εν λόγω προτεραιότητες, ιδίως στις «θέσεις απασχόλησης, ανάπτυξη και επενδύσεις», «ψηφιακή ενιαία αγορά», «εσωτερική αγορά» και «συμφωνία ελεύθερων συναλλαγών ΕΕ-ΗΠΑ». Οι στατιστικές πληροφορίες θα πρέπει να παράγονται όσο το δυνατόν πιο αποτελεσματικά, χρησιμοποιώντας σύγχρονες μεθόδους συλλογής και παραγωγής στατιστικών στοιχείων.</w:t>
      </w:r>
    </w:p>
    <w:p>
      <w:pPr>
        <w:pStyle w:val="ManualHeading3"/>
        <w:rPr>
          <w:bCs/>
          <w:noProof/>
          <w:szCs w:val="24"/>
        </w:rPr>
      </w:pPr>
      <w:r>
        <w:t>1.4.2.</w:t>
      </w:r>
      <w:r>
        <w:tab/>
      </w:r>
      <w:r>
        <w:rPr>
          <w:noProof/>
        </w:rPr>
        <w:t xml:space="preserve">Ειδικός/-οί στόχος-οι και δραστηριότητα/-ες ΔΒΔ/ΠΒΔ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 αριθ. 1</w:t>
      </w:r>
    </w:p>
    <w:p>
      <w:pPr>
        <w:pStyle w:val="Text1"/>
        <w:pBdr>
          <w:top w:val="single" w:sz="4" w:space="1" w:color="auto"/>
          <w:left w:val="single" w:sz="4" w:space="4" w:color="auto"/>
          <w:bottom w:val="single" w:sz="4" w:space="1" w:color="auto"/>
          <w:right w:val="single" w:sz="4" w:space="4" w:color="auto"/>
        </w:pBdr>
        <w:rPr>
          <w:noProof/>
        </w:rPr>
      </w:pPr>
      <w:r>
        <w:rPr>
          <w:noProof/>
        </w:rPr>
        <w:t>Πρόγραμμα εργασίας της Επιτροπής για το 2016 - πρωτοβουλία REFIT αριθ. 26 – Δέσμη μέτρων για τις στατιστικές</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Σχετική/-ές δραστηριότητα/-ες ΔΒΔ/ΠΒΔ</w:t>
      </w:r>
    </w:p>
    <w:p>
      <w:pPr>
        <w:pStyle w:val="Text1"/>
        <w:pBdr>
          <w:top w:val="single" w:sz="4" w:space="1" w:color="auto"/>
          <w:left w:val="single" w:sz="4" w:space="4" w:color="auto"/>
          <w:bottom w:val="single" w:sz="4" w:space="1" w:color="auto"/>
          <w:right w:val="single" w:sz="4" w:space="4" w:color="auto"/>
        </w:pBdr>
        <w:rPr>
          <w:noProof/>
        </w:rPr>
      </w:pPr>
      <w:r>
        <w:rPr>
          <w:noProof/>
        </w:rPr>
        <w:t>2902 – Ευρωπαϊκό στατιστικό πρόγραμμα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0904 - Ορίζοντας 2020 </w:t>
      </w:r>
    </w:p>
    <w:p>
      <w:pPr>
        <w:pStyle w:val="Text1"/>
        <w:pBdr>
          <w:top w:val="single" w:sz="4" w:space="1" w:color="auto"/>
          <w:left w:val="single" w:sz="4" w:space="4" w:color="auto"/>
          <w:bottom w:val="single" w:sz="4" w:space="1" w:color="auto"/>
          <w:right w:val="single" w:sz="4" w:space="4" w:color="auto"/>
        </w:pBdr>
        <w:rPr>
          <w:noProof/>
          <w:szCs w:val="24"/>
        </w:rPr>
      </w:pPr>
      <w:r>
        <w:rPr>
          <w:noProof/>
        </w:rPr>
        <w:br w:type="page"/>
        <w:t>Αναμενόμενο/-α αποτέλεσμα/-τα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τους/τις στοχοθετημένους/-ες δικαιούχους/ομάδες.</w:t>
      </w:r>
    </w:p>
    <w:p>
      <w:pPr>
        <w:pStyle w:val="Text1"/>
        <w:pBdr>
          <w:top w:val="single" w:sz="4" w:space="1" w:color="auto"/>
          <w:left w:val="single" w:sz="4" w:space="4" w:color="auto"/>
          <w:bottom w:val="single" w:sz="4" w:space="1" w:color="auto"/>
          <w:right w:val="single" w:sz="4" w:space="4" w:color="auto"/>
        </w:pBdr>
        <w:rPr>
          <w:noProof/>
        </w:rPr>
      </w:pPr>
      <w:r>
        <w:rPr>
          <w:noProof/>
        </w:rPr>
        <w:t>Η πρωτοβουλία θα πρέπει να βελτιώσει την ευελιξία και τη δυνατότητα ανταπόκρισης των ευρωπαϊκών στατιστικών για τις επιχειρήσεις στις μεταβαλλόμενες ανάγκες των χρηστών και να αυξήσει τη συνοχή και την ποιότητά τους. Η πρωτοβουλία αυτή υποστηρίζει τις βασικές προτεραιότητες της Επιτροπής με την παροχή πιο συνεκτικών και συναφών στοιχείων προς παρακολούθηση, π.χ. την ανάπτυξη, τη δημιουργία θέσεων εργασίας, την ανταγωνιστικότητα, την έρευνα και καινοτομία, την ψηφιακή ενιαία αγορά, τον αντίκτυπο της παγκοσμιοποίησης και τη λειτουργία της εσωτερικής αγοράς. Θα πρέπει, επίσης, να διευκολύνει την πιο αποδοτική οικονομικά και σύγχρονη παραγωγή στοιχείων και να παρέχει τα μέσα για μια σημαντική μείωση της διοικητικής επιβάρυνσης για τους παρόχους των στοιχείων (επιχειρήσεις).</w:t>
      </w:r>
    </w:p>
    <w:p>
      <w:pPr>
        <w:pStyle w:val="Text1"/>
        <w:pBdr>
          <w:top w:val="single" w:sz="4" w:space="1" w:color="auto"/>
          <w:left w:val="single" w:sz="4" w:space="4" w:color="auto"/>
          <w:bottom w:val="single" w:sz="4" w:space="1" w:color="auto"/>
          <w:right w:val="single" w:sz="4" w:space="4" w:color="auto"/>
        </w:pBdr>
        <w:rPr>
          <w:noProof/>
        </w:rPr>
      </w:pPr>
      <w:r>
        <w:rPr>
          <w:noProof/>
        </w:rPr>
        <w:t>Όσον αφορά την αποδοτικότητα, η πρόταση δημιουργεί αρχικά αυξημένο κόστος εφαρμογής για τους φορείς συγκέντρωσης στοιχείων, λόγω των αναθεωρήσεων στις διαδικασίες παραγωγής στοιχείων και λόγω των νέων απαιτήσεων στοιχείων. Το εν λόγω επιπλέον βραχυπρόθεσμο κόστος εφαρμογής πρέπει, ωστόσο, να αντισταθμιστεί από τα κέρδη αποδοτικότητας σε επίπεδο συστήματος σε πιο μακροπρόθεσμη βάση.</w:t>
      </w:r>
    </w:p>
    <w:p>
      <w:pPr>
        <w:pStyle w:val="ManualHeading3"/>
        <w:rPr>
          <w:bCs/>
          <w:noProof/>
          <w:szCs w:val="24"/>
        </w:rPr>
      </w:pPr>
      <w:r>
        <w:t>1.4.3.</w:t>
      </w:r>
      <w:r>
        <w:tab/>
      </w:r>
      <w:r>
        <w:rPr>
          <w:noProof/>
        </w:rPr>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Για καθέναν από τους επιχειρησιακούς στόχους που προσδιορίζονται στην έκθεση εκτίμησης επιπτώσεων, ένας βασικός δείκτης απόδοσης επιτρέπει την τακτική παρακολούθηση της εφαρμογής της παρούσας πρότασης. </w:t>
      </w:r>
    </w:p>
    <w:p>
      <w:pPr>
        <w:pStyle w:val="Text1"/>
        <w:pBdr>
          <w:top w:val="single" w:sz="4" w:space="1" w:color="auto"/>
          <w:left w:val="single" w:sz="4" w:space="4" w:color="auto"/>
          <w:bottom w:val="single" w:sz="4" w:space="1" w:color="auto"/>
          <w:right w:val="single" w:sz="4" w:space="4" w:color="auto"/>
        </w:pBdr>
        <w:rPr>
          <w:noProof/>
        </w:rPr>
      </w:pPr>
      <w:r>
        <w:rPr>
          <w:noProof/>
        </w:rPr>
        <w:t>Η κύρια πηγή πληροφοριών για τον υπολογισμό των βασικών δεικτών επιδόσεων είναι τα εθνικά μεταδεδομένα και οι εκθέσεις ποιότητας, καθώς και η ετήσια έρευνα ικανοποίησης των χρηστών που πραγματοποιεί η Eurostat και οι εκθέσεις παρακολούθηση της ηλεκτρονικής διάδοσης της Eurostat.</w:t>
      </w:r>
    </w:p>
    <w:p>
      <w:pPr>
        <w:pStyle w:val="ManualHeading2"/>
        <w:rPr>
          <w:bCs/>
          <w:noProof/>
          <w:szCs w:val="24"/>
        </w:rPr>
      </w:pPr>
      <w:r>
        <w:t>1.5.</w:t>
      </w:r>
      <w:r>
        <w:tab/>
      </w:r>
      <w:r>
        <w:rPr>
          <w:noProof/>
        </w:rPr>
        <w:t xml:space="preserve">Αιτιολόγηση της πρότασης/πρωτοβουλίας </w:t>
      </w:r>
    </w:p>
    <w:p>
      <w:pPr>
        <w:pStyle w:val="ManualHeading3"/>
        <w:rPr>
          <w:noProof/>
        </w:rPr>
      </w:pPr>
      <w:r>
        <w:t>1.5.1.</w:t>
      </w:r>
      <w:r>
        <w:tab/>
      </w:r>
      <w:r>
        <w:rPr>
          <w:noProof/>
        </w:rPr>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Βραχυπρόθεσμα, οι ισχύοντες κανονισμοί στον τομέα των ευρωπαϊκών στατιστικών για τις επιχειρήσεις θα ολοκληρωθούν και θα ικανοποιηθούν οι μακροχρόνιες ανάγκες των χρηστών όσον αφορά την παροχή πρόσθετων πληροφοριών για τις επιχειρήσεις. Η επιβάρυνση των παρόχων στοιχείων θα μειωθεί.</w:t>
      </w:r>
    </w:p>
    <w:p>
      <w:pPr>
        <w:pStyle w:val="Text1"/>
        <w:pBdr>
          <w:top w:val="single" w:sz="4" w:space="1" w:color="auto"/>
          <w:left w:val="single" w:sz="4" w:space="4" w:color="auto"/>
          <w:bottom w:val="single" w:sz="4" w:space="1" w:color="auto"/>
          <w:right w:val="single" w:sz="4" w:space="4" w:color="auto"/>
        </w:pBdr>
        <w:rPr>
          <w:noProof/>
        </w:rPr>
      </w:pPr>
      <w:r>
        <w:rPr>
          <w:noProof/>
        </w:rPr>
        <w:t>Μακροπρόθεσμα, η πρωτοβουλία θα πρέπει να οδηγήσει σε βελτίωση της απόδοσης της συλλογής στοιχείων και κατάρτισης στατιστικών για τις επιχειρήσεις με αποτέλεσμα τη μείωση του κόστους για τη συλλογή στοιχείων. Επιπλέον, θα αυξηθεί η συνάφεια των στοιχείων με πιο έγκαιρη ανταπόκριση στις αναδυόμενες ανάγκες των χρηστών.</w:t>
      </w:r>
    </w:p>
    <w:p>
      <w:pPr>
        <w:pStyle w:val="ManualHeading3"/>
        <w:rPr>
          <w:bCs/>
          <w:noProof/>
          <w:szCs w:val="24"/>
        </w:rPr>
      </w:pPr>
      <w:r>
        <w:t>1.5.2.</w:t>
      </w:r>
      <w:r>
        <w:tab/>
      </w:r>
      <w:r>
        <w:rPr>
          <w:noProof/>
        </w:rPr>
        <w:t>Προστιθέμενη αξία παρέμβασης της ΕΕ</w:t>
      </w:r>
    </w:p>
    <w:p>
      <w:pPr>
        <w:pStyle w:val="Text1"/>
        <w:pBdr>
          <w:top w:val="single" w:sz="4" w:space="1" w:color="auto"/>
          <w:left w:val="single" w:sz="4" w:space="4" w:color="auto"/>
          <w:bottom w:val="single" w:sz="4" w:space="1" w:color="auto"/>
          <w:right w:val="single" w:sz="4" w:space="4" w:color="auto"/>
        </w:pBdr>
        <w:rPr>
          <w:noProof/>
        </w:rPr>
      </w:pPr>
      <w:r>
        <w:rPr>
          <w:noProof/>
        </w:rPr>
        <w:t>Η παραγωγή στατιστικών, οι οποίες είναι εναρμονισμένες και συγκρίσιμες μεταξύ των κρατών μελών και παράγονται σύμφωνα με τις ανάγκες της ΕΕ, δεν μπορεί να επιτευχθεί μεμονωμένα σε εθνικό επίπεδο μόνο. Η παραγωγή στατιστικών στοιχείων της ΕΕ απαιτεί την εφαρμογή μιας εναρμονισμένης μεθοδολογίας και τον καθορισμό κοινών αποτελεσμάτων και χαρακτηριστικών που παρέχονται από τα επιμέρους κράτη μέλη, πράγμα που μπορεί να επιτευχθεί πλήρως μόνο μέσω ενωσιακής δράσης.</w:t>
      </w:r>
    </w:p>
    <w:p>
      <w:pPr>
        <w:pStyle w:val="ManualHeading3"/>
        <w:rPr>
          <w:bCs/>
          <w:noProof/>
          <w:szCs w:val="24"/>
        </w:rPr>
      </w:pPr>
      <w:r>
        <w:t>1.5.3.</w:t>
      </w:r>
      <w:r>
        <w:tab/>
      </w:r>
      <w:r>
        <w:rPr>
          <w:noProof/>
        </w:rPr>
        <w:t>Διδάγματα που αποκομίστηκαν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Προκειμένου να διασφαλιστεί η συνεπής παροχή εθνικών στοιχείων, ο κανονισμός είναι το καταλληλότερο είδος δράσης της ΕΕ. Η συνύπαρξη 10 διαφορετικών κανονισμών στον τομέα των στατιστικών για τις επιχειρήσεις οδήγησε σε ασυνέπειες στις έννοιες και τους ορισμούς που χρησιμοποιούνται.</w:t>
      </w:r>
    </w:p>
    <w:p>
      <w:pPr>
        <w:pStyle w:val="ManualHeading3"/>
        <w:rPr>
          <w:bCs/>
          <w:noProof/>
          <w:szCs w:val="24"/>
        </w:rPr>
      </w:pPr>
      <w:r>
        <w:t>1.5.4.</w:t>
      </w:r>
      <w:r>
        <w:tab/>
      </w:r>
      <w:r>
        <w:rPr>
          <w:noProof/>
        </w:rPr>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Όντας κανονισμός-πλαίσιο, όταν τεθεί σε ισχύ, θα εξορθολογήσει τις ισχύουσες δέκα νομικές βάσεις για τις ευρωπαϊκές στατιστικές για τις επιχειρήσεις. Ένα ευρωπαϊκό εγχειρίδιο για τις στατιστικές επιχειρήσεων θα παρέχει μεθοδολογική καθοδήγηση.</w:t>
      </w:r>
    </w:p>
    <w:p>
      <w:pPr>
        <w:pStyle w:val="ManualHeading2"/>
        <w:rPr>
          <w:bCs/>
          <w:noProof/>
          <w:szCs w:val="24"/>
        </w:rPr>
      </w:pPr>
      <w:r>
        <w:rPr>
          <w:noProof/>
        </w:rPr>
        <w:br w:type="page"/>
      </w:r>
      <w:r>
        <w:t>1.6.</w:t>
      </w:r>
      <w:r>
        <w:tab/>
      </w:r>
      <w:r>
        <w:rPr>
          <w:noProof/>
        </w:rPr>
        <w:t xml:space="preserve">Διάρκεια και δημοσιονομικές επιπτώσεις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Ισχύουσα πρόταση/πρωτοβουλία από την [ΗΗ/MM]ΕΕΕΕ μέχρι την [ΗΗ/MM]ΕΕΕΕ </w:t>
      </w:r>
    </w:p>
    <w:p>
      <w:pPr>
        <w:pStyle w:val="ListDash2"/>
        <w:rPr>
          <w:noProof/>
        </w:rPr>
      </w:pPr>
      <w:r>
        <w:rPr>
          <w:noProof/>
        </w:rPr>
        <w:sym w:font="Wingdings" w:char="F0A8"/>
      </w:r>
      <w:r>
        <w:rPr>
          <w:noProof/>
        </w:rPr>
        <w:tab/>
        <w:t xml:space="preserve">Δημοσιονομικές επιπτώσεις από το ΕΕΕΕ έως το ΕΕΕΕ </w:t>
      </w:r>
    </w:p>
    <w:p>
      <w:pPr>
        <w:pStyle w:val="Text1"/>
        <w:rPr>
          <w:noProof/>
        </w:rPr>
      </w:pPr>
      <w:r>
        <w:rPr>
          <w:noProof/>
        </w:rPr>
        <w:sym w:font="Wingdings" w:char="F0FD"/>
      </w:r>
      <w:r>
        <w:rPr>
          <w:b/>
          <w:i/>
          <w:noProof/>
        </w:rPr>
        <w:t xml:space="preserve"> </w:t>
      </w:r>
      <w:r>
        <w:rPr>
          <w:noProof/>
        </w:rPr>
        <w:t xml:space="preserve">Πρόταση/πρωτοβουλία </w:t>
      </w:r>
      <w:r>
        <w:rPr>
          <w:b/>
          <w:noProof/>
        </w:rPr>
        <w:t>απεριόριστης διάρκειας</w:t>
      </w:r>
    </w:p>
    <w:p>
      <w:pPr>
        <w:pStyle w:val="ListDash1"/>
        <w:rPr>
          <w:noProof/>
        </w:rPr>
      </w:pPr>
      <w:r>
        <w:rPr>
          <w:noProof/>
        </w:rPr>
        <w:t>Περίοδος σταδιακής εφαρμογής από το 2019 μέχρι το 2021,</w:t>
      </w:r>
    </w:p>
    <w:p>
      <w:pPr>
        <w:pStyle w:val="ListDash1"/>
        <w:rPr>
          <w:noProof/>
        </w:rPr>
      </w:pPr>
      <w:r>
        <w:rPr>
          <w:noProof/>
        </w:rPr>
        <w:t>και στη συνέχεια πλήρης εφαρμογή.</w:t>
      </w:r>
    </w:p>
    <w:p>
      <w:pPr>
        <w:pStyle w:val="ManualHeading2"/>
        <w:rPr>
          <w:bCs/>
          <w:noProof/>
          <w:szCs w:val="24"/>
        </w:rPr>
      </w:pPr>
      <w:r>
        <w:t>1.7.</w:t>
      </w:r>
      <w:r>
        <w:tab/>
      </w:r>
      <w:r>
        <w:rPr>
          <w:noProof/>
        </w:rPr>
        <w:t>Προβλεπόμενος/-οι τρόπος/-οι διαχείρισης</w:t>
      </w:r>
      <w:r>
        <w:rPr>
          <w:rStyle w:val="FootnoteReference"/>
          <w:noProof/>
        </w:rPr>
        <w:footnoteReference w:id="31"/>
      </w:r>
      <w:r>
        <w:rPr>
          <w:rStyle w:val="FootnoteReference"/>
          <w:noProof/>
        </w:rPr>
        <w:t xml:space="preserve"> </w:t>
      </w:r>
    </w:p>
    <w:p>
      <w:pPr>
        <w:pStyle w:val="Text1"/>
        <w:rPr>
          <w:noProof/>
        </w:rPr>
      </w:pPr>
      <w:r>
        <w:rPr>
          <w:noProof/>
        </w:rPr>
        <w:sym w:font="Wingdings" w:char="F0FD"/>
      </w:r>
      <w:r>
        <w:rPr>
          <w:i/>
          <w:noProof/>
        </w:rPr>
        <w:t xml:space="preserve"> </w:t>
      </w:r>
      <w:r>
        <w:rPr>
          <w:b/>
          <w:noProof/>
        </w:rPr>
        <w:t xml:space="preserve">Άμεση διαχείριση </w:t>
      </w:r>
      <w:r>
        <w:rPr>
          <w:noProof/>
        </w:rPr>
        <w:t xml:space="preserve"> από την Επιτροπή</w:t>
      </w:r>
    </w:p>
    <w:p>
      <w:pPr>
        <w:pStyle w:val="ListDash2"/>
        <w:rPr>
          <w:rFonts w:cs="EUAlbertina"/>
          <w:noProof/>
        </w:rPr>
      </w:pPr>
      <w:r>
        <w:rPr>
          <w:noProof/>
        </w:rPr>
        <w:sym w:font="Wingdings" w:char="F0FD"/>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 xml:space="preserve">Επιμερισμένη διαχείριση </w:t>
      </w:r>
      <w:r>
        <w:rPr>
          <w:noProof/>
        </w:rPr>
        <w:t xml:space="preserve"> με τα κράτη μέλη </w:t>
      </w:r>
    </w:p>
    <w:p>
      <w:pPr>
        <w:pStyle w:val="Text1"/>
        <w:rPr>
          <w:noProof/>
        </w:rPr>
      </w:pPr>
      <w:r>
        <w:rPr>
          <w:noProof/>
        </w:rPr>
        <w:sym w:font="Wingdings" w:char="F0A8"/>
      </w:r>
      <w:r>
        <w:rPr>
          <w:i/>
          <w:noProof/>
        </w:rPr>
        <w:t xml:space="preserve"> </w:t>
      </w:r>
      <w:r>
        <w:rPr>
          <w:b/>
          <w:noProof/>
        </w:rPr>
        <w:t xml:space="preserve">Έμμεση διαχείριση </w:t>
      </w:r>
      <w:r>
        <w:rPr>
          <w:noProof/>
        </w:rPr>
        <w:t xml:space="preserve"> με ανάθεση εκτελεστικών καθηκόντων σε:</w:t>
      </w:r>
    </w:p>
    <w:p>
      <w:pPr>
        <w:pStyle w:val="ListDash2"/>
        <w:rPr>
          <w:noProof/>
        </w:rPr>
      </w:pPr>
      <w:r>
        <w:rPr>
          <w:noProof/>
        </w:rPr>
        <w:sym w:font="Wingdings" w:char="F0A8"/>
      </w:r>
      <w:r>
        <w:rPr>
          <w:noProof/>
        </w:rPr>
        <w:t xml:space="preserve"> τρίτες χώρες ή οργανισμούς που αυτές έχουν ορίσει·</w:t>
      </w:r>
    </w:p>
    <w:p>
      <w:pPr>
        <w:pStyle w:val="ListDash2"/>
        <w:rPr>
          <w:noProof/>
        </w:rPr>
      </w:pPr>
      <w:r>
        <w:rPr>
          <w:noProof/>
        </w:rPr>
        <w:sym w:font="Wingdings" w:char="F0A8"/>
      </w:r>
      <w:r>
        <w:rPr>
          <w:noProof/>
        </w:rPr>
        <w:t xml:space="preserve"> διεθνείς οργανισμούς και τις οργανώσεις τους (να προσδιοριστούν)·</w:t>
      </w:r>
    </w:p>
    <w:p>
      <w:pPr>
        <w:pStyle w:val="ListDash2"/>
        <w:rPr>
          <w:noProof/>
        </w:rPr>
      </w:pPr>
      <w:r>
        <w:rPr>
          <w:noProof/>
        </w:rPr>
        <w:sym w:font="Wingdings" w:char="F0A8"/>
      </w:r>
      <w:r>
        <w:rPr>
          <w:noProof/>
        </w:rPr>
        <w:t xml:space="preserve"> την ΕΤΕπ και το Ευρωπαϊκό Ταμείο Επενδύσεων·</w:t>
      </w:r>
    </w:p>
    <w:p>
      <w:pPr>
        <w:pStyle w:val="ListDash2"/>
        <w:rPr>
          <w:noProof/>
        </w:rPr>
      </w:pPr>
      <w:r>
        <w:rPr>
          <w:noProof/>
        </w:rPr>
        <w:sym w:font="Wingdings" w:char="F0A8"/>
      </w:r>
      <w:r>
        <w:rPr>
          <w:noProof/>
        </w:rPr>
        <w:t xml:space="preserve"> 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οργανισμούς δημοσίου δικαίου·</w:t>
      </w:r>
    </w:p>
    <w:p>
      <w:pPr>
        <w:pStyle w:val="ListDash2"/>
        <w:rPr>
          <w:noProof/>
        </w:rPr>
      </w:pPr>
      <w:r>
        <w:rPr>
          <w:noProof/>
        </w:rPr>
        <w:sym w:font="Wingdings" w:char="F0A8"/>
      </w:r>
      <w:r>
        <w:rPr>
          <w:noProof/>
        </w:rPr>
        <w:t xml:space="preserve"> οργανισμούς που διέπονται από ιδιωτικό δίκαιο με αποστολή δημόσιας υπηρεσίας στον βαθμό που προσφέρουν επαρκείς οικονομικές εγγυήσεις·</w:t>
      </w:r>
    </w:p>
    <w:p>
      <w:pPr>
        <w:pStyle w:val="ListDash2"/>
        <w:rPr>
          <w:noProof/>
        </w:rPr>
      </w:pPr>
      <w:r>
        <w:rPr>
          <w:noProof/>
        </w:rPr>
        <w:sym w:font="Wingdings" w:char="F0A8"/>
      </w:r>
      <w:r>
        <w:rPr>
          <w:noProof/>
        </w:rPr>
        <w:t xml:space="preserve"> οργανισμούς που διέπονται από το ιδιωτικό δίκαιο κράτους μέλους, στους οποίους έχει ανατεθεί η εκτέλεση σύμπραξης δημόσιου και ιδιωτικού τομέα και που προσφέρουν επαρκείς οικονομικές εγγυήσεις·</w:t>
      </w:r>
    </w:p>
    <w:p>
      <w:pPr>
        <w:pStyle w:val="ListDash2"/>
        <w:rPr>
          <w:noProof/>
        </w:rPr>
      </w:pPr>
      <w:r>
        <w:rPr>
          <w:noProof/>
        </w:rPr>
        <w:sym w:font="Wingdings" w:char="F0A8"/>
      </w:r>
      <w:r>
        <w:rPr>
          <w:noProof/>
        </w:rPr>
        <w:t xml:space="preserve"> πρόσωπα επιφορτισμένα με την εκτέλεση συγκεκριμένων δράσεων στην ΚΕΠΠΑ δυνάμει του τίτλου V της ΣΕΕ και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παρακαλείσθε να τους διευκρινίσετε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ΜΕΤΡΑ ΔΙΑΧΕΙΡΙΣΗΣ </w:t>
      </w:r>
    </w:p>
    <w:p>
      <w:pPr>
        <w:pStyle w:val="ManualHeading2"/>
        <w:rPr>
          <w:noProof/>
        </w:rPr>
      </w:pPr>
      <w:r>
        <w:t>2.1.</w:t>
      </w:r>
      <w:r>
        <w:tab/>
      </w:r>
      <w:r>
        <w:rPr>
          <w:noProof/>
        </w:rPr>
        <w:t xml:space="preserve">Κανόνες παρακολούθησης και αναφοράς </w:t>
      </w:r>
    </w:p>
    <w:p>
      <w:pPr>
        <w:pStyle w:val="Text1"/>
        <w:rPr>
          <w:i/>
          <w:noProof/>
          <w:sz w:val="20"/>
          <w:u w:val="single"/>
        </w:rPr>
      </w:pPr>
      <w:r>
        <w:rPr>
          <w:i/>
          <w:noProof/>
          <w:sz w:val="20"/>
        </w:rPr>
        <w:t>Προσδιορισμός της συχνότητας και των όρων των εν λόγω διατάξεων.</w:t>
      </w:r>
    </w:p>
    <w:p>
      <w:pPr>
        <w:pStyle w:val="Text1"/>
        <w:pBdr>
          <w:top w:val="single" w:sz="4" w:space="1" w:color="auto"/>
          <w:left w:val="single" w:sz="4" w:space="4" w:color="auto"/>
          <w:bottom w:val="single" w:sz="4" w:space="1" w:color="auto"/>
          <w:right w:val="single" w:sz="4" w:space="4" w:color="auto"/>
        </w:pBdr>
        <w:rPr>
          <w:noProof/>
        </w:rPr>
      </w:pPr>
      <w:r>
        <w:rPr>
          <w:noProof/>
        </w:rPr>
        <w:t>Εφαρμόζεται τακτική ενδελεχής υποβολή εκθέσεων ποιοτικής εκτέλεσης για κάθε συλλογή στατιστικών στοιχείων, σύμφωνα με τους ειδικούς κανόνες της Eurostat. Αυτό θα συνεχιστεί και θα βελτιωθεί περαιτέρω με τη νέα πρόταση.</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αποδέκτες των επιδοτήσεων πρέπει να παραδίδουν τα στοιχεία που έχουν συλλέξει και την αντίστοιχη έκθεση ποιότητας. </w:t>
      </w:r>
    </w:p>
    <w:p>
      <w:pPr>
        <w:pStyle w:val="ManualHeading2"/>
        <w:rPr>
          <w:bCs/>
          <w:noProof/>
          <w:szCs w:val="24"/>
        </w:rPr>
      </w:pPr>
      <w:r>
        <w:t>2.2.</w:t>
      </w:r>
      <w:r>
        <w:tab/>
      </w:r>
      <w:r>
        <w:rPr>
          <w:noProof/>
        </w:rPr>
        <w:t xml:space="preserve">Σύστημα διαχείρισης και ελέγχου </w:t>
      </w:r>
    </w:p>
    <w:p>
      <w:pPr>
        <w:pStyle w:val="ManualHeading3"/>
        <w:rPr>
          <w:noProof/>
        </w:rPr>
      </w:pPr>
      <w:r>
        <w:t>2.2.1.</w:t>
      </w:r>
      <w:r>
        <w:tab/>
      </w:r>
      <w:r>
        <w:rPr>
          <w:noProof/>
        </w:rPr>
        <w:t xml:space="preserve">Κίνδυνος/-οι που έχει/-ουν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Δεδομένου ότι προβλέπεται η μέθοδος της άμεσης διαχείρισης, οι εγγενείς κίνδυνοι είναι εκείνοι που συνδέονται με τη διαχείριση των δημόσιων συμβάσεων και επιδοτήσεων. </w:t>
      </w:r>
    </w:p>
    <w:p>
      <w:pPr>
        <w:pStyle w:val="ManualHeading3"/>
        <w:rPr>
          <w:bCs/>
          <w:noProof/>
          <w:szCs w:val="24"/>
        </w:rPr>
      </w:pPr>
      <w:r>
        <w:t>2.2.2.</w:t>
      </w:r>
      <w:r>
        <w:tab/>
      </w:r>
      <w:r>
        <w:rPr>
          <w:noProof/>
        </w:rPr>
        <w:t>Πληροφορίες σχετικά με το σύστημα εσωτερικού ελέγχου που έχει καθοριστεί</w:t>
      </w:r>
    </w:p>
    <w:p>
      <w:pPr>
        <w:pStyle w:val="Text1"/>
        <w:pBdr>
          <w:top w:val="single" w:sz="4" w:space="1" w:color="auto"/>
          <w:left w:val="single" w:sz="4" w:space="4" w:color="auto"/>
          <w:bottom w:val="single" w:sz="4" w:space="1" w:color="auto"/>
          <w:right w:val="single" w:sz="4" w:space="4" w:color="auto"/>
        </w:pBdr>
        <w:rPr>
          <w:noProof/>
        </w:rPr>
      </w:pPr>
      <w:r>
        <w:rPr>
          <w:noProof/>
        </w:rPr>
        <w:t>Η Eurostat όρισε μια στρατηγική ελέγχου για την περίοδο 2013-2017, η οποία θα συνοδεύει την εκτέλεση των δαπανών. Τα μέτρα και τα εργαλεία στη στρατηγική αυτή εφαρμόζονται πλήρως στον προτεινόμενο κανονισμό. Η μείωση της περιπλοκότητας, η εφαρμογή αποτελεσματικών από την άποψη του κόστους διαδικασιών παρακολούθησης, καθώς και η διενέργεια ελέγχων εκ των προτέρων και εκ των υστέρων με βάση τον κίνδυνο θα αποσκοπούν στη μείωση της πιθανότητας απάτης και θα συμβάλουν στην πρόληψη της απάτης. Μέρος της στρατηγικής ελέγχου αποτελούν τα ειδικά μέτρα ευαισθητοποίησης και η σχετική κατάρτιση για την πρόληψη της απάτης.</w:t>
      </w:r>
    </w:p>
    <w:p>
      <w:pPr>
        <w:pStyle w:val="ManualHeading3"/>
        <w:rPr>
          <w:noProof/>
        </w:rPr>
      </w:pPr>
      <w:r>
        <w:t>2.2.3.</w:t>
      </w:r>
      <w:r>
        <w:tab/>
      </w:r>
      <w:r>
        <w:rPr>
          <w:noProof/>
        </w:rPr>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Eurostat εφαρμόζει μια στρατηγική ελέγχου που έχει εν γένει ως στόχο τον περιορισμό του κινδύνου μη συμμόρφωσης σύμφωνα με το κριτήριο της σημαντικότητας του 2%, σε ευθυγράμμιση με τους στόχους ως προς τον εσωτερικό έλεγχο και τη διαχείριση κινδύνου που καθορίζονται στο στρατηγικό της σχέδιο για την περίοδο 2016-2020. Το 100% των χρηματοπιστωτικών συναλλαγών (και συνεπώς το 100% του προϋπολογισμού) θα υπόκειται σε υποχρεωτικούς εκ των προτέρων ελέγχους σύμφωνα με τον δημοσιονομικό κανονισμό. Επιπλέον, θα διενεργούνται έλεγχοι με ανάλυση εις βάθος των συνοδευτικών εγγράφων, έπειτα από την ετήσια ανάλυση των κινδύνων. Αυτοί δύνανται να καλύπτουν το 4-6% του συνολικού προϋπολογισμού που διαχειρίζεται η Eurostat. </w:t>
      </w:r>
    </w:p>
    <w:p>
      <w:pPr>
        <w:pStyle w:val="ManualHeading2"/>
        <w:rPr>
          <w:bCs/>
          <w:noProof/>
          <w:szCs w:val="24"/>
        </w:rPr>
      </w:pPr>
      <w:r>
        <w:t>2.3.</w:t>
      </w:r>
      <w:r>
        <w:tab/>
      </w:r>
      <w:r>
        <w:rPr>
          <w:noProof/>
        </w:rPr>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Στις 30 Οκτωβρίου 2013 η Eurostat ενέκρινε τη «Στρατηγική κατά της απάτης για την περίοδο 2014-2017» σύμφωνα με τη στρατηγική της Επιτροπής για την καταπολέμηση της απάτης, της 24ης Ιουνίου 2011 (CAFS). Η στρατηγική της Eurostat θέτει τρεις επιχειρησιακούς στόχους: i) ενίσχυση των υφιστάμενων συνιστωσών καταπολέμησης της απάτης· ii) καλύτερη ενσωμάτωση συνιστωσών καταπολέμησης της απάτης στη διαδικασία εκτίμησης/διαχείρισης κινδύνου της Eurostat, καθώς και στις διαδικασίες λογιστικών ελέγχων, σχεδιασμού, υποβολής εκθέσεων και παρακολούθησης· iii) ενίσχυση των ικανοτήτων και της ευαισθητοποίησης της Eurostat όσον αφορά την καταπολέμηση της απάτης στο πλαίσιο της ευρύτερης νοοτροπίας καταπολέμησης της απάτης που καλλιεργείται στους κόλπους της Επιτροπής. Η στρατηγική συνοδεύεται από σχέδιο δράσης για την καταπολέμηση της απάτης. Καθ’ όλη την περίοδο εφαρμογής της, η εφαρμογή της στρατηγικής παρακολουθείται σε εξαμηνιαία βάση, με υποβολή εκθέσεων προς τη διοίκηση.</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Eurostat θα αξιολογήσει τις επιπτώσεις της στρατηγικής το 2017 και θα επικαιροποιήσει την εν λόγω στρατηγική αναλόγως. Σημαντικό σταθμό στο πλαίσιο της αξιολόγησης της στρατηγικής αποτέλεσε το έτος 2016, κατά το οποίο η Eurostat προέβη σε επανεξέταση του σχεδίου δράσης της για την καταπολέμηση της απάτης. </w:t>
      </w:r>
    </w:p>
    <w:p>
      <w:pPr>
        <w:pStyle w:val="Text1"/>
        <w:pBdr>
          <w:top w:val="single" w:sz="4" w:space="1" w:color="auto"/>
          <w:left w:val="single" w:sz="4" w:space="4" w:color="auto"/>
          <w:bottom w:val="single" w:sz="4" w:space="1" w:color="auto"/>
          <w:right w:val="single" w:sz="4" w:space="4" w:color="auto"/>
        </w:pBdr>
        <w:rPr>
          <w:noProof/>
        </w:rPr>
      </w:pPr>
      <w:r>
        <w:rPr>
          <w:noProof/>
        </w:rPr>
        <w:t>Τόσο η επανεξέταση της στρατηγικής της Eurostat όσο και η αναθεώρηση του σχεδίου δράσης πραγματοποιούνται με βάση την επικαιροποιημένη μεθοδολογία και τις οδηγίες που εκδόθηκαν από την OLAF τον Φεβρουάριο του 2016.</w:t>
      </w:r>
    </w:p>
    <w:p>
      <w:pPr>
        <w:pStyle w:val="Text1"/>
        <w:pBdr>
          <w:top w:val="single" w:sz="4" w:space="1" w:color="auto"/>
          <w:left w:val="single" w:sz="4" w:space="4" w:color="auto"/>
          <w:bottom w:val="single" w:sz="4" w:space="1" w:color="auto"/>
          <w:right w:val="single" w:sz="4" w:space="4" w:color="auto"/>
        </w:pBdr>
        <w:rPr>
          <w:noProof/>
        </w:rPr>
      </w:pPr>
      <w:r>
        <w:rPr>
          <w:noProof/>
        </w:rPr>
        <w:t>Επιπλέον, όσον αφορά τις επιδοτήσεις, όλοι οι δυνητικοί αποδέκτες των επιδοτήσεων είναι δημόσιοι φορείς [εθνικές στατιστικές υπηρεσίες και άλλες εθνικές αρχές, όπως ορίζεται βάσει του κανονισμού (ΕΚ) αριθ. 223/2009]. Επιπλέον, οι επιδοτήσεις χορηγούνται χωρίς προσκλήσεις υποβολής προτάσεων. Εφαρμόζονται έλεγχοι, στο πλαίσιο των οποίων λαμβάνονται υπόψη οι συγκεκριμένες διαδικασίες επιδότησης και πραγματοποιείται εκ των προτέρων και εκ των υστέρων ανάλυση της διαχείρισης της επιδότησης.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χρήση μοναδιαίου κόστους και κατ’ αποκοπή ποσών, σύμφωνα με το άρθρο 124 παράγραφος 1 του δημοσιονομικού κανονισμού, μειώνει σημαντικά τον κίνδυνο σφαλμάτων όσον αφορά τη διαχείριση των επιδοτήσεων με αποτέλεσμα να απλουστεύονται σε σημαντικό βαθμό οι διοικητικές διαδικασίες.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ΕΚΤΙΜΩΜΕΝΗ ΔΗΜΟΣΙΟΝΟΜΙΚΗ ΕΠΙΠΤΩΣΗ ΤΗΣ ΠΡΟΤΑΣΗΣ/ΠΡΩΤΟΒΟΥΛΙΑΣ </w:t>
      </w:r>
    </w:p>
    <w:p>
      <w:pPr>
        <w:pStyle w:val="ManualHeading2"/>
        <w:rPr>
          <w:noProof/>
        </w:rPr>
      </w:pPr>
      <w:r>
        <w:t>3.1.</w:t>
      </w:r>
      <w:r>
        <w:tab/>
      </w:r>
      <w:r>
        <w:rPr>
          <w:noProof/>
        </w:rPr>
        <w:t xml:space="preserve">Τομέας/-είς του πολυετούς δημοσιονομικού πλαισίου και γραμμή/-ές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προϋπολογισμού</w:t>
            </w:r>
          </w:p>
        </w:tc>
        <w:tc>
          <w:tcPr>
            <w:tcW w:w="1080" w:type="dxa"/>
            <w:vAlign w:val="center"/>
          </w:tcPr>
          <w:p>
            <w:pPr>
              <w:spacing w:before="60" w:after="60"/>
              <w:jc w:val="center"/>
              <w:rPr>
                <w:noProof/>
              </w:rPr>
            </w:pPr>
            <w:r>
              <w:rPr>
                <w:noProof/>
              </w:rPr>
              <w:t xml:space="preserve">Είδος </w:t>
            </w:r>
            <w:r>
              <w:rPr>
                <w:noProof/>
              </w:rPr>
              <w:b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Αριθμός</w:t>
            </w:r>
            <w:r>
              <w:rPr>
                <w:noProof/>
                <w:sz w:val="22"/>
              </w:rPr>
              <w:br/>
            </w:r>
            <w:r>
              <w:rPr>
                <w:noProof/>
              </w:rPr>
              <w:t>[…]</w:t>
            </w:r>
            <w:r>
              <w:rPr>
                <w:noProof/>
                <w:sz w:val="20"/>
              </w:rPr>
              <w:t>[Τομέας………………………...……………]</w:t>
            </w:r>
          </w:p>
        </w:tc>
        <w:tc>
          <w:tcPr>
            <w:tcW w:w="1080" w:type="dxa"/>
            <w:vAlign w:val="center"/>
          </w:tcPr>
          <w:p>
            <w:pPr>
              <w:jc w:val="center"/>
              <w:rPr>
                <w:noProof/>
              </w:rPr>
            </w:pPr>
            <w:r>
              <w:rPr>
                <w:noProof/>
              </w:rPr>
              <w:t>ΔΠ/ ΜΔΠ</w:t>
            </w:r>
            <w:r>
              <w:rPr>
                <w:rStyle w:val="FootnoteReference"/>
                <w:noProof/>
              </w:rPr>
              <w:footnoteReference w:id="32"/>
            </w:r>
          </w:p>
        </w:tc>
        <w:tc>
          <w:tcPr>
            <w:tcW w:w="956" w:type="dxa"/>
            <w:vAlign w:val="center"/>
          </w:tcPr>
          <w:p>
            <w:pPr>
              <w:jc w:val="center"/>
              <w:rPr>
                <w:noProof/>
              </w:rPr>
            </w:pPr>
            <w:r>
              <w:rPr>
                <w:noProof/>
                <w:sz w:val="18"/>
              </w:rPr>
              <w:t>χωρών ΕΖΕΣ</w:t>
            </w:r>
            <w:r>
              <w:rPr>
                <w:rStyle w:val="FootnoteReference"/>
                <w:noProof/>
                <w:sz w:val="18"/>
              </w:rPr>
              <w:footnoteReference w:id="33"/>
            </w:r>
          </w:p>
          <w:p>
            <w:pPr>
              <w:spacing w:after="0"/>
              <w:jc w:val="center"/>
              <w:rPr>
                <w:b/>
                <w:noProof/>
                <w:sz w:val="18"/>
              </w:rPr>
            </w:pPr>
          </w:p>
        </w:tc>
        <w:tc>
          <w:tcPr>
            <w:tcW w:w="1080" w:type="dxa"/>
            <w:vAlign w:val="center"/>
          </w:tcPr>
          <w:p>
            <w:pPr>
              <w:jc w:val="center"/>
              <w:rPr>
                <w:noProof/>
              </w:rPr>
            </w:pPr>
            <w:r>
              <w:rPr>
                <w:noProof/>
                <w:sz w:val="18"/>
              </w:rPr>
              <w:t>υποψηφίων χωρών</w:t>
            </w:r>
            <w:r>
              <w:rPr>
                <w:rStyle w:val="FootnoteReference"/>
                <w:noProof/>
                <w:sz w:val="18"/>
              </w:rPr>
              <w:footnoteReference w:id="34"/>
            </w:r>
          </w:p>
          <w:p>
            <w:pPr>
              <w:spacing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rPr>
            </w:pPr>
            <w:r>
              <w:rPr>
                <w:noProof/>
              </w:rPr>
              <w:t>1α</w:t>
            </w:r>
          </w:p>
        </w:tc>
        <w:tc>
          <w:tcPr>
            <w:tcW w:w="3960" w:type="dxa"/>
            <w:vAlign w:val="center"/>
          </w:tcPr>
          <w:p>
            <w:pPr>
              <w:spacing w:after="60"/>
              <w:rPr>
                <w:noProof/>
              </w:rPr>
            </w:pPr>
            <w:r>
              <w:rPr>
                <w:noProof/>
              </w:rPr>
              <w:t>29.020100 – ΕΣΠ18_20- Ευρωπαϊκό στατιστικό πρόγραμμα (ΕΣΠ) 2018-2020</w:t>
            </w:r>
          </w:p>
        </w:tc>
        <w:tc>
          <w:tcPr>
            <w:tcW w:w="1080" w:type="dxa"/>
            <w:vAlign w:val="center"/>
          </w:tcPr>
          <w:p>
            <w:pPr>
              <w:jc w:val="center"/>
              <w:rPr>
                <w:noProof/>
              </w:rPr>
            </w:pPr>
            <w:r>
              <w:rPr>
                <w:noProof/>
                <w:sz w:val="22"/>
              </w:rPr>
              <w:t>ΜΔΠ</w:t>
            </w:r>
          </w:p>
        </w:tc>
        <w:tc>
          <w:tcPr>
            <w:tcW w:w="956" w:type="dxa"/>
            <w:vAlign w:val="center"/>
          </w:tcPr>
          <w:p>
            <w:pPr>
              <w:jc w:val="center"/>
              <w:rPr>
                <w:noProof/>
              </w:rPr>
            </w:pPr>
            <w:r>
              <w:rPr>
                <w:noProof/>
                <w:sz w:val="22"/>
              </w:rPr>
              <w:t>ΝΑΙ</w:t>
            </w:r>
          </w:p>
        </w:tc>
        <w:tc>
          <w:tcPr>
            <w:tcW w:w="1080" w:type="dxa"/>
            <w:vAlign w:val="center"/>
          </w:tcPr>
          <w:p>
            <w:pPr>
              <w:jc w:val="center"/>
              <w:rPr>
                <w:noProof/>
              </w:rPr>
            </w:pPr>
            <w:r>
              <w:rPr>
                <w:noProof/>
                <w:sz w:val="22"/>
              </w:rPr>
              <w:t>ΟΧΙ</w:t>
            </w:r>
          </w:p>
        </w:tc>
        <w:tc>
          <w:tcPr>
            <w:tcW w:w="956" w:type="dxa"/>
            <w:vAlign w:val="center"/>
          </w:tcPr>
          <w:p>
            <w:pPr>
              <w:jc w:val="center"/>
              <w:rPr>
                <w:noProof/>
              </w:rPr>
            </w:pPr>
            <w:r>
              <w:rPr>
                <w:noProof/>
                <w:sz w:val="22"/>
              </w:rPr>
              <w:t>ΟΧΙ</w:t>
            </w:r>
          </w:p>
        </w:tc>
        <w:tc>
          <w:tcPr>
            <w:tcW w:w="1448" w:type="dxa"/>
            <w:vAlign w:val="center"/>
          </w:tcPr>
          <w:p>
            <w:pPr>
              <w:jc w:val="center"/>
              <w:rPr>
                <w:noProof/>
              </w:rPr>
            </w:pPr>
            <w:r>
              <w:rPr>
                <w:noProof/>
                <w:sz w:val="22"/>
              </w:rPr>
              <w:t>ΟΧΙ</w:t>
            </w:r>
          </w:p>
        </w:tc>
      </w:tr>
      <w:tr>
        <w:tc>
          <w:tcPr>
            <w:tcW w:w="1080" w:type="dxa"/>
            <w:vAlign w:val="center"/>
          </w:tcPr>
          <w:p>
            <w:pPr>
              <w:jc w:val="center"/>
              <w:rPr>
                <w:noProof/>
              </w:rPr>
            </w:pPr>
            <w:r>
              <w:rPr>
                <w:noProof/>
                <w:sz w:val="22"/>
              </w:rPr>
              <w:t>1α</w:t>
            </w:r>
          </w:p>
        </w:tc>
        <w:tc>
          <w:tcPr>
            <w:tcW w:w="3960" w:type="dxa"/>
            <w:vAlign w:val="center"/>
          </w:tcPr>
          <w:p>
            <w:pPr>
              <w:spacing w:after="60"/>
            </w:pPr>
            <w:r>
              <w:rPr>
                <w:noProof/>
              </w:rPr>
              <w:t>09.040201- Υπεροχή στις τεχνολογίες των πληροφοριών και των επικοινωνιών [σχετ. πρόγρ.: «Ορίζοντας 2020» - το πρόγραμμα-πλαίσιο για την έρευνα και την καινοτομία (Ορίζοντας 2020)]</w:t>
            </w:r>
          </w:p>
        </w:tc>
        <w:tc>
          <w:tcPr>
            <w:tcW w:w="1080" w:type="dxa"/>
            <w:vAlign w:val="center"/>
          </w:tcPr>
          <w:p>
            <w:pPr>
              <w:jc w:val="center"/>
              <w:rPr>
                <w:noProof/>
                <w:sz w:val="22"/>
              </w:rPr>
            </w:pPr>
            <w:r>
              <w:rPr>
                <w:noProof/>
                <w:sz w:val="22"/>
              </w:rPr>
              <w:t>ΔΠ =</w:t>
            </w:r>
          </w:p>
        </w:tc>
        <w:tc>
          <w:tcPr>
            <w:tcW w:w="956" w:type="dxa"/>
            <w:vAlign w:val="center"/>
          </w:tcPr>
          <w:p>
            <w:pPr>
              <w:jc w:val="center"/>
              <w:rPr>
                <w:noProof/>
                <w:sz w:val="22"/>
              </w:rPr>
            </w:pPr>
            <w:r>
              <w:rPr>
                <w:noProof/>
                <w:sz w:val="22"/>
              </w:rPr>
              <w:t>ΝΑΙ</w:t>
            </w:r>
          </w:p>
        </w:tc>
        <w:tc>
          <w:tcPr>
            <w:tcW w:w="1080" w:type="dxa"/>
            <w:vAlign w:val="center"/>
          </w:tcPr>
          <w:p>
            <w:pPr>
              <w:jc w:val="center"/>
              <w:rPr>
                <w:noProof/>
                <w:sz w:val="22"/>
              </w:rPr>
            </w:pPr>
            <w:r>
              <w:rPr>
                <w:noProof/>
                <w:sz w:val="22"/>
              </w:rPr>
              <w:t>ΟΧΙ</w:t>
            </w:r>
          </w:p>
        </w:tc>
        <w:tc>
          <w:tcPr>
            <w:tcW w:w="956" w:type="dxa"/>
            <w:vAlign w:val="center"/>
          </w:tcPr>
          <w:p>
            <w:pPr>
              <w:jc w:val="center"/>
              <w:rPr>
                <w:noProof/>
                <w:sz w:val="22"/>
              </w:rPr>
            </w:pPr>
            <w:r>
              <w:rPr>
                <w:noProof/>
                <w:sz w:val="22"/>
              </w:rPr>
              <w:t>ΟΧΙ</w:t>
            </w:r>
          </w:p>
        </w:tc>
        <w:tc>
          <w:tcPr>
            <w:tcW w:w="1448" w:type="dxa"/>
            <w:vAlign w:val="center"/>
          </w:tcPr>
          <w:p>
            <w:pPr>
              <w:jc w:val="center"/>
              <w:rPr>
                <w:noProof/>
                <w:sz w:val="22"/>
              </w:rPr>
            </w:pPr>
            <w:r>
              <w:rPr>
                <w:noProof/>
                <w:sz w:val="22"/>
              </w:rPr>
              <w:t>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Εκτιμώμενες επιπτώσεις στις δαπάνες </w:t>
      </w:r>
    </w:p>
    <w:p>
      <w:pPr>
        <w:pStyle w:val="ManualHeading3"/>
        <w:rPr>
          <w:noProof/>
          <w:u w:val="single"/>
        </w:rPr>
      </w:pPr>
      <w:r>
        <w:t>3.2.1.</w:t>
      </w:r>
      <w:r>
        <w:tab/>
      </w:r>
      <w:r>
        <w:rPr>
          <w:noProof/>
        </w:rPr>
        <w:t xml:space="preserve">Συνοπτική παρουσίαση των εκτιμώμενων επιπτώσεων στις δαπάνες </w:t>
      </w:r>
    </w:p>
    <w:p>
      <w:pPr>
        <w:jc w:val="right"/>
        <w:rPr>
          <w:noProof/>
          <w:sz w:val="20"/>
        </w:rPr>
      </w:pPr>
      <w:r>
        <w:rPr>
          <w:noProof/>
          <w:sz w:val="20"/>
        </w:rPr>
        <w:t>Σε εκατ. EUR (με 3 δεκαδικά ψηφία)</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Τομέας του πολυετούς δημοσιονομικού πλαισίου</w:t>
            </w:r>
            <w:r>
              <w:rPr>
                <w:b/>
                <w:noProof/>
                <w:sz w:val="22"/>
              </w:rPr>
              <w:t xml:space="preserve"> </w:t>
            </w:r>
          </w:p>
        </w:tc>
        <w:tc>
          <w:tcPr>
            <w:tcW w:w="1080" w:type="dxa"/>
            <w:vAlign w:val="center"/>
          </w:tcPr>
          <w:p>
            <w:pPr>
              <w:spacing w:before="60" w:after="60"/>
              <w:jc w:val="center"/>
              <w:rPr>
                <w:noProof/>
              </w:rPr>
            </w:pPr>
            <w:r>
              <w:rPr>
                <w:noProof/>
                <w:sz w:val="22"/>
              </w:rPr>
              <w:t>Αριθμός</w:t>
            </w:r>
          </w:p>
        </w:tc>
        <w:tc>
          <w:tcPr>
            <w:tcW w:w="7817" w:type="dxa"/>
            <w:vAlign w:val="center"/>
          </w:tcPr>
          <w:p>
            <w:pPr>
              <w:spacing w:before="60" w:after="60"/>
              <w:rPr>
                <w:noProof/>
              </w:rPr>
            </w:pPr>
            <w:r>
              <w:rPr>
                <w:noProof/>
              </w:rPr>
              <w:t>1α. Ανταγωνιστικότητα για την ανάπτυξη και την απασχόληση</w:t>
            </w:r>
          </w:p>
        </w:tc>
      </w:tr>
    </w:tbl>
    <w:p>
      <w:pPr>
        <w:rPr>
          <w:noProof/>
          <w:sz w:val="16"/>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tc>
          <w:tcPr>
            <w:tcW w:w="3960" w:type="dxa"/>
            <w:vAlign w:val="center"/>
          </w:tcPr>
          <w:p>
            <w:pPr>
              <w:jc w:val="center"/>
              <w:rPr>
                <w:noProof/>
              </w:rPr>
            </w:pPr>
            <w:r>
              <w:rPr>
                <w:noProof/>
                <w:sz w:val="22"/>
              </w:rPr>
              <w:t>ΓΔ: ESTAT</w:t>
            </w:r>
          </w:p>
        </w:tc>
        <w:tc>
          <w:tcPr>
            <w:tcW w:w="1560" w:type="dxa"/>
            <w:gridSpan w:val="2"/>
          </w:tcPr>
          <w:p>
            <w:pPr>
              <w:rPr>
                <w:noProof/>
                <w:sz w:val="20"/>
              </w:rPr>
            </w:pPr>
          </w:p>
        </w:tc>
        <w:tc>
          <w:tcPr>
            <w:tcW w:w="534" w:type="dxa"/>
          </w:tcPr>
          <w:p>
            <w:pPr>
              <w:jc w:val="center"/>
              <w:rPr>
                <w:noProof/>
                <w:sz w:val="20"/>
              </w:rPr>
            </w:pPr>
          </w:p>
        </w:tc>
        <w:tc>
          <w:tcPr>
            <w:tcW w:w="2874" w:type="dxa"/>
            <w:vAlign w:val="center"/>
          </w:tcPr>
          <w:p>
            <w:pPr>
              <w:jc w:val="center"/>
              <w:rPr>
                <w:noProof/>
                <w:sz w:val="20"/>
              </w:rPr>
            </w:pPr>
            <w:r>
              <w:rPr>
                <w:noProof/>
                <w:sz w:val="20"/>
              </w:rPr>
              <w:t>Έτος</w:t>
            </w:r>
            <w:r>
              <w:rPr>
                <w:noProof/>
                <w:sz w:val="22"/>
              </w:rPr>
              <w:br/>
            </w:r>
            <w:r>
              <w:rPr>
                <w:b/>
                <w:noProof/>
                <w:sz w:val="20"/>
              </w:rPr>
              <w:t>2019</w:t>
            </w:r>
          </w:p>
        </w:tc>
        <w:tc>
          <w:tcPr>
            <w:tcW w:w="2874" w:type="dxa"/>
            <w:vAlign w:val="center"/>
          </w:tcPr>
          <w:p>
            <w:pPr>
              <w:jc w:val="center"/>
              <w:rPr>
                <w:noProof/>
                <w:sz w:val="20"/>
              </w:rPr>
            </w:pPr>
            <w:r>
              <w:rPr>
                <w:noProof/>
                <w:sz w:val="20"/>
              </w:rPr>
              <w:t>Έτος</w:t>
            </w:r>
            <w:r>
              <w:rPr>
                <w:noProof/>
                <w:sz w:val="22"/>
              </w:rPr>
              <w:br/>
            </w:r>
            <w:r>
              <w:rPr>
                <w:b/>
                <w:noProof/>
                <w:sz w:val="20"/>
              </w:rPr>
              <w:t>2020</w:t>
            </w:r>
          </w:p>
        </w:tc>
        <w:tc>
          <w:tcPr>
            <w:tcW w:w="2875"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w:t>
            </w:r>
          </w:p>
        </w:tc>
        <w:tc>
          <w:tcPr>
            <w:tcW w:w="2874" w:type="dxa"/>
            <w:vAlign w:val="center"/>
          </w:tcPr>
          <w:p>
            <w:pPr>
              <w:rPr>
                <w:noProof/>
                <w:sz w:val="20"/>
              </w:rPr>
            </w:pPr>
          </w:p>
        </w:tc>
        <w:tc>
          <w:tcPr>
            <w:tcW w:w="2874" w:type="dxa"/>
            <w:vAlign w:val="center"/>
          </w:tcPr>
          <w:p>
            <w:pPr>
              <w:rPr>
                <w:noProof/>
                <w:sz w:val="20"/>
              </w:rPr>
            </w:pPr>
          </w:p>
        </w:tc>
        <w:tc>
          <w:tcPr>
            <w:tcW w:w="2875" w:type="dxa"/>
            <w:vAlign w:val="center"/>
          </w:tcPr>
          <w:p>
            <w:pPr>
              <w:rPr>
                <w:b/>
                <w:noProof/>
                <w:sz w:val="20"/>
              </w:rPr>
            </w:pPr>
          </w:p>
        </w:tc>
      </w:tr>
      <w:tr>
        <w:trPr>
          <w:trHeight w:val="277"/>
        </w:trPr>
        <w:tc>
          <w:tcPr>
            <w:tcW w:w="3960" w:type="dxa"/>
            <w:vMerge w:val="restart"/>
            <w:vAlign w:val="center"/>
          </w:tcPr>
          <w:p>
            <w:pPr>
              <w:rPr>
                <w:noProof/>
              </w:rPr>
            </w:pPr>
            <w:r>
              <w:rPr>
                <w:noProof/>
                <w:sz w:val="20"/>
              </w:rPr>
              <w:t>Αριθμός γραμμής του προϋπολογισμού 29.020100</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w:t>
            </w:r>
          </w:p>
        </w:tc>
        <w:tc>
          <w:tcPr>
            <w:tcW w:w="2874" w:type="dxa"/>
            <w:vAlign w:val="center"/>
          </w:tcPr>
          <w:p>
            <w:pPr>
              <w:spacing w:before="20" w:after="20"/>
              <w:jc w:val="right"/>
              <w:rPr>
                <w:noProof/>
                <w:sz w:val="20"/>
              </w:rPr>
            </w:pPr>
            <w:r>
              <w:rPr>
                <w:noProof/>
                <w:sz w:val="20"/>
              </w:rPr>
              <w:t>10,285</w:t>
            </w:r>
          </w:p>
        </w:tc>
        <w:tc>
          <w:tcPr>
            <w:tcW w:w="2874" w:type="dxa"/>
            <w:vAlign w:val="center"/>
          </w:tcPr>
          <w:p>
            <w:pPr>
              <w:spacing w:before="20" w:after="20"/>
              <w:jc w:val="right"/>
              <w:rPr>
                <w:noProof/>
                <w:sz w:val="20"/>
              </w:rPr>
            </w:pPr>
            <w:r>
              <w:rPr>
                <w:noProof/>
                <w:sz w:val="20"/>
              </w:rPr>
              <w:t>9,185</w:t>
            </w:r>
          </w:p>
        </w:tc>
        <w:tc>
          <w:tcPr>
            <w:tcW w:w="2875" w:type="dxa"/>
            <w:vAlign w:val="center"/>
          </w:tcPr>
          <w:p>
            <w:pPr>
              <w:spacing w:before="20" w:after="20"/>
              <w:jc w:val="right"/>
              <w:rPr>
                <w:b/>
                <w:noProof/>
                <w:sz w:val="20"/>
              </w:rPr>
            </w:pPr>
            <w:r>
              <w:rPr>
                <w:b/>
                <w:noProof/>
                <w:sz w:val="20"/>
              </w:rPr>
              <w:t>19,470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w:t>
            </w:r>
          </w:p>
        </w:tc>
        <w:tc>
          <w:tcPr>
            <w:tcW w:w="2874" w:type="dxa"/>
            <w:vAlign w:val="center"/>
          </w:tcPr>
          <w:p>
            <w:pPr>
              <w:spacing w:before="20" w:after="20"/>
              <w:jc w:val="right"/>
              <w:rPr>
                <w:noProof/>
                <w:sz w:val="20"/>
              </w:rPr>
            </w:pPr>
            <w:r>
              <w:rPr>
                <w:noProof/>
                <w:sz w:val="20"/>
              </w:rPr>
              <w:t>1,029</w:t>
            </w:r>
          </w:p>
        </w:tc>
        <w:tc>
          <w:tcPr>
            <w:tcW w:w="2874" w:type="dxa"/>
            <w:vAlign w:val="center"/>
          </w:tcPr>
          <w:p>
            <w:pPr>
              <w:spacing w:before="20" w:after="20"/>
              <w:jc w:val="right"/>
              <w:rPr>
                <w:noProof/>
                <w:sz w:val="20"/>
              </w:rPr>
            </w:pPr>
            <w:r>
              <w:rPr>
                <w:noProof/>
                <w:sz w:val="20"/>
              </w:rPr>
              <w:t>4,518</w:t>
            </w:r>
          </w:p>
        </w:tc>
        <w:tc>
          <w:tcPr>
            <w:tcW w:w="2875" w:type="dxa"/>
            <w:vAlign w:val="center"/>
          </w:tcPr>
          <w:p>
            <w:pPr>
              <w:spacing w:before="20" w:after="20"/>
              <w:jc w:val="right"/>
              <w:rPr>
                <w:b/>
                <w:noProof/>
                <w:sz w:val="20"/>
              </w:rPr>
            </w:pPr>
            <w:r>
              <w:rPr>
                <w:b/>
                <w:noProof/>
                <w:sz w:val="20"/>
              </w:rPr>
              <w:t>5,547</w:t>
            </w:r>
          </w:p>
        </w:tc>
      </w:tr>
      <w:tr>
        <w:tc>
          <w:tcPr>
            <w:tcW w:w="3960" w:type="dxa"/>
            <w:vMerge w:val="restart"/>
            <w:vAlign w:val="center"/>
          </w:tcPr>
          <w:p>
            <w:pPr>
              <w:rPr>
                <w:noProof/>
              </w:rPr>
            </w:pPr>
            <w:r>
              <w:rPr>
                <w:noProof/>
                <w:sz w:val="20"/>
              </w:rPr>
              <w:t>Αριθμός γραμμής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35"/>
            </w:r>
            <w:r>
              <w:rPr>
                <w:noProof/>
                <w:sz w:val="21"/>
              </w:rPr>
              <w:t xml:space="preserve"> </w:t>
            </w:r>
          </w:p>
          <w:p>
            <w:pPr>
              <w:spacing w:after="0"/>
              <w:rPr>
                <w:noProof/>
              </w:rPr>
            </w:pPr>
          </w:p>
        </w:tc>
        <w:tc>
          <w:tcPr>
            <w:tcW w:w="2874" w:type="dxa"/>
            <w:vAlign w:val="center"/>
          </w:tcPr>
          <w:p>
            <w:pPr>
              <w:rPr>
                <w:b/>
                <w:noProof/>
                <w:sz w:val="20"/>
              </w:rPr>
            </w:pPr>
          </w:p>
        </w:tc>
        <w:tc>
          <w:tcPr>
            <w:tcW w:w="2874" w:type="dxa"/>
            <w:vAlign w:val="center"/>
          </w:tcPr>
          <w:p>
            <w:pPr>
              <w:rPr>
                <w:b/>
                <w:noProof/>
                <w:sz w:val="20"/>
              </w:rPr>
            </w:pPr>
          </w:p>
        </w:tc>
        <w:tc>
          <w:tcPr>
            <w:tcW w:w="2875" w:type="dxa"/>
            <w:vAlign w:val="center"/>
          </w:tcPr>
          <w:p>
            <w:pPr>
              <w:rPr>
                <w:b/>
                <w:noProof/>
                <w:sz w:val="20"/>
              </w:rPr>
            </w:pPr>
          </w:p>
        </w:tc>
      </w:tr>
      <w:tr>
        <w:trPr>
          <w:trHeight w:val="319"/>
        </w:trPr>
        <w:tc>
          <w:tcPr>
            <w:tcW w:w="3960" w:type="dxa"/>
            <w:vAlign w:val="center"/>
          </w:tcPr>
          <w:p>
            <w:pPr>
              <w:spacing w:before="60" w:after="60"/>
              <w:rPr>
                <w:noProof/>
              </w:rPr>
            </w:pPr>
            <w:r>
              <w:rPr>
                <w:noProof/>
                <w:sz w:val="20"/>
              </w:rPr>
              <w:t>Αριθμός γραμμής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2874" w:type="dxa"/>
            <w:vAlign w:val="center"/>
          </w:tcPr>
          <w:p>
            <w:pPr>
              <w:spacing w:before="40" w:after="40"/>
              <w:jc w:val="right"/>
              <w:rPr>
                <w:b/>
                <w:noProof/>
                <w:sz w:val="20"/>
              </w:rPr>
            </w:pPr>
          </w:p>
        </w:tc>
        <w:tc>
          <w:tcPr>
            <w:tcW w:w="2874" w:type="dxa"/>
            <w:vAlign w:val="center"/>
          </w:tcPr>
          <w:p>
            <w:pPr>
              <w:spacing w:before="40" w:after="40"/>
              <w:jc w:val="right"/>
              <w:rPr>
                <w:b/>
                <w:noProof/>
                <w:sz w:val="20"/>
              </w:rPr>
            </w:pPr>
          </w:p>
        </w:tc>
        <w:tc>
          <w:tcPr>
            <w:tcW w:w="2875"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 xml:space="preserve">ΣΥΝΟΛΟ πιστώσεων </w:t>
            </w:r>
            <w:r>
              <w:rPr>
                <w:noProof/>
                <w:sz w:val="22"/>
              </w:rPr>
              <w:br/>
            </w:r>
            <w:r>
              <w:rPr>
                <w:b/>
                <w:noProof/>
                <w:sz w:val="22"/>
              </w:rPr>
              <w:t>για τη ΓΔ ESTAT</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=1+1α +3</w:t>
            </w:r>
          </w:p>
        </w:tc>
        <w:tc>
          <w:tcPr>
            <w:tcW w:w="2874" w:type="dxa"/>
            <w:vAlign w:val="center"/>
          </w:tcPr>
          <w:p>
            <w:pPr>
              <w:spacing w:before="20" w:after="20"/>
              <w:jc w:val="right"/>
              <w:rPr>
                <w:noProof/>
                <w:sz w:val="20"/>
              </w:rPr>
            </w:pPr>
            <w:r>
              <w:rPr>
                <w:noProof/>
                <w:sz w:val="20"/>
              </w:rPr>
              <w:t>10,285</w:t>
            </w:r>
          </w:p>
        </w:tc>
        <w:tc>
          <w:tcPr>
            <w:tcW w:w="2874" w:type="dxa"/>
            <w:vAlign w:val="center"/>
          </w:tcPr>
          <w:p>
            <w:pPr>
              <w:spacing w:before="20" w:after="20"/>
              <w:jc w:val="right"/>
              <w:rPr>
                <w:noProof/>
                <w:sz w:val="20"/>
              </w:rPr>
            </w:pPr>
            <w:r>
              <w:rPr>
                <w:noProof/>
                <w:sz w:val="20"/>
              </w:rPr>
              <w:t>9,185</w:t>
            </w:r>
          </w:p>
        </w:tc>
        <w:tc>
          <w:tcPr>
            <w:tcW w:w="2875" w:type="dxa"/>
            <w:vAlign w:val="center"/>
          </w:tcPr>
          <w:p>
            <w:pPr>
              <w:spacing w:before="20" w:after="20"/>
              <w:jc w:val="right"/>
              <w:rPr>
                <w:b/>
                <w:noProof/>
                <w:sz w:val="20"/>
              </w:rPr>
            </w:pPr>
            <w:r>
              <w:rPr>
                <w:b/>
                <w:noProof/>
                <w:sz w:val="20"/>
              </w:rPr>
              <w:t>19,470</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2874" w:type="dxa"/>
            <w:vAlign w:val="center"/>
          </w:tcPr>
          <w:p>
            <w:pPr>
              <w:spacing w:before="20" w:after="20"/>
              <w:jc w:val="right"/>
              <w:rPr>
                <w:noProof/>
                <w:sz w:val="20"/>
              </w:rPr>
            </w:pPr>
            <w:r>
              <w:rPr>
                <w:noProof/>
                <w:sz w:val="20"/>
              </w:rPr>
              <w:t>1,029</w:t>
            </w:r>
          </w:p>
        </w:tc>
        <w:tc>
          <w:tcPr>
            <w:tcW w:w="2874" w:type="dxa"/>
            <w:vAlign w:val="center"/>
          </w:tcPr>
          <w:p>
            <w:pPr>
              <w:spacing w:before="20" w:after="20"/>
              <w:jc w:val="right"/>
              <w:rPr>
                <w:noProof/>
                <w:sz w:val="20"/>
              </w:rPr>
            </w:pPr>
            <w:r>
              <w:rPr>
                <w:noProof/>
                <w:sz w:val="20"/>
              </w:rPr>
              <w:t>4,518</w:t>
            </w:r>
          </w:p>
        </w:tc>
        <w:tc>
          <w:tcPr>
            <w:tcW w:w="2875" w:type="dxa"/>
            <w:vAlign w:val="center"/>
          </w:tcPr>
          <w:p>
            <w:pPr>
              <w:spacing w:before="20" w:after="20"/>
              <w:jc w:val="right"/>
              <w:rPr>
                <w:b/>
                <w:noProof/>
                <w:sz w:val="20"/>
              </w:rPr>
            </w:pPr>
            <w:r>
              <w:rPr>
                <w:b/>
                <w:noProof/>
                <w:sz w:val="20"/>
              </w:rPr>
              <w:t>5,547</w:t>
            </w:r>
          </w:p>
        </w:tc>
      </w:tr>
    </w:tbl>
    <w:p>
      <w:pPr>
        <w:rPr>
          <w:noProof/>
        </w:rPr>
      </w:pPr>
      <w:r>
        <w:rPr>
          <w:noProof/>
        </w:rPr>
        <w:br/>
      </w:r>
      <w:r>
        <w:rPr>
          <w:noProof/>
        </w:rPr>
        <w:br/>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tc>
          <w:tcPr>
            <w:tcW w:w="3960" w:type="dxa"/>
            <w:vAlign w:val="center"/>
          </w:tcPr>
          <w:p>
            <w:pPr>
              <w:jc w:val="center"/>
              <w:rPr>
                <w:noProof/>
              </w:rPr>
            </w:pPr>
            <w:r>
              <w:rPr>
                <w:noProof/>
                <w:sz w:val="22"/>
              </w:rPr>
              <w:t>ΓΔ: CNCT</w:t>
            </w:r>
          </w:p>
        </w:tc>
        <w:tc>
          <w:tcPr>
            <w:tcW w:w="1560" w:type="dxa"/>
            <w:gridSpan w:val="2"/>
          </w:tcPr>
          <w:p>
            <w:pPr>
              <w:rPr>
                <w:noProof/>
                <w:sz w:val="20"/>
              </w:rPr>
            </w:pPr>
          </w:p>
        </w:tc>
        <w:tc>
          <w:tcPr>
            <w:tcW w:w="534" w:type="dxa"/>
          </w:tcPr>
          <w:p>
            <w:pPr>
              <w:jc w:val="center"/>
              <w:rPr>
                <w:noProof/>
                <w:sz w:val="20"/>
              </w:rPr>
            </w:pPr>
          </w:p>
        </w:tc>
        <w:tc>
          <w:tcPr>
            <w:tcW w:w="2874" w:type="dxa"/>
            <w:vAlign w:val="center"/>
          </w:tcPr>
          <w:p>
            <w:pPr>
              <w:jc w:val="center"/>
              <w:rPr>
                <w:noProof/>
                <w:sz w:val="20"/>
              </w:rPr>
            </w:pPr>
            <w:r>
              <w:rPr>
                <w:noProof/>
                <w:sz w:val="20"/>
              </w:rPr>
              <w:t>Έτος</w:t>
            </w:r>
            <w:r>
              <w:rPr>
                <w:noProof/>
                <w:sz w:val="22"/>
              </w:rPr>
              <w:br/>
            </w:r>
            <w:r>
              <w:rPr>
                <w:b/>
                <w:noProof/>
                <w:sz w:val="20"/>
              </w:rPr>
              <w:t>2019</w:t>
            </w:r>
          </w:p>
        </w:tc>
        <w:tc>
          <w:tcPr>
            <w:tcW w:w="2874" w:type="dxa"/>
            <w:vAlign w:val="center"/>
          </w:tcPr>
          <w:p>
            <w:pPr>
              <w:jc w:val="center"/>
              <w:rPr>
                <w:noProof/>
                <w:sz w:val="20"/>
              </w:rPr>
            </w:pPr>
            <w:r>
              <w:rPr>
                <w:noProof/>
                <w:sz w:val="20"/>
              </w:rPr>
              <w:t>Έτος</w:t>
            </w:r>
            <w:r>
              <w:rPr>
                <w:noProof/>
                <w:sz w:val="22"/>
              </w:rPr>
              <w:br/>
            </w:r>
            <w:r>
              <w:rPr>
                <w:b/>
                <w:noProof/>
                <w:sz w:val="20"/>
              </w:rPr>
              <w:t>2020</w:t>
            </w:r>
          </w:p>
        </w:tc>
        <w:tc>
          <w:tcPr>
            <w:tcW w:w="2875"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w:t>
            </w:r>
          </w:p>
        </w:tc>
        <w:tc>
          <w:tcPr>
            <w:tcW w:w="2874" w:type="dxa"/>
            <w:vAlign w:val="center"/>
          </w:tcPr>
          <w:p>
            <w:pPr>
              <w:rPr>
                <w:noProof/>
                <w:sz w:val="20"/>
              </w:rPr>
            </w:pPr>
          </w:p>
        </w:tc>
        <w:tc>
          <w:tcPr>
            <w:tcW w:w="2874" w:type="dxa"/>
            <w:vAlign w:val="center"/>
          </w:tcPr>
          <w:p>
            <w:pPr>
              <w:rPr>
                <w:noProof/>
                <w:sz w:val="20"/>
              </w:rPr>
            </w:pPr>
          </w:p>
        </w:tc>
        <w:tc>
          <w:tcPr>
            <w:tcW w:w="2875" w:type="dxa"/>
            <w:vAlign w:val="center"/>
          </w:tcPr>
          <w:p>
            <w:pPr>
              <w:rPr>
                <w:b/>
                <w:noProof/>
                <w:sz w:val="20"/>
              </w:rPr>
            </w:pPr>
          </w:p>
        </w:tc>
      </w:tr>
      <w:tr>
        <w:trPr>
          <w:trHeight w:val="277"/>
        </w:trPr>
        <w:tc>
          <w:tcPr>
            <w:tcW w:w="3960" w:type="dxa"/>
            <w:vMerge w:val="restart"/>
            <w:vAlign w:val="center"/>
          </w:tcPr>
          <w:p>
            <w:pPr>
              <w:rPr>
                <w:noProof/>
              </w:rPr>
            </w:pPr>
            <w:r>
              <w:rPr>
                <w:noProof/>
                <w:sz w:val="20"/>
              </w:rPr>
              <w:t>Αριθμός γραμμής του προϋπολογισμού 09.040201</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w:t>
            </w:r>
          </w:p>
        </w:tc>
        <w:tc>
          <w:tcPr>
            <w:tcW w:w="2874" w:type="dxa"/>
            <w:vAlign w:val="center"/>
          </w:tcPr>
          <w:p>
            <w:pPr>
              <w:spacing w:before="20" w:after="20"/>
              <w:jc w:val="right"/>
              <w:rPr>
                <w:noProof/>
                <w:sz w:val="20"/>
              </w:rPr>
            </w:pPr>
            <w:r>
              <w:rPr>
                <w:noProof/>
                <w:sz w:val="20"/>
              </w:rPr>
              <w:t>1,000</w:t>
            </w:r>
          </w:p>
        </w:tc>
        <w:tc>
          <w:tcPr>
            <w:tcW w:w="2874" w:type="dxa"/>
            <w:vAlign w:val="center"/>
          </w:tcPr>
          <w:p>
            <w:pPr>
              <w:spacing w:before="20" w:after="20"/>
              <w:jc w:val="right"/>
              <w:rPr>
                <w:noProof/>
                <w:sz w:val="20"/>
              </w:rPr>
            </w:pPr>
            <w:r>
              <w:rPr>
                <w:noProof/>
                <w:sz w:val="20"/>
              </w:rPr>
              <w:t>1,000</w:t>
            </w:r>
          </w:p>
        </w:tc>
        <w:tc>
          <w:tcPr>
            <w:tcW w:w="2875" w:type="dxa"/>
            <w:vAlign w:val="center"/>
          </w:tcPr>
          <w:p>
            <w:pPr>
              <w:spacing w:before="20" w:after="20"/>
              <w:jc w:val="right"/>
              <w:rPr>
                <w:b/>
                <w:noProof/>
                <w:sz w:val="20"/>
              </w:rPr>
            </w:pPr>
            <w:r>
              <w:rPr>
                <w:b/>
                <w:noProof/>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w:t>
            </w:r>
          </w:p>
        </w:tc>
        <w:tc>
          <w:tcPr>
            <w:tcW w:w="2874" w:type="dxa"/>
            <w:vAlign w:val="center"/>
          </w:tcPr>
          <w:p>
            <w:pPr>
              <w:spacing w:before="20" w:after="20"/>
              <w:jc w:val="right"/>
              <w:rPr>
                <w:noProof/>
                <w:sz w:val="20"/>
              </w:rPr>
            </w:pPr>
            <w:r>
              <w:rPr>
                <w:noProof/>
                <w:sz w:val="20"/>
              </w:rPr>
              <w:t>0,100</w:t>
            </w:r>
          </w:p>
        </w:tc>
        <w:tc>
          <w:tcPr>
            <w:tcW w:w="2874" w:type="dxa"/>
            <w:vAlign w:val="center"/>
          </w:tcPr>
          <w:p>
            <w:pPr>
              <w:spacing w:before="20" w:after="20"/>
              <w:jc w:val="right"/>
              <w:rPr>
                <w:noProof/>
                <w:sz w:val="20"/>
              </w:rPr>
            </w:pPr>
            <w:r>
              <w:rPr>
                <w:noProof/>
                <w:sz w:val="20"/>
              </w:rPr>
              <w:t>0,450</w:t>
            </w:r>
          </w:p>
        </w:tc>
        <w:tc>
          <w:tcPr>
            <w:tcW w:w="2875" w:type="dxa"/>
            <w:vAlign w:val="center"/>
          </w:tcPr>
          <w:p>
            <w:pPr>
              <w:spacing w:before="20" w:after="20"/>
              <w:jc w:val="right"/>
              <w:rPr>
                <w:b/>
                <w:noProof/>
                <w:sz w:val="20"/>
              </w:rPr>
            </w:pPr>
            <w:r>
              <w:rPr>
                <w:b/>
                <w:noProof/>
                <w:sz w:val="20"/>
              </w:rPr>
              <w:t>0,550</w:t>
            </w:r>
          </w:p>
        </w:tc>
      </w:tr>
      <w:tr>
        <w:tc>
          <w:tcPr>
            <w:tcW w:w="3960" w:type="dxa"/>
            <w:vMerge w:val="restart"/>
            <w:vAlign w:val="center"/>
          </w:tcPr>
          <w:p>
            <w:pPr>
              <w:rPr>
                <w:noProof/>
              </w:rPr>
            </w:pPr>
            <w:r>
              <w:rPr>
                <w:noProof/>
                <w:sz w:val="20"/>
              </w:rPr>
              <w:t>Αριθμός γραμμής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36"/>
            </w:r>
            <w:r>
              <w:rPr>
                <w:noProof/>
                <w:sz w:val="21"/>
              </w:rPr>
              <w:t xml:space="preserve"> </w:t>
            </w:r>
          </w:p>
          <w:p>
            <w:pPr>
              <w:spacing w:after="0"/>
              <w:rPr>
                <w:noProof/>
              </w:rPr>
            </w:pPr>
          </w:p>
        </w:tc>
        <w:tc>
          <w:tcPr>
            <w:tcW w:w="2874" w:type="dxa"/>
            <w:vAlign w:val="center"/>
          </w:tcPr>
          <w:p>
            <w:pPr>
              <w:rPr>
                <w:b/>
                <w:noProof/>
                <w:sz w:val="20"/>
              </w:rPr>
            </w:pPr>
          </w:p>
        </w:tc>
        <w:tc>
          <w:tcPr>
            <w:tcW w:w="2874" w:type="dxa"/>
            <w:vAlign w:val="center"/>
          </w:tcPr>
          <w:p>
            <w:pPr>
              <w:rPr>
                <w:b/>
                <w:noProof/>
                <w:sz w:val="20"/>
              </w:rPr>
            </w:pPr>
          </w:p>
        </w:tc>
        <w:tc>
          <w:tcPr>
            <w:tcW w:w="2875" w:type="dxa"/>
            <w:vAlign w:val="center"/>
          </w:tcPr>
          <w:p>
            <w:pPr>
              <w:rPr>
                <w:b/>
                <w:noProof/>
                <w:sz w:val="20"/>
              </w:rPr>
            </w:pPr>
          </w:p>
        </w:tc>
      </w:tr>
      <w:tr>
        <w:trPr>
          <w:trHeight w:val="319"/>
        </w:trPr>
        <w:tc>
          <w:tcPr>
            <w:tcW w:w="3960" w:type="dxa"/>
            <w:vAlign w:val="center"/>
          </w:tcPr>
          <w:p>
            <w:pPr>
              <w:spacing w:before="60" w:after="60"/>
              <w:rPr>
                <w:noProof/>
              </w:rPr>
            </w:pPr>
            <w:r>
              <w:rPr>
                <w:noProof/>
                <w:sz w:val="20"/>
              </w:rPr>
              <w:t>Αριθμός γραμμής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2874" w:type="dxa"/>
            <w:vAlign w:val="center"/>
          </w:tcPr>
          <w:p>
            <w:pPr>
              <w:spacing w:before="40" w:after="40"/>
              <w:jc w:val="right"/>
              <w:rPr>
                <w:b/>
                <w:noProof/>
                <w:sz w:val="20"/>
              </w:rPr>
            </w:pPr>
          </w:p>
        </w:tc>
        <w:tc>
          <w:tcPr>
            <w:tcW w:w="2874" w:type="dxa"/>
            <w:vAlign w:val="center"/>
          </w:tcPr>
          <w:p>
            <w:pPr>
              <w:spacing w:before="40" w:after="40"/>
              <w:jc w:val="right"/>
              <w:rPr>
                <w:b/>
                <w:noProof/>
                <w:sz w:val="20"/>
              </w:rPr>
            </w:pPr>
          </w:p>
        </w:tc>
        <w:tc>
          <w:tcPr>
            <w:tcW w:w="2875"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 xml:space="preserve">ΣΥΝΟΛΟ πιστώσεων </w:t>
            </w:r>
            <w:r>
              <w:rPr>
                <w:noProof/>
                <w:sz w:val="22"/>
              </w:rPr>
              <w:br/>
            </w:r>
            <w:r>
              <w:rPr>
                <w:b/>
                <w:noProof/>
                <w:sz w:val="22"/>
              </w:rPr>
              <w:t>για τη ΓΔ CNECT</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=1+1α +3</w:t>
            </w:r>
          </w:p>
        </w:tc>
        <w:tc>
          <w:tcPr>
            <w:tcW w:w="2874" w:type="dxa"/>
            <w:vAlign w:val="center"/>
          </w:tcPr>
          <w:p>
            <w:pPr>
              <w:spacing w:before="20" w:after="20"/>
              <w:jc w:val="right"/>
              <w:rPr>
                <w:noProof/>
                <w:sz w:val="20"/>
              </w:rPr>
            </w:pPr>
            <w:r>
              <w:rPr>
                <w:noProof/>
                <w:sz w:val="20"/>
              </w:rPr>
              <w:t>1,000</w:t>
            </w:r>
          </w:p>
        </w:tc>
        <w:tc>
          <w:tcPr>
            <w:tcW w:w="2874" w:type="dxa"/>
            <w:vAlign w:val="center"/>
          </w:tcPr>
          <w:p>
            <w:pPr>
              <w:spacing w:before="20" w:after="20"/>
              <w:jc w:val="right"/>
              <w:rPr>
                <w:noProof/>
                <w:sz w:val="20"/>
              </w:rPr>
            </w:pPr>
            <w:r>
              <w:rPr>
                <w:noProof/>
                <w:sz w:val="20"/>
              </w:rPr>
              <w:t>1,000</w:t>
            </w:r>
          </w:p>
        </w:tc>
        <w:tc>
          <w:tcPr>
            <w:tcW w:w="2875" w:type="dxa"/>
            <w:vAlign w:val="center"/>
          </w:tcPr>
          <w:p>
            <w:pPr>
              <w:spacing w:before="20" w:after="20"/>
              <w:jc w:val="right"/>
              <w:rPr>
                <w:b/>
                <w:noProof/>
                <w:sz w:val="20"/>
              </w:rPr>
            </w:pPr>
            <w:r>
              <w:rPr>
                <w:b/>
                <w:noProof/>
                <w:sz w:val="20"/>
              </w:rPr>
              <w:t>2,000</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2874" w:type="dxa"/>
            <w:vAlign w:val="center"/>
          </w:tcPr>
          <w:p>
            <w:pPr>
              <w:spacing w:before="20" w:after="20"/>
              <w:jc w:val="right"/>
              <w:rPr>
                <w:noProof/>
                <w:sz w:val="20"/>
              </w:rPr>
            </w:pPr>
            <w:r>
              <w:rPr>
                <w:noProof/>
                <w:sz w:val="20"/>
              </w:rPr>
              <w:t>0,100</w:t>
            </w:r>
          </w:p>
        </w:tc>
        <w:tc>
          <w:tcPr>
            <w:tcW w:w="2874" w:type="dxa"/>
            <w:vAlign w:val="center"/>
          </w:tcPr>
          <w:p>
            <w:pPr>
              <w:spacing w:before="20" w:after="20"/>
              <w:jc w:val="right"/>
              <w:rPr>
                <w:noProof/>
                <w:sz w:val="20"/>
              </w:rPr>
            </w:pPr>
            <w:r>
              <w:rPr>
                <w:noProof/>
                <w:sz w:val="20"/>
              </w:rPr>
              <w:t>0,450</w:t>
            </w:r>
          </w:p>
        </w:tc>
        <w:tc>
          <w:tcPr>
            <w:tcW w:w="2875" w:type="dxa"/>
            <w:vAlign w:val="center"/>
          </w:tcPr>
          <w:p>
            <w:pPr>
              <w:spacing w:before="20" w:after="20"/>
              <w:jc w:val="right"/>
              <w:rPr>
                <w:b/>
                <w:noProof/>
                <w:sz w:val="20"/>
              </w:rPr>
            </w:pPr>
            <w:r>
              <w:rPr>
                <w:b/>
                <w:noProof/>
                <w:sz w:val="20"/>
              </w:rPr>
              <w:t>0,550</w:t>
            </w:r>
          </w:p>
        </w:tc>
      </w:tr>
    </w:tbl>
    <w:p>
      <w:pPr>
        <w:rPr>
          <w:noProof/>
        </w:rPr>
      </w:pPr>
    </w:p>
    <w:p>
      <w:pPr>
        <w:spacing w:after="40"/>
        <w:rPr>
          <w:b/>
          <w:noProof/>
          <w:sz w:val="22"/>
          <w:u w:val="single"/>
        </w:rPr>
      </w:pPr>
      <w:r>
        <w:rPr>
          <w:b/>
          <w:noProof/>
          <w:sz w:val="22"/>
          <w:u w:val="single"/>
        </w:rPr>
        <w:t>Αν η πρόταση/πρωτοβουλία επηρεάζει περισσότερους του ενός τομείς:</w:t>
      </w:r>
    </w:p>
    <w:tbl>
      <w:tblPr>
        <w:tblW w:w="1467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2874"/>
        <w:gridCol w:w="79"/>
        <w:gridCol w:w="2795"/>
        <w:gridCol w:w="40"/>
        <w:gridCol w:w="2835"/>
      </w:tblGrid>
      <w:tr>
        <w:trPr>
          <w:trHeight w:val="277"/>
        </w:trPr>
        <w:tc>
          <w:tcPr>
            <w:tcW w:w="3960" w:type="dxa"/>
            <w:vMerge w:val="restart"/>
            <w:tcBorders>
              <w:top w:val="single" w:sz="4" w:space="0" w:color="auto"/>
              <w:left w:val="single" w:sz="4" w:space="0" w:color="auto"/>
              <w:bottom w:val="single" w:sz="4" w:space="0" w:color="auto"/>
            </w:tcBorders>
            <w:vAlign w:val="center"/>
          </w:tcPr>
          <w:p>
            <w:pPr>
              <w:spacing w:before="20" w:after="20"/>
              <w:rPr>
                <w:noProof/>
              </w:rPr>
            </w:pPr>
            <w:r>
              <w:rPr>
                <w:noProof/>
                <w:sz w:val="21"/>
              </w:rPr>
              <w:sym w:font="Wingdings" w:char="F09F"/>
            </w:r>
            <w:r>
              <w:rPr>
                <w:noProof/>
                <w:sz w:val="21"/>
              </w:rPr>
              <w:t xml:space="preserve"> ΣΥΝΟΛΟ επιχειρησιακών πιστώσεων </w:t>
            </w:r>
          </w:p>
        </w:tc>
        <w:tc>
          <w:tcPr>
            <w:tcW w:w="1440" w:type="dxa"/>
            <w:tcBorders>
              <w:top w:val="single" w:sz="4" w:space="0" w:color="auto"/>
              <w:bottom w:val="single" w:sz="4" w:space="0" w:color="auto"/>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auto"/>
              <w:bottom w:val="single" w:sz="4" w:space="0" w:color="auto"/>
            </w:tcBorders>
            <w:vAlign w:val="center"/>
          </w:tcPr>
          <w:p>
            <w:pPr>
              <w:spacing w:beforeLines="20" w:before="48" w:afterLines="20" w:after="48"/>
              <w:jc w:val="center"/>
              <w:rPr>
                <w:noProof/>
                <w:sz w:val="14"/>
              </w:rPr>
            </w:pPr>
            <w:r>
              <w:rPr>
                <w:noProof/>
                <w:sz w:val="14"/>
              </w:rPr>
              <w:t>4)</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11,285</w:t>
            </w:r>
          </w:p>
        </w:tc>
        <w:tc>
          <w:tcPr>
            <w:tcW w:w="2874" w:type="dxa"/>
            <w:gridSpan w:val="2"/>
            <w:tcBorders>
              <w:top w:val="single" w:sz="4" w:space="0" w:color="auto"/>
              <w:bottom w:val="single" w:sz="4" w:space="0" w:color="auto"/>
            </w:tcBorders>
            <w:vAlign w:val="center"/>
          </w:tcPr>
          <w:p>
            <w:pPr>
              <w:spacing w:before="20" w:after="20"/>
              <w:jc w:val="right"/>
              <w:rPr>
                <w:noProof/>
                <w:sz w:val="20"/>
              </w:rPr>
            </w:pPr>
            <w:r>
              <w:rPr>
                <w:noProof/>
                <w:sz w:val="20"/>
              </w:rPr>
              <w:t>10,185</w:t>
            </w:r>
          </w:p>
        </w:tc>
        <w:tc>
          <w:tcPr>
            <w:tcW w:w="2875" w:type="dxa"/>
            <w:gridSpan w:val="2"/>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21,470</w:t>
            </w:r>
          </w:p>
        </w:tc>
      </w:tr>
      <w:tr>
        <w:tc>
          <w:tcPr>
            <w:tcW w:w="3960" w:type="dxa"/>
            <w:vMerge/>
            <w:tcBorders>
              <w:top w:val="single" w:sz="4" w:space="0" w:color="auto"/>
              <w:left w:val="single" w:sz="4" w:space="0" w:color="auto"/>
              <w:bottom w:val="single" w:sz="4" w:space="0" w:color="auto"/>
            </w:tcBorders>
          </w:tcPr>
          <w:p>
            <w:pPr>
              <w:jc w:val="center"/>
              <w:rPr>
                <w:noProof/>
                <w:sz w:val="20"/>
              </w:rPr>
            </w:pPr>
          </w:p>
        </w:tc>
        <w:tc>
          <w:tcPr>
            <w:tcW w:w="1440" w:type="dxa"/>
            <w:tcBorders>
              <w:top w:val="single" w:sz="4" w:space="0" w:color="auto"/>
              <w:bottom w:val="single" w:sz="4" w:space="0" w:color="auto"/>
            </w:tcBorders>
            <w:vAlign w:val="center"/>
          </w:tcPr>
          <w:p>
            <w:pPr>
              <w:spacing w:beforeLines="20" w:before="48" w:afterLines="20" w:after="48"/>
              <w:rPr>
                <w:noProof/>
                <w:sz w:val="18"/>
              </w:rPr>
            </w:pPr>
            <w:r>
              <w:rPr>
                <w:noProof/>
                <w:sz w:val="18"/>
              </w:rPr>
              <w:t>Πληρωμές</w:t>
            </w:r>
          </w:p>
        </w:tc>
        <w:tc>
          <w:tcPr>
            <w:tcW w:w="654" w:type="dxa"/>
            <w:tcBorders>
              <w:top w:val="single" w:sz="4" w:space="0" w:color="auto"/>
              <w:bottom w:val="single" w:sz="4" w:space="0" w:color="auto"/>
            </w:tcBorders>
            <w:vAlign w:val="center"/>
          </w:tcPr>
          <w:p>
            <w:pPr>
              <w:spacing w:beforeLines="20" w:before="48" w:afterLines="20" w:after="48"/>
              <w:jc w:val="center"/>
              <w:rPr>
                <w:noProof/>
                <w:sz w:val="14"/>
              </w:rPr>
            </w:pPr>
            <w:r>
              <w:rPr>
                <w:noProof/>
                <w:sz w:val="14"/>
              </w:rPr>
              <w:t>5)</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1,129</w:t>
            </w:r>
          </w:p>
        </w:tc>
        <w:tc>
          <w:tcPr>
            <w:tcW w:w="2874" w:type="dxa"/>
            <w:gridSpan w:val="2"/>
            <w:tcBorders>
              <w:top w:val="single" w:sz="4" w:space="0" w:color="auto"/>
              <w:bottom w:val="single" w:sz="4" w:space="0" w:color="auto"/>
            </w:tcBorders>
            <w:vAlign w:val="center"/>
          </w:tcPr>
          <w:p>
            <w:pPr>
              <w:spacing w:before="20" w:after="20"/>
              <w:jc w:val="right"/>
              <w:rPr>
                <w:noProof/>
                <w:sz w:val="20"/>
              </w:rPr>
            </w:pPr>
            <w:r>
              <w:rPr>
                <w:noProof/>
                <w:sz w:val="20"/>
              </w:rPr>
              <w:t>4,968</w:t>
            </w:r>
          </w:p>
        </w:tc>
        <w:tc>
          <w:tcPr>
            <w:tcW w:w="2875" w:type="dxa"/>
            <w:gridSpan w:val="2"/>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6,097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w:t>
            </w:r>
          </w:p>
        </w:tc>
        <w:tc>
          <w:tcPr>
            <w:tcW w:w="654" w:type="dxa"/>
            <w:tcBorders>
              <w:bottom w:val="single" w:sz="4" w:space="0" w:color="auto"/>
            </w:tcBorders>
            <w:vAlign w:val="center"/>
          </w:tcPr>
          <w:p>
            <w:pPr>
              <w:spacing w:beforeLines="20" w:before="48" w:afterLines="20" w:after="48"/>
              <w:jc w:val="center"/>
              <w:rPr>
                <w:noProof/>
                <w:sz w:val="14"/>
              </w:rPr>
            </w:pPr>
            <w:r>
              <w:rPr>
                <w:noProof/>
                <w:sz w:val="14"/>
              </w:rPr>
              <w:t>6)</w:t>
            </w:r>
          </w:p>
        </w:tc>
        <w:tc>
          <w:tcPr>
            <w:tcW w:w="2874" w:type="dxa"/>
            <w:tcBorders>
              <w:bottom w:val="single" w:sz="4" w:space="0" w:color="auto"/>
            </w:tcBorders>
            <w:vAlign w:val="center"/>
          </w:tcPr>
          <w:p>
            <w:pPr>
              <w:spacing w:before="20" w:after="20"/>
              <w:jc w:val="right"/>
              <w:rPr>
                <w:b/>
                <w:noProof/>
                <w:sz w:val="20"/>
              </w:rPr>
            </w:pPr>
          </w:p>
        </w:tc>
        <w:tc>
          <w:tcPr>
            <w:tcW w:w="2874" w:type="dxa"/>
            <w:gridSpan w:val="2"/>
            <w:tcBorders>
              <w:bottom w:val="single" w:sz="4" w:space="0" w:color="auto"/>
            </w:tcBorders>
            <w:vAlign w:val="center"/>
          </w:tcPr>
          <w:p>
            <w:pPr>
              <w:spacing w:before="20" w:after="20"/>
              <w:jc w:val="right"/>
              <w:rPr>
                <w:b/>
                <w:noProof/>
                <w:sz w:val="20"/>
              </w:rPr>
            </w:pPr>
          </w:p>
        </w:tc>
        <w:tc>
          <w:tcPr>
            <w:tcW w:w="2875" w:type="dxa"/>
            <w:gridSpan w:val="2"/>
            <w:tcBorders>
              <w:bottom w:val="single" w:sz="4" w:space="0" w:color="auto"/>
            </w:tcBorders>
            <w:vAlign w:val="center"/>
          </w:tcPr>
          <w:p>
            <w:pPr>
              <w:spacing w:before="20" w:after="20"/>
              <w:jc w:val="right"/>
              <w:rPr>
                <w:b/>
                <w:noProof/>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rPr>
            </w:pPr>
            <w:r>
              <w:rPr>
                <w:b/>
                <w:noProof/>
                <w:sz w:val="22"/>
              </w:rPr>
              <w:t xml:space="preserve">ΣΥΝΟΛΟ πιστώσεων </w:t>
            </w:r>
            <w:r>
              <w:rPr>
                <w:noProof/>
                <w:sz w:val="22"/>
              </w:rPr>
              <w:br/>
            </w:r>
            <w:r>
              <w:rPr>
                <w:b/>
                <w:noProof/>
                <w:sz w:val="22"/>
              </w:rPr>
              <w:t xml:space="preserve">των ΤΟΜΕΩΝ 1 έως 4 </w:t>
            </w:r>
            <w:r>
              <w:rPr>
                <w:noProof/>
                <w:sz w:val="22"/>
              </w:rPr>
              <w:br/>
              <w:t xml:space="preserve">του πολυετούς δημοσιονομικού πλαισίου </w:t>
            </w:r>
            <w:r>
              <w:rPr>
                <w:noProof/>
                <w:sz w:val="22"/>
              </w:rPr>
              <w:br/>
            </w:r>
            <w:r>
              <w:rPr>
                <w:noProof/>
                <w:sz w:val="20"/>
              </w:rPr>
              <w:t>(Ποσό αναφοράς)</w:t>
            </w:r>
          </w:p>
        </w:tc>
        <w:tc>
          <w:tcPr>
            <w:tcW w:w="1440" w:type="dxa"/>
            <w:tcBorders>
              <w:top w:val="single" w:sz="4" w:space="0" w:color="auto"/>
              <w:bottom w:val="single" w:sz="4" w:space="0" w:color="auto"/>
            </w:tcBorders>
            <w:vAlign w:val="center"/>
          </w:tcPr>
          <w:p>
            <w:pPr>
              <w:rPr>
                <w:noProof/>
                <w:sz w:val="18"/>
              </w:rPr>
            </w:pPr>
            <w:r>
              <w:rPr>
                <w:noProof/>
                <w:sz w:val="18"/>
              </w:rPr>
              <w:t>Αναλήψεις υποχρεώσεων</w:t>
            </w:r>
          </w:p>
        </w:tc>
        <w:tc>
          <w:tcPr>
            <w:tcW w:w="654" w:type="dxa"/>
            <w:tcBorders>
              <w:top w:val="single" w:sz="4" w:space="0" w:color="auto"/>
              <w:bottom w:val="single" w:sz="4" w:space="0" w:color="auto"/>
            </w:tcBorders>
            <w:vAlign w:val="center"/>
          </w:tcPr>
          <w:p>
            <w:pPr>
              <w:jc w:val="center"/>
              <w:rPr>
                <w:noProof/>
                <w:sz w:val="14"/>
              </w:rPr>
            </w:pPr>
            <w:r>
              <w:rPr>
                <w:noProof/>
                <w:sz w:val="14"/>
              </w:rPr>
              <w:t>=4+ 6</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11,285</w:t>
            </w:r>
          </w:p>
        </w:tc>
        <w:tc>
          <w:tcPr>
            <w:tcW w:w="2874" w:type="dxa"/>
            <w:gridSpan w:val="2"/>
            <w:tcBorders>
              <w:top w:val="single" w:sz="4" w:space="0" w:color="auto"/>
              <w:bottom w:val="single" w:sz="4" w:space="0" w:color="auto"/>
            </w:tcBorders>
            <w:vAlign w:val="center"/>
          </w:tcPr>
          <w:p>
            <w:pPr>
              <w:spacing w:before="20" w:after="20"/>
              <w:jc w:val="right"/>
              <w:rPr>
                <w:noProof/>
                <w:sz w:val="20"/>
              </w:rPr>
            </w:pPr>
            <w:r>
              <w:rPr>
                <w:noProof/>
                <w:sz w:val="20"/>
              </w:rPr>
              <w:t>10,185</w:t>
            </w:r>
          </w:p>
        </w:tc>
        <w:tc>
          <w:tcPr>
            <w:tcW w:w="2875" w:type="dxa"/>
            <w:gridSpan w:val="2"/>
            <w:tcBorders>
              <w:top w:val="single" w:sz="4" w:space="0" w:color="auto"/>
              <w:bottom w:val="single" w:sz="4" w:space="0" w:color="auto"/>
              <w:right w:val="single" w:sz="4" w:space="0" w:color="auto"/>
            </w:tcBorders>
            <w:vAlign w:val="center"/>
          </w:tcPr>
          <w:p>
            <w:pPr>
              <w:spacing w:before="20" w:after="20"/>
              <w:jc w:val="right"/>
              <w:rPr>
                <w:noProof/>
                <w:sz w:val="20"/>
              </w:rPr>
            </w:pPr>
            <w:r>
              <w:rPr>
                <w:b/>
                <w:noProof/>
                <w:sz w:val="20"/>
              </w:rPr>
              <w:t>21,470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sz w:val="20"/>
              </w:rPr>
            </w:pPr>
          </w:p>
        </w:tc>
        <w:tc>
          <w:tcPr>
            <w:tcW w:w="1440" w:type="dxa"/>
            <w:tcBorders>
              <w:top w:val="single" w:sz="4" w:space="0" w:color="auto"/>
              <w:bottom w:val="single" w:sz="4" w:space="0" w:color="auto"/>
            </w:tcBorders>
            <w:vAlign w:val="center"/>
          </w:tcPr>
          <w:p>
            <w:pPr>
              <w:rPr>
                <w:noProof/>
                <w:sz w:val="18"/>
              </w:rPr>
            </w:pPr>
            <w:r>
              <w:rPr>
                <w:noProof/>
                <w:sz w:val="18"/>
              </w:rPr>
              <w:t>Πληρωμές</w:t>
            </w:r>
          </w:p>
        </w:tc>
        <w:tc>
          <w:tcPr>
            <w:tcW w:w="654" w:type="dxa"/>
            <w:tcBorders>
              <w:top w:val="single" w:sz="4" w:space="0" w:color="auto"/>
              <w:bottom w:val="single" w:sz="4" w:space="0" w:color="auto"/>
            </w:tcBorders>
            <w:vAlign w:val="center"/>
          </w:tcPr>
          <w:p>
            <w:pPr>
              <w:jc w:val="center"/>
              <w:rPr>
                <w:noProof/>
                <w:sz w:val="14"/>
              </w:rPr>
            </w:pPr>
            <w:r>
              <w:rPr>
                <w:noProof/>
                <w:sz w:val="14"/>
              </w:rPr>
              <w:t>=5+ 6</w:t>
            </w:r>
          </w:p>
        </w:tc>
        <w:tc>
          <w:tcPr>
            <w:tcW w:w="2953" w:type="dxa"/>
            <w:gridSpan w:val="2"/>
            <w:tcBorders>
              <w:top w:val="single" w:sz="4" w:space="0" w:color="auto"/>
              <w:bottom w:val="single" w:sz="4" w:space="0" w:color="auto"/>
            </w:tcBorders>
            <w:vAlign w:val="center"/>
          </w:tcPr>
          <w:p>
            <w:pPr>
              <w:spacing w:before="20" w:after="20"/>
              <w:jc w:val="right"/>
              <w:rPr>
                <w:noProof/>
                <w:sz w:val="20"/>
              </w:rPr>
            </w:pPr>
            <w:r>
              <w:rPr>
                <w:noProof/>
                <w:sz w:val="20"/>
              </w:rPr>
              <w:t>1,129</w:t>
            </w:r>
          </w:p>
        </w:tc>
        <w:tc>
          <w:tcPr>
            <w:tcW w:w="2835" w:type="dxa"/>
            <w:gridSpan w:val="2"/>
            <w:tcBorders>
              <w:top w:val="single" w:sz="4" w:space="0" w:color="auto"/>
              <w:bottom w:val="single" w:sz="4" w:space="0" w:color="auto"/>
            </w:tcBorders>
            <w:vAlign w:val="center"/>
          </w:tcPr>
          <w:p>
            <w:pPr>
              <w:spacing w:before="20" w:after="20"/>
              <w:jc w:val="right"/>
              <w:rPr>
                <w:noProof/>
                <w:sz w:val="20"/>
              </w:rPr>
            </w:pPr>
            <w:r>
              <w:rPr>
                <w:noProof/>
                <w:sz w:val="20"/>
              </w:rPr>
              <w:t>4,968</w:t>
            </w:r>
          </w:p>
        </w:tc>
        <w:tc>
          <w:tcPr>
            <w:tcW w:w="2835" w:type="dxa"/>
            <w:tcBorders>
              <w:top w:val="single" w:sz="4" w:space="0" w:color="auto"/>
              <w:bottom w:val="single" w:sz="4" w:space="0" w:color="auto"/>
              <w:right w:val="single" w:sz="4" w:space="0" w:color="auto"/>
            </w:tcBorders>
            <w:vAlign w:val="center"/>
          </w:tcPr>
          <w:p>
            <w:pPr>
              <w:spacing w:before="20" w:after="20"/>
              <w:jc w:val="right"/>
              <w:rPr>
                <w:noProof/>
                <w:sz w:val="20"/>
              </w:rPr>
            </w:pPr>
            <w:r>
              <w:rPr>
                <w:b/>
                <w:noProof/>
                <w:sz w:val="20"/>
              </w:rPr>
              <w:t>6,097</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Τομέας του πολυετούς δημοσιονομικού πλαισίου</w:t>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«Διοικητικές δαπάνες»</w:t>
            </w:r>
          </w:p>
        </w:tc>
      </w:tr>
    </w:tbl>
    <w:p>
      <w:pPr>
        <w:jc w:val="right"/>
        <w:rPr>
          <w:noProof/>
          <w:sz w:val="20"/>
        </w:rPr>
      </w:pPr>
      <w:r>
        <w:rPr>
          <w:noProof/>
          <w:sz w:val="20"/>
        </w:rPr>
        <w:t>Σε εκατ. EUR (με 3 δεκαδικά ψηφία)</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2874" w:type="dxa"/>
            <w:vAlign w:val="center"/>
          </w:tcPr>
          <w:p>
            <w:pPr>
              <w:jc w:val="center"/>
              <w:rPr>
                <w:noProof/>
                <w:sz w:val="20"/>
              </w:rPr>
            </w:pPr>
            <w:r>
              <w:rPr>
                <w:noProof/>
                <w:sz w:val="20"/>
              </w:rPr>
              <w:t>Έτος</w:t>
            </w:r>
            <w:r>
              <w:rPr>
                <w:noProof/>
                <w:sz w:val="22"/>
              </w:rPr>
              <w:br/>
            </w:r>
            <w:r>
              <w:rPr>
                <w:b/>
                <w:noProof/>
                <w:sz w:val="20"/>
              </w:rPr>
              <w:t>2019</w:t>
            </w:r>
          </w:p>
        </w:tc>
        <w:tc>
          <w:tcPr>
            <w:tcW w:w="2874" w:type="dxa"/>
            <w:vAlign w:val="center"/>
          </w:tcPr>
          <w:p>
            <w:pPr>
              <w:jc w:val="center"/>
              <w:rPr>
                <w:noProof/>
                <w:sz w:val="20"/>
              </w:rPr>
            </w:pPr>
            <w:r>
              <w:rPr>
                <w:noProof/>
                <w:sz w:val="20"/>
              </w:rPr>
              <w:t>Έτος</w:t>
            </w:r>
            <w:r>
              <w:rPr>
                <w:noProof/>
                <w:sz w:val="22"/>
              </w:rPr>
              <w:br/>
            </w:r>
            <w:r>
              <w:rPr>
                <w:b/>
                <w:noProof/>
                <w:sz w:val="20"/>
              </w:rPr>
              <w:t>2020</w:t>
            </w:r>
          </w:p>
        </w:tc>
        <w:tc>
          <w:tcPr>
            <w:tcW w:w="2875" w:type="dxa"/>
            <w:vAlign w:val="center"/>
          </w:tcPr>
          <w:p>
            <w:pPr>
              <w:jc w:val="center"/>
              <w:rPr>
                <w:b/>
                <w:noProof/>
                <w:sz w:val="20"/>
              </w:rPr>
            </w:pPr>
            <w:r>
              <w:rPr>
                <w:b/>
                <w:noProof/>
                <w:sz w:val="20"/>
              </w:rPr>
              <w:t>ΣΥΝΟΛΟ</w:t>
            </w:r>
          </w:p>
        </w:tc>
      </w:tr>
      <w:tr>
        <w:trPr>
          <w:gridAfter w:val="5"/>
          <w:wAfter w:w="10717" w:type="dxa"/>
        </w:trPr>
        <w:tc>
          <w:tcPr>
            <w:tcW w:w="3960" w:type="dxa"/>
            <w:vAlign w:val="center"/>
          </w:tcPr>
          <w:p>
            <w:pPr>
              <w:spacing w:before="60" w:after="60"/>
              <w:jc w:val="center"/>
              <w:rPr>
                <w:noProof/>
              </w:rPr>
            </w:pPr>
            <w:r>
              <w:rPr>
                <w:noProof/>
                <w:sz w:val="22"/>
              </w:rPr>
              <w:t>ΓΔ: ESTAT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Ανθρώπινοι πόροι </w:t>
            </w:r>
          </w:p>
        </w:tc>
        <w:tc>
          <w:tcPr>
            <w:tcW w:w="2874" w:type="dxa"/>
            <w:vAlign w:val="center"/>
          </w:tcPr>
          <w:p>
            <w:pPr>
              <w:spacing w:before="20" w:after="20"/>
              <w:jc w:val="right"/>
              <w:rPr>
                <w:noProof/>
                <w:sz w:val="20"/>
              </w:rPr>
            </w:pPr>
            <w:r>
              <w:rPr>
                <w:noProof/>
                <w:sz w:val="16"/>
              </w:rPr>
              <w:t>11,850</w:t>
            </w:r>
          </w:p>
        </w:tc>
        <w:tc>
          <w:tcPr>
            <w:tcW w:w="2874" w:type="dxa"/>
            <w:vAlign w:val="center"/>
          </w:tcPr>
          <w:p>
            <w:pPr>
              <w:spacing w:before="20" w:after="20"/>
              <w:jc w:val="right"/>
              <w:rPr>
                <w:noProof/>
                <w:sz w:val="20"/>
              </w:rPr>
            </w:pPr>
            <w:r>
              <w:rPr>
                <w:noProof/>
                <w:sz w:val="16"/>
              </w:rPr>
              <w:t>11,883</w:t>
            </w:r>
          </w:p>
        </w:tc>
        <w:tc>
          <w:tcPr>
            <w:tcW w:w="2875" w:type="dxa"/>
            <w:vAlign w:val="center"/>
          </w:tcPr>
          <w:p>
            <w:pPr>
              <w:spacing w:before="20" w:after="20"/>
              <w:jc w:val="right"/>
              <w:rPr>
                <w:b/>
                <w:noProof/>
                <w:sz w:val="20"/>
              </w:rPr>
            </w:pPr>
            <w:r>
              <w:rPr>
                <w:b/>
                <w:noProof/>
                <w:sz w:val="20"/>
              </w:rPr>
              <w:t>23,733</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Άλλες διοικητικές δαπάνες </w:t>
            </w:r>
          </w:p>
        </w:tc>
        <w:tc>
          <w:tcPr>
            <w:tcW w:w="2874" w:type="dxa"/>
            <w:vAlign w:val="center"/>
          </w:tcPr>
          <w:p>
            <w:pPr>
              <w:spacing w:before="20" w:after="20"/>
              <w:jc w:val="right"/>
              <w:rPr>
                <w:b/>
                <w:noProof/>
                <w:sz w:val="20"/>
              </w:rPr>
            </w:pPr>
            <w:r>
              <w:rPr>
                <w:noProof/>
                <w:sz w:val="16"/>
              </w:rPr>
              <w:t>0,625</w:t>
            </w:r>
          </w:p>
        </w:tc>
        <w:tc>
          <w:tcPr>
            <w:tcW w:w="2874" w:type="dxa"/>
            <w:vAlign w:val="center"/>
          </w:tcPr>
          <w:p>
            <w:pPr>
              <w:spacing w:before="20" w:after="20"/>
              <w:jc w:val="right"/>
              <w:rPr>
                <w:b/>
                <w:noProof/>
                <w:sz w:val="20"/>
              </w:rPr>
            </w:pPr>
            <w:r>
              <w:rPr>
                <w:noProof/>
                <w:sz w:val="16"/>
              </w:rPr>
              <w:t>0,625</w:t>
            </w:r>
          </w:p>
        </w:tc>
        <w:tc>
          <w:tcPr>
            <w:tcW w:w="2875" w:type="dxa"/>
            <w:vAlign w:val="center"/>
          </w:tcPr>
          <w:p>
            <w:pPr>
              <w:spacing w:before="20" w:after="20"/>
              <w:jc w:val="right"/>
              <w:rPr>
                <w:b/>
                <w:noProof/>
                <w:sz w:val="20"/>
              </w:rPr>
            </w:pPr>
            <w:r>
              <w:rPr>
                <w:b/>
                <w:noProof/>
                <w:sz w:val="20"/>
              </w:rPr>
              <w:t>1,250</w:t>
            </w:r>
          </w:p>
        </w:tc>
      </w:tr>
      <w:tr>
        <w:tc>
          <w:tcPr>
            <w:tcW w:w="3960" w:type="dxa"/>
            <w:vAlign w:val="center"/>
          </w:tcPr>
          <w:p>
            <w:pPr>
              <w:jc w:val="center"/>
              <w:rPr>
                <w:b/>
                <w:noProof/>
              </w:rPr>
            </w:pPr>
            <w:r>
              <w:rPr>
                <w:b/>
                <w:noProof/>
                <w:sz w:val="22"/>
              </w:rPr>
              <w:t xml:space="preserve">ΣΥΝΟΛΟ ΓΔ </w:t>
            </w:r>
            <w:r>
              <w:rPr>
                <w:noProof/>
                <w:sz w:val="22"/>
              </w:rPr>
              <w:t>ESTAT</w:t>
            </w:r>
          </w:p>
        </w:tc>
        <w:tc>
          <w:tcPr>
            <w:tcW w:w="2094" w:type="dxa"/>
            <w:gridSpan w:val="2"/>
            <w:vAlign w:val="center"/>
          </w:tcPr>
          <w:p>
            <w:pPr>
              <w:rPr>
                <w:noProof/>
                <w:sz w:val="14"/>
              </w:rPr>
            </w:pPr>
          </w:p>
        </w:tc>
        <w:tc>
          <w:tcPr>
            <w:tcW w:w="2874" w:type="dxa"/>
            <w:vAlign w:val="center"/>
          </w:tcPr>
          <w:p>
            <w:pPr>
              <w:spacing w:before="60" w:after="60"/>
              <w:jc w:val="right"/>
              <w:rPr>
                <w:noProof/>
                <w:sz w:val="20"/>
              </w:rPr>
            </w:pPr>
            <w:r>
              <w:rPr>
                <w:noProof/>
                <w:sz w:val="16"/>
              </w:rPr>
              <w:t>12,475</w:t>
            </w:r>
          </w:p>
        </w:tc>
        <w:tc>
          <w:tcPr>
            <w:tcW w:w="2874" w:type="dxa"/>
            <w:vAlign w:val="center"/>
          </w:tcPr>
          <w:p>
            <w:pPr>
              <w:spacing w:before="20" w:after="20"/>
              <w:jc w:val="right"/>
              <w:rPr>
                <w:noProof/>
                <w:sz w:val="20"/>
              </w:rPr>
            </w:pPr>
            <w:r>
              <w:rPr>
                <w:noProof/>
                <w:sz w:val="20"/>
              </w:rPr>
              <w:t>12,508</w:t>
            </w:r>
          </w:p>
        </w:tc>
        <w:tc>
          <w:tcPr>
            <w:tcW w:w="2875" w:type="dxa"/>
            <w:vAlign w:val="center"/>
          </w:tcPr>
          <w:p>
            <w:pPr>
              <w:spacing w:before="20" w:after="20"/>
              <w:jc w:val="right"/>
              <w:rPr>
                <w:b/>
                <w:noProof/>
                <w:sz w:val="20"/>
              </w:rPr>
            </w:pPr>
            <w:r>
              <w:rPr>
                <w:b/>
                <w:noProof/>
                <w:sz w:val="20"/>
              </w:rPr>
              <w:t>24,983</w:t>
            </w:r>
          </w:p>
        </w:tc>
      </w:tr>
    </w:tbl>
    <w:p>
      <w:pPr>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2874"/>
        <w:gridCol w:w="2874"/>
        <w:gridCol w:w="2875"/>
      </w:tblGrid>
      <w:tr>
        <w:tc>
          <w:tcPr>
            <w:tcW w:w="3960" w:type="dxa"/>
            <w:shd w:val="thinDiagStripe" w:color="C0C0C0" w:fill="auto"/>
            <w:vAlign w:val="center"/>
          </w:tcPr>
          <w:p>
            <w:pPr>
              <w:jc w:val="center"/>
              <w:rPr>
                <w:b/>
                <w:noProof/>
              </w:rPr>
            </w:pPr>
            <w:r>
              <w:rPr>
                <w:b/>
                <w:noProof/>
                <w:sz w:val="22"/>
              </w:rPr>
              <w:t xml:space="preserve">ΣΥΝΟΛΟ πιστώσεων </w:t>
            </w:r>
            <w:r>
              <w:rPr>
                <w:noProof/>
                <w:sz w:val="22"/>
              </w:rPr>
              <w:br/>
            </w:r>
            <w:r>
              <w:rPr>
                <w:b/>
                <w:noProof/>
                <w:sz w:val="22"/>
              </w:rPr>
              <w:t>του ΤΟΜΕΑ 5</w:t>
            </w:r>
            <w:r>
              <w:rPr>
                <w:noProof/>
                <w:sz w:val="22"/>
              </w:rPr>
              <w:br/>
              <w:t>του πολυετούς δημοσιονομικού πλαισίου</w:t>
            </w:r>
            <w:r>
              <w:rPr>
                <w:b/>
                <w:noProof/>
                <w:sz w:val="22"/>
              </w:rPr>
              <w:t xml:space="preserve"> </w:t>
            </w:r>
          </w:p>
        </w:tc>
        <w:tc>
          <w:tcPr>
            <w:tcW w:w="2094" w:type="dxa"/>
            <w:vAlign w:val="center"/>
          </w:tcPr>
          <w:p>
            <w:pPr>
              <w:spacing w:before="40" w:after="40"/>
              <w:rPr>
                <w:noProof/>
              </w:rPr>
            </w:pPr>
            <w:r>
              <w:rPr>
                <w:noProof/>
                <w:sz w:val="18"/>
              </w:rPr>
              <w:t>(Σύνολο πιστώσεων ανάληψης υποχρεώσεων = Σύνολο πληρωμών)</w:t>
            </w:r>
          </w:p>
        </w:tc>
        <w:tc>
          <w:tcPr>
            <w:tcW w:w="2874" w:type="dxa"/>
            <w:vAlign w:val="center"/>
          </w:tcPr>
          <w:p>
            <w:pPr>
              <w:spacing w:before="20" w:after="20"/>
              <w:jc w:val="right"/>
              <w:rPr>
                <w:noProof/>
                <w:sz w:val="20"/>
              </w:rPr>
            </w:pPr>
            <w:r>
              <w:rPr>
                <w:noProof/>
                <w:sz w:val="20"/>
              </w:rPr>
              <w:t>12,475</w:t>
            </w:r>
          </w:p>
        </w:tc>
        <w:tc>
          <w:tcPr>
            <w:tcW w:w="2874" w:type="dxa"/>
            <w:vAlign w:val="center"/>
          </w:tcPr>
          <w:p>
            <w:pPr>
              <w:spacing w:before="20" w:after="20"/>
              <w:jc w:val="right"/>
              <w:rPr>
                <w:noProof/>
                <w:sz w:val="20"/>
              </w:rPr>
            </w:pPr>
            <w:r>
              <w:rPr>
                <w:noProof/>
                <w:sz w:val="20"/>
              </w:rPr>
              <w:t>12,508</w:t>
            </w:r>
          </w:p>
        </w:tc>
        <w:tc>
          <w:tcPr>
            <w:tcW w:w="2875" w:type="dxa"/>
            <w:vAlign w:val="center"/>
          </w:tcPr>
          <w:p>
            <w:pPr>
              <w:spacing w:before="20" w:after="20"/>
              <w:jc w:val="right"/>
              <w:rPr>
                <w:b/>
                <w:noProof/>
                <w:sz w:val="20"/>
              </w:rPr>
            </w:pPr>
            <w:r>
              <w:rPr>
                <w:b/>
                <w:noProof/>
                <w:sz w:val="20"/>
              </w:rPr>
              <w:t>24,983</w:t>
            </w:r>
          </w:p>
        </w:tc>
      </w:tr>
    </w:tbl>
    <w:p>
      <w:pPr>
        <w:jc w:val="right"/>
        <w:rPr>
          <w:noProof/>
          <w:sz w:val="20"/>
        </w:rPr>
      </w:pPr>
      <w:r>
        <w:rPr>
          <w:noProof/>
          <w:sz w:val="20"/>
        </w:rPr>
        <w:t>Σε εκατ. EUR (με 3 δεκαδικά ψηφία)</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2874" w:type="dxa"/>
            <w:vAlign w:val="center"/>
          </w:tcPr>
          <w:p>
            <w:pPr>
              <w:jc w:val="center"/>
              <w:rPr>
                <w:noProof/>
                <w:sz w:val="20"/>
              </w:rPr>
            </w:pPr>
            <w:r>
              <w:rPr>
                <w:noProof/>
                <w:sz w:val="20"/>
              </w:rPr>
              <w:t>Έτος</w:t>
            </w:r>
            <w:r>
              <w:rPr>
                <w:noProof/>
                <w:sz w:val="22"/>
              </w:rPr>
              <w:br/>
            </w:r>
            <w:r>
              <w:rPr>
                <w:b/>
                <w:noProof/>
                <w:sz w:val="20"/>
              </w:rPr>
              <w:t>2019</w:t>
            </w:r>
          </w:p>
        </w:tc>
        <w:tc>
          <w:tcPr>
            <w:tcW w:w="2874" w:type="dxa"/>
            <w:vAlign w:val="center"/>
          </w:tcPr>
          <w:p>
            <w:pPr>
              <w:jc w:val="center"/>
              <w:rPr>
                <w:noProof/>
                <w:sz w:val="20"/>
              </w:rPr>
            </w:pPr>
            <w:r>
              <w:rPr>
                <w:noProof/>
                <w:sz w:val="20"/>
              </w:rPr>
              <w:t>Έτος</w:t>
            </w:r>
            <w:r>
              <w:rPr>
                <w:noProof/>
                <w:sz w:val="22"/>
              </w:rPr>
              <w:br/>
            </w:r>
            <w:r>
              <w:rPr>
                <w:b/>
                <w:noProof/>
                <w:sz w:val="20"/>
              </w:rPr>
              <w:t>2020</w:t>
            </w:r>
          </w:p>
        </w:tc>
        <w:tc>
          <w:tcPr>
            <w:tcW w:w="2875"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rPr>
            </w:pPr>
            <w:r>
              <w:rPr>
                <w:b/>
                <w:noProof/>
                <w:sz w:val="22"/>
              </w:rPr>
              <w:t xml:space="preserve">ΣΥΝΟΛΟ πιστώσεων </w:t>
            </w:r>
            <w:r>
              <w:rPr>
                <w:noProof/>
                <w:sz w:val="22"/>
              </w:rPr>
              <w:br/>
            </w:r>
            <w:r>
              <w:rPr>
                <w:b/>
                <w:noProof/>
                <w:sz w:val="22"/>
              </w:rPr>
              <w:t xml:space="preserve">των ΤΟΜΕΩΝ 1 έως 5 </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2874" w:type="dxa"/>
            <w:vAlign w:val="center"/>
          </w:tcPr>
          <w:p>
            <w:pPr>
              <w:spacing w:before="60" w:after="60"/>
              <w:jc w:val="right"/>
              <w:rPr>
                <w:noProof/>
                <w:sz w:val="20"/>
              </w:rPr>
            </w:pPr>
            <w:r>
              <w:rPr>
                <w:noProof/>
                <w:sz w:val="20"/>
              </w:rPr>
              <w:t>23,760</w:t>
            </w:r>
          </w:p>
        </w:tc>
        <w:tc>
          <w:tcPr>
            <w:tcW w:w="2874" w:type="dxa"/>
            <w:vAlign w:val="center"/>
          </w:tcPr>
          <w:p>
            <w:pPr>
              <w:spacing w:before="60" w:after="60"/>
              <w:jc w:val="right"/>
              <w:rPr>
                <w:noProof/>
                <w:sz w:val="20"/>
              </w:rPr>
            </w:pPr>
            <w:r>
              <w:rPr>
                <w:noProof/>
                <w:sz w:val="20"/>
              </w:rPr>
              <w:t>22,693</w:t>
            </w:r>
          </w:p>
        </w:tc>
        <w:tc>
          <w:tcPr>
            <w:tcW w:w="2875" w:type="dxa"/>
            <w:vAlign w:val="center"/>
          </w:tcPr>
          <w:p>
            <w:pPr>
              <w:spacing w:before="60" w:after="60"/>
              <w:jc w:val="right"/>
              <w:rPr>
                <w:b/>
                <w:noProof/>
                <w:sz w:val="20"/>
              </w:rPr>
            </w:pPr>
            <w:r>
              <w:rPr>
                <w:b/>
                <w:noProof/>
                <w:sz w:val="20"/>
              </w:rPr>
              <w:t>46,453</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2874" w:type="dxa"/>
            <w:vAlign w:val="center"/>
          </w:tcPr>
          <w:p>
            <w:pPr>
              <w:spacing w:before="60" w:after="60"/>
              <w:jc w:val="right"/>
              <w:rPr>
                <w:noProof/>
                <w:sz w:val="20"/>
              </w:rPr>
            </w:pPr>
            <w:r>
              <w:rPr>
                <w:noProof/>
                <w:sz w:val="20"/>
              </w:rPr>
              <w:t>13,604</w:t>
            </w:r>
          </w:p>
        </w:tc>
        <w:tc>
          <w:tcPr>
            <w:tcW w:w="2874" w:type="dxa"/>
            <w:vAlign w:val="center"/>
          </w:tcPr>
          <w:p>
            <w:pPr>
              <w:spacing w:before="60" w:after="60"/>
              <w:jc w:val="right"/>
              <w:rPr>
                <w:noProof/>
                <w:sz w:val="20"/>
              </w:rPr>
            </w:pPr>
            <w:r>
              <w:rPr>
                <w:noProof/>
                <w:sz w:val="20"/>
              </w:rPr>
              <w:t>17,476</w:t>
            </w:r>
          </w:p>
        </w:tc>
        <w:tc>
          <w:tcPr>
            <w:tcW w:w="2875" w:type="dxa"/>
            <w:vAlign w:val="center"/>
          </w:tcPr>
          <w:p>
            <w:pPr>
              <w:spacing w:before="60" w:after="60"/>
              <w:jc w:val="right"/>
              <w:rPr>
                <w:b/>
                <w:noProof/>
                <w:sz w:val="20"/>
              </w:rPr>
            </w:pPr>
            <w:r>
              <w:rPr>
                <w:b/>
                <w:noProof/>
                <w:sz w:val="20"/>
              </w:rPr>
              <w:t>31,080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Εκτιμώμενες επιπτώσεις στις επιχειρησιακές πιστώσεις </w:t>
      </w:r>
    </w:p>
    <w:p>
      <w:pPr>
        <w:pStyle w:val="ListDash1"/>
        <w:rPr>
          <w:noProof/>
        </w:rPr>
      </w:pPr>
      <w:r>
        <w:rPr>
          <w:noProof/>
        </w:rPr>
        <w:sym w:font="Wingdings" w:char="F0A8"/>
      </w:r>
      <w:r>
        <w:rPr>
          <w:noProof/>
        </w:rPr>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FD"/>
      </w:r>
      <w:r>
        <w:rPr>
          <w:noProof/>
        </w:rPr>
        <w:tab/>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EUR (με 3 δεκαδικά ψηφία)</w:t>
      </w:r>
    </w:p>
    <w:tbl>
      <w:tblPr>
        <w:tblpPr w:leftFromText="180" w:rightFromText="180" w:vertAnchor="text" w:tblpXSpec="center" w:tblpY="1"/>
        <w:tblOverlap w:val="never"/>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676"/>
        <w:gridCol w:w="9"/>
        <w:gridCol w:w="700"/>
        <w:gridCol w:w="754"/>
        <w:gridCol w:w="725"/>
        <w:gridCol w:w="8"/>
        <w:gridCol w:w="373"/>
        <w:gridCol w:w="159"/>
        <w:gridCol w:w="561"/>
        <w:gridCol w:w="159"/>
        <w:gridCol w:w="214"/>
        <w:gridCol w:w="20"/>
        <w:gridCol w:w="147"/>
        <w:gridCol w:w="339"/>
        <w:gridCol w:w="381"/>
        <w:gridCol w:w="555"/>
        <w:gridCol w:w="32"/>
        <w:gridCol w:w="32"/>
        <w:gridCol w:w="101"/>
        <w:gridCol w:w="520"/>
        <w:gridCol w:w="416"/>
        <w:gridCol w:w="304"/>
        <w:gridCol w:w="102"/>
        <w:gridCol w:w="43"/>
        <w:gridCol w:w="236"/>
        <w:gridCol w:w="159"/>
        <w:gridCol w:w="561"/>
        <w:gridCol w:w="87"/>
        <w:gridCol w:w="388"/>
        <w:gridCol w:w="44"/>
        <w:gridCol w:w="11"/>
        <w:gridCol w:w="11"/>
        <w:gridCol w:w="648"/>
        <w:gridCol w:w="50"/>
        <w:gridCol w:w="382"/>
        <w:gridCol w:w="158"/>
        <w:gridCol w:w="171"/>
        <w:gridCol w:w="71"/>
        <w:gridCol w:w="320"/>
        <w:gridCol w:w="158"/>
        <w:gridCol w:w="382"/>
        <w:gridCol w:w="338"/>
        <w:gridCol w:w="254"/>
        <w:gridCol w:w="128"/>
        <w:gridCol w:w="720"/>
        <w:gridCol w:w="256"/>
      </w:tblGrid>
      <w:tr>
        <w:trPr>
          <w:gridAfter w:val="8"/>
          <w:wAfter w:w="2556" w:type="dxa"/>
        </w:trPr>
        <w:tc>
          <w:tcPr>
            <w:tcW w:w="1405"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1685" w:type="dxa"/>
            <w:gridSpan w:val="2"/>
            <w:vAlign w:val="center"/>
          </w:tcPr>
          <w:p>
            <w:pPr>
              <w:ind w:right="-29"/>
              <w:jc w:val="center"/>
              <w:rPr>
                <w:noProof/>
                <w:sz w:val="18"/>
                <w:szCs w:val="18"/>
              </w:rPr>
            </w:pPr>
          </w:p>
        </w:tc>
        <w:tc>
          <w:tcPr>
            <w:tcW w:w="700" w:type="dxa"/>
            <w:vAlign w:val="center"/>
          </w:tcPr>
          <w:p>
            <w:pPr>
              <w:ind w:right="-29"/>
              <w:jc w:val="center"/>
              <w:rPr>
                <w:noProof/>
                <w:sz w:val="18"/>
                <w:szCs w:val="18"/>
              </w:rPr>
            </w:pPr>
          </w:p>
        </w:tc>
        <w:tc>
          <w:tcPr>
            <w:tcW w:w="2973" w:type="dxa"/>
            <w:gridSpan w:val="9"/>
            <w:tcBorders>
              <w:left w:val="nil"/>
            </w:tcBorders>
            <w:vAlign w:val="center"/>
          </w:tcPr>
          <w:p>
            <w:pPr>
              <w:ind w:right="-29"/>
              <w:jc w:val="center"/>
              <w:rPr>
                <w:noProof/>
                <w:sz w:val="18"/>
                <w:szCs w:val="18"/>
              </w:rPr>
            </w:pPr>
            <w:r>
              <w:rPr>
                <w:noProof/>
                <w:sz w:val="18"/>
              </w:rPr>
              <w:t>Έτος</w:t>
            </w:r>
            <w:r>
              <w:rPr>
                <w:noProof/>
                <w:sz w:val="22"/>
              </w:rPr>
              <w:br/>
            </w:r>
            <w:r>
              <w:rPr>
                <w:b/>
                <w:noProof/>
                <w:sz w:val="18"/>
              </w:rPr>
              <w:t>2019</w:t>
            </w:r>
          </w:p>
        </w:tc>
        <w:tc>
          <w:tcPr>
            <w:tcW w:w="2972" w:type="dxa"/>
            <w:gridSpan w:val="12"/>
            <w:vAlign w:val="center"/>
          </w:tcPr>
          <w:p>
            <w:pPr>
              <w:ind w:right="-29"/>
              <w:jc w:val="center"/>
              <w:rPr>
                <w:noProof/>
                <w:sz w:val="18"/>
                <w:szCs w:val="18"/>
              </w:rPr>
            </w:pPr>
            <w:r>
              <w:rPr>
                <w:noProof/>
                <w:sz w:val="18"/>
              </w:rPr>
              <w:t>Έτος</w:t>
            </w:r>
            <w:r>
              <w:rPr>
                <w:noProof/>
                <w:sz w:val="22"/>
              </w:rPr>
              <w:br/>
            </w:r>
            <w:r>
              <w:rPr>
                <w:b/>
                <w:noProof/>
                <w:sz w:val="18"/>
              </w:rPr>
              <w:t>2020</w:t>
            </w:r>
          </w:p>
        </w:tc>
        <w:tc>
          <w:tcPr>
            <w:tcW w:w="2977" w:type="dxa"/>
            <w:gridSpan w:val="14"/>
            <w:tcBorders>
              <w:left w:val="nil"/>
              <w:bottom w:val="single" w:sz="4" w:space="0" w:color="auto"/>
            </w:tcBorders>
            <w:vAlign w:val="center"/>
          </w:tcPr>
          <w:p>
            <w:pPr>
              <w:ind w:right="-29"/>
              <w:jc w:val="center"/>
              <w:rPr>
                <w:noProof/>
                <w:sz w:val="18"/>
                <w:szCs w:val="18"/>
              </w:rPr>
            </w:pPr>
            <w:r>
              <w:rPr>
                <w:b/>
                <w:noProof/>
                <w:sz w:val="18"/>
              </w:rPr>
              <w:t>ΣΥΝΟΛΟ</w:t>
            </w:r>
          </w:p>
        </w:tc>
      </w:tr>
      <w:tr>
        <w:trPr>
          <w:gridAfter w:val="44"/>
          <w:wAfter w:w="12178" w:type="dxa"/>
        </w:trPr>
        <w:tc>
          <w:tcPr>
            <w:tcW w:w="1405" w:type="dxa"/>
            <w:vMerge/>
            <w:vAlign w:val="center"/>
          </w:tcPr>
          <w:p>
            <w:pPr>
              <w:ind w:right="-29"/>
              <w:jc w:val="center"/>
              <w:rPr>
                <w:noProof/>
                <w:sz w:val="18"/>
                <w:szCs w:val="18"/>
              </w:rPr>
            </w:pPr>
          </w:p>
        </w:tc>
        <w:tc>
          <w:tcPr>
            <w:tcW w:w="1685" w:type="dxa"/>
            <w:gridSpan w:val="2"/>
            <w:vAlign w:val="center"/>
          </w:tcPr>
          <w:p>
            <w:pPr>
              <w:spacing w:before="60" w:after="60"/>
              <w:ind w:right="-29"/>
              <w:jc w:val="center"/>
              <w:rPr>
                <w:noProof/>
                <w:sz w:val="18"/>
                <w:szCs w:val="18"/>
              </w:rPr>
            </w:pPr>
            <w:r>
              <w:rPr>
                <w:b/>
                <w:noProof/>
                <w:sz w:val="18"/>
              </w:rPr>
              <w:t>ΑΠΟΤΕΛΕΣΜΑΤΑ</w:t>
            </w:r>
          </w:p>
        </w:tc>
      </w:tr>
      <w:tr>
        <w:trPr>
          <w:gridAfter w:val="8"/>
          <w:wAfter w:w="2556" w:type="dxa"/>
          <w:cantSplit/>
          <w:trHeight w:val="1134"/>
        </w:trPr>
        <w:tc>
          <w:tcPr>
            <w:tcW w:w="1405" w:type="dxa"/>
            <w:vMerge/>
            <w:vAlign w:val="center"/>
          </w:tcPr>
          <w:p>
            <w:pPr>
              <w:rPr>
                <w:noProof/>
                <w:sz w:val="18"/>
                <w:szCs w:val="18"/>
              </w:rPr>
            </w:pPr>
          </w:p>
        </w:tc>
        <w:tc>
          <w:tcPr>
            <w:tcW w:w="1685" w:type="dxa"/>
            <w:gridSpan w:val="2"/>
            <w:vAlign w:val="center"/>
          </w:tcPr>
          <w:p>
            <w:pPr>
              <w:jc w:val="center"/>
              <w:rPr>
                <w:noProof/>
                <w:sz w:val="18"/>
                <w:szCs w:val="18"/>
              </w:rPr>
            </w:pPr>
            <w:r>
              <w:rPr>
                <w:noProof/>
                <w:sz w:val="18"/>
              </w:rPr>
              <w:t>Είδος</w:t>
            </w:r>
            <w:r>
              <w:rPr>
                <w:rStyle w:val="FootnoteReference"/>
                <w:noProof/>
                <w:sz w:val="18"/>
              </w:rPr>
              <w:footnoteReference w:id="37"/>
            </w:r>
          </w:p>
          <w:p>
            <w:pPr>
              <w:spacing w:after="0"/>
              <w:jc w:val="center"/>
              <w:rPr>
                <w:noProof/>
                <w:sz w:val="18"/>
                <w:szCs w:val="18"/>
              </w:rPr>
            </w:pPr>
          </w:p>
        </w:tc>
        <w:tc>
          <w:tcPr>
            <w:tcW w:w="700" w:type="dxa"/>
            <w:vAlign w:val="center"/>
          </w:tcPr>
          <w:p>
            <w:pPr>
              <w:jc w:val="center"/>
              <w:rPr>
                <w:noProof/>
                <w:sz w:val="18"/>
                <w:szCs w:val="18"/>
              </w:rPr>
            </w:pPr>
            <w:r>
              <w:rPr>
                <w:noProof/>
                <w:sz w:val="18"/>
              </w:rPr>
              <w:t>Μέσο κόστος</w:t>
            </w:r>
          </w:p>
        </w:tc>
        <w:tc>
          <w:tcPr>
            <w:tcW w:w="1487"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1486" w:type="dxa"/>
            <w:gridSpan w:val="6"/>
            <w:tcBorders>
              <w:left w:val="dashSmallGap" w:sz="4" w:space="0" w:color="auto"/>
            </w:tcBorders>
            <w:shd w:val="pct10" w:color="auto" w:fill="auto"/>
            <w:vAlign w:val="center"/>
          </w:tcPr>
          <w:p>
            <w:pPr>
              <w:jc w:val="center"/>
              <w:rPr>
                <w:noProof/>
                <w:sz w:val="18"/>
                <w:szCs w:val="18"/>
              </w:rPr>
            </w:pPr>
            <w:r>
              <w:rPr>
                <w:noProof/>
                <w:sz w:val="18"/>
              </w:rPr>
              <w:t>Κόστος</w:t>
            </w:r>
          </w:p>
        </w:tc>
        <w:tc>
          <w:tcPr>
            <w:tcW w:w="1486" w:type="dxa"/>
            <w:gridSpan w:val="6"/>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1486" w:type="dxa"/>
            <w:gridSpan w:val="6"/>
            <w:tcBorders>
              <w:left w:val="dashSmallGap" w:sz="4" w:space="0" w:color="auto"/>
            </w:tcBorders>
            <w:shd w:val="pct10" w:color="auto" w:fill="auto"/>
            <w:vAlign w:val="center"/>
          </w:tcPr>
          <w:p>
            <w:pPr>
              <w:jc w:val="center"/>
              <w:rPr>
                <w:noProof/>
                <w:sz w:val="18"/>
                <w:szCs w:val="18"/>
              </w:rPr>
            </w:pPr>
            <w:r>
              <w:rPr>
                <w:noProof/>
                <w:sz w:val="18"/>
              </w:rPr>
              <w:t>Κόστος</w:t>
            </w:r>
          </w:p>
        </w:tc>
        <w:tc>
          <w:tcPr>
            <w:tcW w:w="1486" w:type="dxa"/>
            <w:gridSpan w:val="7"/>
            <w:tcBorders>
              <w:right w:val="dashSmallGap" w:sz="4" w:space="0" w:color="auto"/>
            </w:tcBorders>
            <w:shd w:val="pct10" w:color="auto" w:fill="auto"/>
            <w:vAlign w:val="center"/>
          </w:tcPr>
          <w:p>
            <w:pPr>
              <w:jc w:val="center"/>
              <w:rPr>
                <w:noProof/>
                <w:sz w:val="18"/>
                <w:szCs w:val="18"/>
              </w:rPr>
            </w:pPr>
            <w:r>
              <w:rPr>
                <w:noProof/>
                <w:sz w:val="18"/>
              </w:rPr>
              <w:t>Συνολικός αριθμός</w:t>
            </w:r>
          </w:p>
        </w:tc>
        <w:tc>
          <w:tcPr>
            <w:tcW w:w="1491" w:type="dxa"/>
            <w:gridSpan w:val="7"/>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c>
          <w:tcPr>
            <w:tcW w:w="5277" w:type="dxa"/>
            <w:gridSpan w:val="7"/>
            <w:vAlign w:val="center"/>
          </w:tcPr>
          <w:p>
            <w:pPr>
              <w:spacing w:before="60" w:after="60"/>
              <w:ind w:right="-29"/>
              <w:jc w:val="center"/>
              <w:rPr>
                <w:noProof/>
                <w:sz w:val="18"/>
                <w:szCs w:val="18"/>
              </w:rPr>
            </w:pPr>
            <w:r>
              <w:rPr>
                <w:noProof/>
                <w:sz w:val="18"/>
              </w:rPr>
              <w:t>ΕΙΔΙΚΟΣ ΣΤΟΧΟΣ αριθ. 1</w:t>
            </w:r>
            <w:r>
              <w:rPr>
                <w:rStyle w:val="FootnoteReference"/>
                <w:noProof/>
                <w:sz w:val="18"/>
              </w:rPr>
              <w:footnoteReference w:id="38"/>
            </w:r>
            <w:r>
              <w:rPr>
                <w:noProof/>
                <w:sz w:val="18"/>
              </w:rPr>
              <w:t>…</w:t>
            </w:r>
          </w:p>
        </w:tc>
        <w:tc>
          <w:tcPr>
            <w:tcW w:w="373"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936" w:type="dxa"/>
            <w:gridSpan w:val="2"/>
            <w:tcBorders>
              <w:top w:val="nil"/>
              <w:left w:val="nil"/>
              <w:bottom w:val="nil"/>
              <w:right w:val="nil"/>
            </w:tcBorders>
          </w:tcPr>
          <w:p>
            <w:pPr>
              <w:spacing w:before="60" w:after="60"/>
              <w:ind w:right="-29"/>
              <w:jc w:val="center"/>
              <w:rPr>
                <w:noProof/>
                <w:sz w:val="18"/>
                <w:szCs w:val="18"/>
              </w:rPr>
            </w:pPr>
          </w:p>
        </w:tc>
        <w:tc>
          <w:tcPr>
            <w:tcW w:w="685"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1" w:type="dxa"/>
            <w:gridSpan w:val="5"/>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3"/>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56" w:type="dxa"/>
            <w:tcBorders>
              <w:top w:val="nil"/>
              <w:left w:val="nil"/>
              <w:bottom w:val="nil"/>
              <w:right w:val="nil"/>
            </w:tcBorders>
          </w:tcPr>
          <w:p>
            <w:pPr>
              <w:spacing w:before="60" w:after="60"/>
              <w:ind w:right="-29"/>
              <w:jc w:val="center"/>
              <w:rPr>
                <w:noProof/>
                <w:sz w:val="18"/>
                <w:szCs w:val="18"/>
              </w:rPr>
            </w:pPr>
          </w:p>
        </w:tc>
      </w:tr>
      <w:tr>
        <w:trPr>
          <w:gridAfter w:val="8"/>
          <w:wAfter w:w="2556" w:type="dxa"/>
          <w:trHeight w:hRule="exact" w:val="626"/>
        </w:trPr>
        <w:tc>
          <w:tcPr>
            <w:tcW w:w="1405" w:type="dxa"/>
          </w:tcPr>
          <w:p>
            <w:pPr>
              <w:ind w:right="-29"/>
              <w:jc w:val="center"/>
              <w:rPr>
                <w:noProof/>
                <w:sz w:val="18"/>
                <w:szCs w:val="18"/>
              </w:rPr>
            </w:pPr>
            <w:r>
              <w:rPr>
                <w:noProof/>
                <w:sz w:val="18"/>
              </w:rPr>
              <w:t>- Αποτέλεσμα</w:t>
            </w:r>
          </w:p>
        </w:tc>
        <w:tc>
          <w:tcPr>
            <w:tcW w:w="1685" w:type="dxa"/>
            <w:gridSpan w:val="2"/>
          </w:tcPr>
          <w:p>
            <w:pPr>
              <w:ind w:right="-29"/>
              <w:jc w:val="center"/>
              <w:rPr>
                <w:noProof/>
                <w:sz w:val="18"/>
                <w:szCs w:val="18"/>
              </w:rPr>
            </w:pPr>
            <w:r>
              <w:rPr>
                <w:noProof/>
                <w:sz w:val="18"/>
              </w:rPr>
              <w:t>Μητρώο EuroGroups</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0,750</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0,750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1,500</w:t>
            </w:r>
          </w:p>
        </w:tc>
      </w:tr>
      <w:tr>
        <w:trPr>
          <w:gridAfter w:val="8"/>
          <w:wAfter w:w="2556" w:type="dxa"/>
          <w:trHeight w:hRule="exact" w:val="564"/>
        </w:trPr>
        <w:tc>
          <w:tcPr>
            <w:tcW w:w="1405" w:type="dxa"/>
          </w:tcPr>
          <w:p>
            <w:pPr>
              <w:ind w:right="-29"/>
              <w:jc w:val="center"/>
              <w:rPr>
                <w:noProof/>
                <w:sz w:val="18"/>
                <w:szCs w:val="18"/>
              </w:rPr>
            </w:pPr>
            <w:r>
              <w:rPr>
                <w:noProof/>
                <w:sz w:val="18"/>
              </w:rPr>
              <w:t>- Αποτέλεσμα</w:t>
            </w:r>
          </w:p>
        </w:tc>
        <w:tc>
          <w:tcPr>
            <w:tcW w:w="1685" w:type="dxa"/>
            <w:gridSpan w:val="2"/>
          </w:tcPr>
          <w:p>
            <w:pPr>
              <w:ind w:right="-29"/>
              <w:jc w:val="center"/>
              <w:rPr>
                <w:noProof/>
                <w:sz w:val="18"/>
                <w:szCs w:val="18"/>
              </w:rPr>
            </w:pPr>
            <w:r>
              <w:rPr>
                <w:noProof/>
                <w:sz w:val="18"/>
              </w:rPr>
              <w:t>Δοκιμές μητρώου EuroGroups</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0,250</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0,250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0,500</w:t>
            </w:r>
          </w:p>
        </w:tc>
      </w:tr>
      <w:tr>
        <w:trPr>
          <w:gridAfter w:val="8"/>
          <w:wAfter w:w="2556" w:type="dxa"/>
          <w:trHeight w:hRule="exact" w:val="572"/>
        </w:trPr>
        <w:tc>
          <w:tcPr>
            <w:tcW w:w="1405" w:type="dxa"/>
          </w:tcPr>
          <w:p>
            <w:pPr>
              <w:ind w:right="-29"/>
              <w:jc w:val="center"/>
              <w:rPr>
                <w:noProof/>
                <w:sz w:val="18"/>
                <w:szCs w:val="18"/>
              </w:rPr>
            </w:pPr>
            <w:r>
              <w:rPr>
                <w:noProof/>
                <w:sz w:val="18"/>
              </w:rPr>
              <w:t>- Αποτέλεσμα</w:t>
            </w:r>
          </w:p>
        </w:tc>
        <w:tc>
          <w:tcPr>
            <w:tcW w:w="1685" w:type="dxa"/>
            <w:gridSpan w:val="2"/>
          </w:tcPr>
          <w:p>
            <w:pPr>
              <w:ind w:right="-29"/>
              <w:jc w:val="center"/>
              <w:rPr>
                <w:noProof/>
                <w:sz w:val="18"/>
                <w:szCs w:val="18"/>
              </w:rPr>
            </w:pPr>
            <w:r>
              <w:rPr>
                <w:noProof/>
                <w:sz w:val="18"/>
              </w:rPr>
              <w:t>Εφαρμογή των συλλογών στοιχείων</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3,435</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3,935</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7,370</w:t>
            </w:r>
          </w:p>
        </w:tc>
      </w:tr>
      <w:tr>
        <w:trPr>
          <w:gridAfter w:val="8"/>
          <w:wAfter w:w="2556" w:type="dxa"/>
          <w:trHeight w:hRule="exact" w:val="1191"/>
        </w:trPr>
        <w:tc>
          <w:tcPr>
            <w:tcW w:w="1405" w:type="dxa"/>
          </w:tcPr>
          <w:p>
            <w:pPr>
              <w:ind w:right="-29"/>
              <w:jc w:val="center"/>
              <w:rPr>
                <w:noProof/>
                <w:sz w:val="18"/>
                <w:szCs w:val="18"/>
              </w:rPr>
            </w:pPr>
            <w:r>
              <w:rPr>
                <w:noProof/>
                <w:sz w:val="18"/>
              </w:rPr>
              <w:t>- Αποτέλεσμα</w:t>
            </w:r>
          </w:p>
        </w:tc>
        <w:tc>
          <w:tcPr>
            <w:tcW w:w="1685" w:type="dxa"/>
            <w:gridSpan w:val="2"/>
          </w:tcPr>
          <w:p>
            <w:pPr>
              <w:ind w:right="-29"/>
              <w:jc w:val="center"/>
              <w:rPr>
                <w:noProof/>
                <w:sz w:val="18"/>
                <w:szCs w:val="18"/>
              </w:rPr>
            </w:pPr>
            <w:r>
              <w:rPr>
                <w:noProof/>
                <w:sz w:val="18"/>
              </w:rPr>
              <w:t>Μεθοδολογικές και πιλοτικές μελέτες</w:t>
            </w:r>
          </w:p>
        </w:tc>
        <w:tc>
          <w:tcPr>
            <w:tcW w:w="700" w:type="dxa"/>
          </w:tcPr>
          <w:p>
            <w:pPr>
              <w:ind w:right="-29"/>
              <w:jc w:val="center"/>
              <w:rPr>
                <w:noProof/>
                <w:sz w:val="18"/>
                <w:szCs w:val="18"/>
              </w:rPr>
            </w:pPr>
          </w:p>
        </w:tc>
        <w:tc>
          <w:tcPr>
            <w:tcW w:w="1487" w:type="dxa"/>
            <w:gridSpan w:val="3"/>
          </w:tcPr>
          <w:p>
            <w:pPr>
              <w:ind w:right="-29"/>
              <w:jc w:val="center"/>
              <w:rPr>
                <w:noProof/>
                <w:sz w:val="18"/>
                <w:szCs w:val="18"/>
              </w:rPr>
            </w:pPr>
          </w:p>
        </w:tc>
        <w:tc>
          <w:tcPr>
            <w:tcW w:w="1486" w:type="dxa"/>
            <w:gridSpan w:val="6"/>
          </w:tcPr>
          <w:p>
            <w:pPr>
              <w:ind w:right="-29"/>
              <w:jc w:val="center"/>
              <w:rPr>
                <w:noProof/>
                <w:sz w:val="18"/>
                <w:szCs w:val="18"/>
              </w:rPr>
            </w:pPr>
            <w:r>
              <w:rPr>
                <w:noProof/>
                <w:sz w:val="18"/>
              </w:rPr>
              <w:t>6,850</w:t>
            </w:r>
          </w:p>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r>
              <w:rPr>
                <w:noProof/>
                <w:sz w:val="18"/>
              </w:rPr>
              <w:t>5,250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12,100</w:t>
            </w:r>
          </w:p>
        </w:tc>
      </w:tr>
      <w:tr>
        <w:trPr>
          <w:gridAfter w:val="8"/>
          <w:wAfter w:w="2556" w:type="dxa"/>
        </w:trPr>
        <w:tc>
          <w:tcPr>
            <w:tcW w:w="3090"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2187" w:type="dxa"/>
            <w:gridSpan w:val="4"/>
            <w:tcBorders>
              <w:bottom w:val="single" w:sz="12" w:space="0" w:color="auto"/>
            </w:tcBorders>
          </w:tcPr>
          <w:p>
            <w:pPr>
              <w:ind w:right="-29"/>
              <w:jc w:val="center"/>
              <w:rPr>
                <w:noProof/>
                <w:sz w:val="18"/>
                <w:szCs w:val="18"/>
              </w:rPr>
            </w:pPr>
          </w:p>
        </w:tc>
        <w:tc>
          <w:tcPr>
            <w:tcW w:w="1486" w:type="dxa"/>
            <w:gridSpan w:val="6"/>
            <w:tcBorders>
              <w:bottom w:val="single" w:sz="12" w:space="0" w:color="auto"/>
            </w:tcBorders>
          </w:tcPr>
          <w:p>
            <w:pPr>
              <w:ind w:right="-29"/>
              <w:jc w:val="center"/>
              <w:rPr>
                <w:noProof/>
                <w:sz w:val="18"/>
                <w:szCs w:val="18"/>
              </w:rPr>
            </w:pPr>
            <w:r>
              <w:rPr>
                <w:noProof/>
                <w:sz w:val="18"/>
              </w:rPr>
              <w:t>11,285</w:t>
            </w:r>
          </w:p>
        </w:tc>
        <w:tc>
          <w:tcPr>
            <w:tcW w:w="1486" w:type="dxa"/>
            <w:gridSpan w:val="6"/>
            <w:tcBorders>
              <w:bottom w:val="single" w:sz="12" w:space="0" w:color="auto"/>
            </w:tcBorders>
          </w:tcPr>
          <w:p>
            <w:pPr>
              <w:ind w:right="-29"/>
              <w:jc w:val="center"/>
              <w:rPr>
                <w:noProof/>
                <w:sz w:val="18"/>
                <w:szCs w:val="18"/>
              </w:rPr>
            </w:pPr>
          </w:p>
        </w:tc>
        <w:tc>
          <w:tcPr>
            <w:tcW w:w="1486" w:type="dxa"/>
            <w:gridSpan w:val="6"/>
            <w:tcBorders>
              <w:bottom w:val="single" w:sz="12" w:space="0" w:color="auto"/>
            </w:tcBorders>
          </w:tcPr>
          <w:p>
            <w:pPr>
              <w:ind w:right="-29"/>
              <w:jc w:val="center"/>
              <w:rPr>
                <w:noProof/>
                <w:sz w:val="18"/>
                <w:szCs w:val="18"/>
              </w:rPr>
            </w:pPr>
            <w:r>
              <w:rPr>
                <w:noProof/>
                <w:sz w:val="18"/>
              </w:rPr>
              <w:t>10,185</w:t>
            </w:r>
          </w:p>
        </w:tc>
        <w:tc>
          <w:tcPr>
            <w:tcW w:w="1486" w:type="dxa"/>
            <w:gridSpan w:val="7"/>
            <w:tcBorders>
              <w:bottom w:val="single" w:sz="12" w:space="0" w:color="auto"/>
            </w:tcBorders>
          </w:tcPr>
          <w:p>
            <w:pPr>
              <w:ind w:right="-29"/>
              <w:jc w:val="center"/>
              <w:rPr>
                <w:noProof/>
                <w:sz w:val="18"/>
                <w:szCs w:val="18"/>
              </w:rPr>
            </w:pPr>
          </w:p>
        </w:tc>
        <w:tc>
          <w:tcPr>
            <w:tcW w:w="1491" w:type="dxa"/>
            <w:gridSpan w:val="7"/>
            <w:tcBorders>
              <w:bottom w:val="single" w:sz="12" w:space="0" w:color="auto"/>
            </w:tcBorders>
          </w:tcPr>
          <w:p>
            <w:pPr>
              <w:ind w:right="-29"/>
              <w:jc w:val="center"/>
              <w:rPr>
                <w:noProof/>
                <w:sz w:val="18"/>
                <w:szCs w:val="18"/>
              </w:rPr>
            </w:pPr>
            <w:r>
              <w:rPr>
                <w:noProof/>
                <w:sz w:val="18"/>
              </w:rPr>
              <w:t>21,470</w:t>
            </w:r>
          </w:p>
        </w:tc>
      </w:tr>
      <w:tr>
        <w:trPr>
          <w:gridAfter w:val="3"/>
          <w:wAfter w:w="1104" w:type="dxa"/>
        </w:trPr>
        <w:tc>
          <w:tcPr>
            <w:tcW w:w="3090" w:type="dxa"/>
            <w:gridSpan w:val="3"/>
            <w:vAlign w:val="center"/>
          </w:tcPr>
          <w:p>
            <w:pPr>
              <w:spacing w:before="60" w:after="60"/>
              <w:ind w:right="-29"/>
              <w:jc w:val="center"/>
              <w:rPr>
                <w:noProof/>
                <w:sz w:val="18"/>
                <w:szCs w:val="18"/>
              </w:rPr>
            </w:pPr>
            <w:r>
              <w:rPr>
                <w:noProof/>
                <w:sz w:val="18"/>
              </w:rPr>
              <w:t>ΕΙΔΙΚΟΣ ΣΤΟΧΟΣ αριθ. 2 ...</w:t>
            </w:r>
          </w:p>
        </w:tc>
        <w:tc>
          <w:tcPr>
            <w:tcW w:w="1454" w:type="dxa"/>
            <w:gridSpan w:val="2"/>
            <w:tcBorders>
              <w:top w:val="nil"/>
              <w:left w:val="nil"/>
              <w:bottom w:val="nil"/>
              <w:right w:val="nil"/>
            </w:tcBorders>
          </w:tcPr>
          <w:p>
            <w:pPr>
              <w:spacing w:before="60" w:after="60"/>
              <w:ind w:right="-29"/>
              <w:jc w:val="center"/>
              <w:rPr>
                <w:noProof/>
                <w:sz w:val="18"/>
                <w:szCs w:val="18"/>
              </w:rPr>
            </w:pPr>
          </w:p>
        </w:tc>
        <w:tc>
          <w:tcPr>
            <w:tcW w:w="725" w:type="dxa"/>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936" w:type="dxa"/>
            <w:gridSpan w:val="2"/>
            <w:tcBorders>
              <w:top w:val="nil"/>
              <w:left w:val="nil"/>
              <w:bottom w:val="nil"/>
              <w:right w:val="nil"/>
            </w:tcBorders>
          </w:tcPr>
          <w:p>
            <w:pPr>
              <w:spacing w:before="60" w:after="60"/>
              <w:ind w:right="-29"/>
              <w:jc w:val="center"/>
              <w:rPr>
                <w:noProof/>
                <w:sz w:val="18"/>
                <w:szCs w:val="18"/>
              </w:rPr>
            </w:pPr>
          </w:p>
        </w:tc>
        <w:tc>
          <w:tcPr>
            <w:tcW w:w="685"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4"/>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254" w:type="dxa"/>
            <w:tcBorders>
              <w:top w:val="nil"/>
              <w:left w:val="nil"/>
              <w:bottom w:val="nil"/>
              <w:right w:val="nil"/>
            </w:tcBorders>
          </w:tcPr>
          <w:p>
            <w:pPr>
              <w:spacing w:before="60" w:after="60"/>
              <w:ind w:right="-29"/>
              <w:jc w:val="center"/>
              <w:rPr>
                <w:noProof/>
                <w:sz w:val="18"/>
                <w:szCs w:val="18"/>
              </w:rPr>
            </w:pPr>
          </w:p>
        </w:tc>
      </w:tr>
      <w:tr>
        <w:trPr>
          <w:gridAfter w:val="8"/>
          <w:wAfter w:w="2556" w:type="dxa"/>
          <w:trHeight w:hRule="exact" w:val="369"/>
        </w:trPr>
        <w:tc>
          <w:tcPr>
            <w:tcW w:w="1405" w:type="dxa"/>
          </w:tcPr>
          <w:p>
            <w:pPr>
              <w:ind w:right="-29"/>
              <w:jc w:val="center"/>
              <w:rPr>
                <w:noProof/>
                <w:sz w:val="18"/>
                <w:szCs w:val="18"/>
              </w:rPr>
            </w:pPr>
            <w:r>
              <w:rPr>
                <w:noProof/>
                <w:sz w:val="18"/>
              </w:rPr>
              <w:t>- Αποτέλεσμα</w:t>
            </w:r>
          </w:p>
        </w:tc>
        <w:tc>
          <w:tcPr>
            <w:tcW w:w="1685" w:type="dxa"/>
            <w:gridSpan w:val="2"/>
          </w:tcPr>
          <w:p>
            <w:pPr>
              <w:ind w:right="-29"/>
              <w:jc w:val="center"/>
              <w:rPr>
                <w:noProof/>
                <w:sz w:val="18"/>
                <w:szCs w:val="18"/>
              </w:rPr>
            </w:pPr>
          </w:p>
        </w:tc>
        <w:tc>
          <w:tcPr>
            <w:tcW w:w="700" w:type="dxa"/>
          </w:tcPr>
          <w:p>
            <w:pPr>
              <w:ind w:right="-29"/>
              <w:jc w:val="center"/>
              <w:rPr>
                <w:noProof/>
                <w:sz w:val="18"/>
                <w:szCs w:val="18"/>
              </w:rPr>
            </w:pPr>
          </w:p>
        </w:tc>
        <w:tc>
          <w:tcPr>
            <w:tcW w:w="1487" w:type="dxa"/>
            <w:gridSpan w:val="3"/>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p>
        </w:tc>
      </w:tr>
      <w:tr>
        <w:trPr>
          <w:gridAfter w:val="9"/>
          <w:wAfter w:w="2627" w:type="dxa"/>
        </w:trPr>
        <w:tc>
          <w:tcPr>
            <w:tcW w:w="3081" w:type="dxa"/>
            <w:gridSpan w:val="2"/>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2188" w:type="dxa"/>
            <w:gridSpan w:val="4"/>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5" w:type="dxa"/>
            <w:gridSpan w:val="6"/>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5" w:type="dxa"/>
            <w:gridSpan w:val="8"/>
            <w:tcBorders>
              <w:bottom w:val="single" w:sz="12" w:space="0" w:color="auto"/>
            </w:tcBorders>
          </w:tcPr>
          <w:p>
            <w:pPr>
              <w:ind w:right="-29"/>
              <w:jc w:val="center"/>
              <w:rPr>
                <w:noProof/>
                <w:sz w:val="18"/>
                <w:szCs w:val="18"/>
              </w:rPr>
            </w:pPr>
          </w:p>
        </w:tc>
      </w:tr>
      <w:tr>
        <w:trPr>
          <w:gridAfter w:val="9"/>
          <w:wAfter w:w="2627" w:type="dxa"/>
        </w:trPr>
        <w:tc>
          <w:tcPr>
            <w:tcW w:w="3081" w:type="dxa"/>
            <w:gridSpan w:val="2"/>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ΣΥΝΟΛΙΚΟ ΚΟΣΤΟΣ</w:t>
            </w:r>
          </w:p>
        </w:tc>
        <w:tc>
          <w:tcPr>
            <w:tcW w:w="2188" w:type="dxa"/>
            <w:gridSpan w:val="4"/>
            <w:tcBorders>
              <w:top w:val="single" w:sz="12" w:space="0" w:color="auto"/>
              <w:bottom w:val="single" w:sz="12" w:space="0" w:color="auto"/>
            </w:tcBorders>
          </w:tcPr>
          <w:p>
            <w:pPr>
              <w:spacing w:before="180" w:after="180"/>
              <w:ind w:right="-29"/>
              <w:jc w:val="center"/>
              <w:rPr>
                <w:noProof/>
                <w:sz w:val="18"/>
                <w:szCs w:val="18"/>
              </w:rPr>
            </w:pP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11,285</w:t>
            </w: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p>
        </w:tc>
        <w:tc>
          <w:tcPr>
            <w:tcW w:w="1475"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10,185</w:t>
            </w: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p>
        </w:tc>
        <w:tc>
          <w:tcPr>
            <w:tcW w:w="1475" w:type="dxa"/>
            <w:gridSpan w:val="8"/>
            <w:tcBorders>
              <w:top w:val="single" w:sz="12" w:space="0" w:color="auto"/>
              <w:bottom w:val="single" w:sz="12" w:space="0" w:color="auto"/>
            </w:tcBorders>
          </w:tcPr>
          <w:p>
            <w:pPr>
              <w:spacing w:before="180" w:after="180"/>
              <w:ind w:right="-29"/>
              <w:jc w:val="center"/>
              <w:rPr>
                <w:noProof/>
                <w:sz w:val="18"/>
                <w:szCs w:val="18"/>
              </w:rPr>
            </w:pPr>
            <w:r>
              <w:rPr>
                <w:noProof/>
                <w:sz w:val="18"/>
              </w:rPr>
              <w:t>21,470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Εκτιμώμενες επιπτώσεις στις πιστώσεις διοικητικού χαρακτήρα</w:t>
      </w:r>
    </w:p>
    <w:p>
      <w:pPr>
        <w:pStyle w:val="ManualHeading4"/>
        <w:rPr>
          <w:noProof/>
        </w:rPr>
      </w:pPr>
      <w:r>
        <w:t>3.2.3.1.</w:t>
      </w:r>
      <w:r>
        <w:tab/>
      </w:r>
      <w:r>
        <w:rPr>
          <w:noProof/>
        </w:rPr>
        <w:t xml:space="preserve">Συνοπτική παρουσίαση </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FD"/>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3 δεκαδικά ψηφία)</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tcPr>
          <w:p>
            <w:pPr>
              <w:spacing w:before="60" w:after="60" w:line="200" w:lineRule="exact"/>
              <w:rPr>
                <w:noProof/>
                <w:sz w:val="16"/>
                <w:szCs w:val="16"/>
              </w:rPr>
            </w:pPr>
          </w:p>
        </w:tc>
        <w:tc>
          <w:tcPr>
            <w:tcW w:w="2604"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2019</w:t>
            </w:r>
            <w:r>
              <w:rPr>
                <w:rStyle w:val="FootnoteReference"/>
                <w:b/>
                <w:noProof/>
                <w:sz w:val="16"/>
              </w:rPr>
              <w:footnoteReference w:id="39"/>
            </w:r>
          </w:p>
        </w:tc>
        <w:tc>
          <w:tcPr>
            <w:tcW w:w="2604"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2020</w:t>
            </w:r>
          </w:p>
        </w:tc>
        <w:tc>
          <w:tcPr>
            <w:tcW w:w="2604"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ΤΟΜΕΑΣ 5 </w:t>
            </w:r>
            <w:r>
              <w:rPr>
                <w:noProof/>
                <w:sz w:val="22"/>
              </w:rPr>
              <w:br/>
            </w:r>
            <w:r>
              <w:rPr>
                <w:b/>
                <w:noProof/>
                <w:sz w:val="16"/>
              </w:rPr>
              <w:t>του πολυετούς δημοσιονομικού πλαισίου</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2604" w:type="dxa"/>
            <w:vAlign w:val="center"/>
          </w:tcPr>
          <w:p>
            <w:pPr>
              <w:spacing w:before="60" w:after="60" w:line="200" w:lineRule="exact"/>
              <w:jc w:val="right"/>
              <w:rPr>
                <w:noProof/>
                <w:sz w:val="16"/>
                <w:szCs w:val="16"/>
              </w:rPr>
            </w:pPr>
            <w:r>
              <w:rPr>
                <w:noProof/>
                <w:sz w:val="16"/>
              </w:rPr>
              <w:t>11,850</w:t>
            </w:r>
          </w:p>
        </w:tc>
        <w:tc>
          <w:tcPr>
            <w:tcW w:w="2604" w:type="dxa"/>
            <w:vAlign w:val="center"/>
          </w:tcPr>
          <w:p>
            <w:pPr>
              <w:spacing w:before="60" w:after="60" w:line="200" w:lineRule="exact"/>
              <w:jc w:val="right"/>
              <w:rPr>
                <w:noProof/>
                <w:sz w:val="16"/>
                <w:szCs w:val="16"/>
              </w:rPr>
            </w:pPr>
            <w:r>
              <w:rPr>
                <w:noProof/>
                <w:sz w:val="16"/>
              </w:rPr>
              <w:t>11,883</w:t>
            </w:r>
          </w:p>
        </w:tc>
        <w:tc>
          <w:tcPr>
            <w:tcW w:w="2604" w:type="dxa"/>
            <w:vAlign w:val="center"/>
          </w:tcPr>
          <w:p>
            <w:pPr>
              <w:spacing w:before="60" w:after="60" w:line="200" w:lineRule="exact"/>
              <w:jc w:val="right"/>
              <w:rPr>
                <w:b/>
                <w:noProof/>
                <w:sz w:val="16"/>
                <w:szCs w:val="16"/>
              </w:rPr>
            </w:pPr>
            <w:r>
              <w:rPr>
                <w:b/>
                <w:noProof/>
                <w:sz w:val="16"/>
              </w:rPr>
              <w:t>23,733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2604" w:type="dxa"/>
            <w:vAlign w:val="center"/>
          </w:tcPr>
          <w:p>
            <w:pPr>
              <w:spacing w:before="60" w:after="60" w:line="200" w:lineRule="exact"/>
              <w:jc w:val="right"/>
              <w:rPr>
                <w:noProof/>
                <w:sz w:val="16"/>
                <w:szCs w:val="16"/>
              </w:rPr>
            </w:pPr>
            <w:r>
              <w:rPr>
                <w:noProof/>
                <w:sz w:val="16"/>
              </w:rPr>
              <w:t>0,625</w:t>
            </w:r>
          </w:p>
        </w:tc>
        <w:tc>
          <w:tcPr>
            <w:tcW w:w="2604" w:type="dxa"/>
            <w:vAlign w:val="center"/>
          </w:tcPr>
          <w:p>
            <w:pPr>
              <w:spacing w:before="60" w:after="60" w:line="200" w:lineRule="exact"/>
              <w:jc w:val="right"/>
              <w:rPr>
                <w:noProof/>
                <w:sz w:val="16"/>
                <w:szCs w:val="16"/>
              </w:rPr>
            </w:pPr>
            <w:r>
              <w:rPr>
                <w:noProof/>
                <w:sz w:val="16"/>
              </w:rPr>
              <w:t>0,625</w:t>
            </w:r>
          </w:p>
        </w:tc>
        <w:tc>
          <w:tcPr>
            <w:tcW w:w="2604" w:type="dxa"/>
            <w:vAlign w:val="center"/>
          </w:tcPr>
          <w:p>
            <w:pPr>
              <w:spacing w:before="60" w:after="60" w:line="200" w:lineRule="exact"/>
              <w:jc w:val="right"/>
              <w:rPr>
                <w:b/>
                <w:noProof/>
                <w:sz w:val="16"/>
                <w:szCs w:val="16"/>
              </w:rPr>
            </w:pPr>
            <w:r>
              <w:rPr>
                <w:b/>
                <w:noProof/>
                <w:sz w:val="16"/>
              </w:rPr>
              <w:t>1,250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Υποσύνολο ΤΟΜΕΑ 5 </w:t>
            </w:r>
            <w:r>
              <w:rPr>
                <w:noProof/>
                <w:sz w:val="22"/>
              </w:rPr>
              <w:br/>
            </w:r>
            <w:r>
              <w:rPr>
                <w:b/>
                <w:noProof/>
                <w:sz w:val="16"/>
              </w:rPr>
              <w:t xml:space="preserve">του πολυετούς δημοσιονομικού πλαισίου </w:t>
            </w:r>
          </w:p>
        </w:tc>
        <w:tc>
          <w:tcPr>
            <w:tcW w:w="2604" w:type="dxa"/>
            <w:vAlign w:val="center"/>
          </w:tcPr>
          <w:p>
            <w:pPr>
              <w:spacing w:before="60" w:after="60" w:line="200" w:lineRule="exact"/>
              <w:jc w:val="right"/>
              <w:rPr>
                <w:noProof/>
                <w:sz w:val="16"/>
                <w:szCs w:val="16"/>
              </w:rPr>
            </w:pPr>
            <w:r>
              <w:rPr>
                <w:noProof/>
                <w:sz w:val="16"/>
              </w:rPr>
              <w:t>12,475</w:t>
            </w:r>
          </w:p>
        </w:tc>
        <w:tc>
          <w:tcPr>
            <w:tcW w:w="2604" w:type="dxa"/>
            <w:vAlign w:val="center"/>
          </w:tcPr>
          <w:p>
            <w:pPr>
              <w:spacing w:before="60" w:after="60" w:line="200" w:lineRule="exact"/>
              <w:jc w:val="right"/>
              <w:rPr>
                <w:noProof/>
                <w:sz w:val="16"/>
                <w:szCs w:val="16"/>
              </w:rPr>
            </w:pPr>
            <w:r>
              <w:rPr>
                <w:noProof/>
                <w:sz w:val="16"/>
              </w:rPr>
              <w:t>12,508</w:t>
            </w:r>
          </w:p>
        </w:tc>
        <w:tc>
          <w:tcPr>
            <w:tcW w:w="2604" w:type="dxa"/>
            <w:vAlign w:val="center"/>
          </w:tcPr>
          <w:p>
            <w:pPr>
              <w:spacing w:before="60" w:after="60" w:line="200" w:lineRule="exact"/>
              <w:jc w:val="right"/>
              <w:rPr>
                <w:b/>
                <w:noProof/>
                <w:sz w:val="16"/>
                <w:szCs w:val="16"/>
              </w:rPr>
            </w:pPr>
            <w:r>
              <w:rPr>
                <w:b/>
                <w:noProof/>
                <w:sz w:val="16"/>
              </w:rPr>
              <w:t>24,983</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 xml:space="preserve">Εκτός του ΤΟΜΕΑ 5 </w:t>
            </w:r>
            <w:r>
              <w:rPr>
                <w:rStyle w:val="FootnoteReference"/>
                <w:b/>
                <w:noProof/>
                <w:sz w:val="16"/>
              </w:rPr>
              <w:footnoteReference w:id="40"/>
            </w:r>
            <w:r>
              <w:rPr>
                <w:noProof/>
                <w:sz w:val="22"/>
              </w:rPr>
              <w:br/>
            </w:r>
            <w:r>
              <w:rPr>
                <w:b/>
                <w:noProof/>
                <w:sz w:val="16"/>
              </w:rPr>
              <w:t xml:space="preserve">του πολυετούς δημοσιονομικού πλαισίου </w:t>
            </w:r>
          </w:p>
          <w:p>
            <w:pPr>
              <w:spacing w:after="0" w:line="200" w:lineRule="exact"/>
              <w:jc w:val="center"/>
              <w:rPr>
                <w:b/>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Λοιπές δαπάνες </w:t>
            </w:r>
            <w:r>
              <w:rPr>
                <w:noProof/>
                <w:sz w:val="22"/>
              </w:rPr>
              <w:br/>
            </w:r>
            <w:r>
              <w:rPr>
                <w:noProof/>
                <w:sz w:val="16"/>
              </w:rPr>
              <w:t>διοικητικού χαρακτήρα</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Υποσύνολο </w:t>
            </w:r>
            <w:r>
              <w:rPr>
                <w:noProof/>
                <w:sz w:val="22"/>
              </w:rPr>
              <w:br/>
            </w:r>
            <w:r>
              <w:rPr>
                <w:b/>
                <w:noProof/>
                <w:sz w:val="16"/>
              </w:rPr>
              <w:t>εκτός του ΤΟΜΕΑ 5</w:t>
            </w:r>
            <w:r>
              <w:rPr>
                <w:noProof/>
                <w:sz w:val="22"/>
              </w:rPr>
              <w:br/>
            </w:r>
            <w:r>
              <w:rPr>
                <w:b/>
                <w:noProof/>
                <w:sz w:val="16"/>
              </w:rPr>
              <w:t xml:space="preserve">του πολυετούς δημοσιονομικού πλαισίου </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792" w:type="dxa"/>
        <w:tblInd w:w="-612" w:type="dxa"/>
        <w:tblLayout w:type="fixed"/>
        <w:tblLook w:val="01E0" w:firstRow="1" w:lastRow="1" w:firstColumn="1" w:lastColumn="1" w:noHBand="0" w:noVBand="0"/>
      </w:tblPr>
      <w:tblGrid>
        <w:gridCol w:w="1980"/>
        <w:gridCol w:w="2604"/>
        <w:gridCol w:w="2604"/>
        <w:gridCol w:w="26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26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12,475</w:t>
            </w:r>
          </w:p>
        </w:tc>
        <w:tc>
          <w:tcPr>
            <w:tcW w:w="26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12,508</w:t>
            </w:r>
          </w:p>
        </w:tc>
        <w:tc>
          <w:tcPr>
            <w:tcW w:w="260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24,983</w:t>
            </w: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FD"/>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3300" w:type="pct"/>
        <w:jc w:val="center"/>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57"/>
        <w:gridCol w:w="1954"/>
        <w:gridCol w:w="1059"/>
        <w:gridCol w:w="1059"/>
      </w:tblGrid>
      <w:tr>
        <w:trPr>
          <w:trHeight w:val="289"/>
          <w:jc w:val="center"/>
        </w:trPr>
        <w:tc>
          <w:tcPr>
            <w:tcW w:w="3272" w:type="pct"/>
            <w:gridSpan w:val="2"/>
            <w:shd w:val="clear" w:color="auto" w:fill="auto"/>
          </w:tcPr>
          <w:p>
            <w:pPr>
              <w:pStyle w:val="Text1"/>
              <w:spacing w:before="40" w:after="40"/>
              <w:jc w:val="center"/>
              <w:rPr>
                <w:i/>
                <w:noProof/>
                <w:sz w:val="16"/>
                <w:szCs w:val="16"/>
              </w:rPr>
            </w:pPr>
          </w:p>
        </w:tc>
        <w:tc>
          <w:tcPr>
            <w:tcW w:w="864"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2019</w:t>
            </w:r>
          </w:p>
        </w:tc>
        <w:tc>
          <w:tcPr>
            <w:tcW w:w="864"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2020</w:t>
            </w:r>
          </w:p>
        </w:tc>
      </w:tr>
      <w:tr>
        <w:trPr>
          <w:trHeight w:val="289"/>
          <w:jc w:val="center"/>
        </w:trPr>
        <w:tc>
          <w:tcPr>
            <w:tcW w:w="5000" w:type="pct"/>
            <w:gridSpan w:val="4"/>
            <w:shd w:val="clear" w:color="auto" w:fill="auto"/>
          </w:tcPr>
          <w:p>
            <w:pPr>
              <w:spacing w:before="20" w:after="20"/>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(έδρα και γραφεία αντιπροσωπείας της Επιτροπής)</w:t>
            </w:r>
          </w:p>
        </w:tc>
        <w:tc>
          <w:tcPr>
            <w:tcW w:w="864" w:type="pct"/>
            <w:shd w:val="clear" w:color="auto" w:fill="auto"/>
            <w:vAlign w:val="center"/>
          </w:tcPr>
          <w:p>
            <w:pPr>
              <w:spacing w:beforeLines="20" w:before="48" w:afterLines="20" w:after="48"/>
              <w:jc w:val="center"/>
              <w:rPr>
                <w:noProof/>
                <w:sz w:val="16"/>
                <w:szCs w:val="16"/>
              </w:rPr>
            </w:pPr>
            <w:r>
              <w:rPr>
                <w:noProof/>
                <w:sz w:val="16"/>
              </w:rPr>
              <w:t>74,67</w:t>
            </w:r>
          </w:p>
        </w:tc>
        <w:tc>
          <w:tcPr>
            <w:tcW w:w="864" w:type="pct"/>
            <w:shd w:val="clear" w:color="auto" w:fill="auto"/>
            <w:vAlign w:val="center"/>
          </w:tcPr>
          <w:p>
            <w:pPr>
              <w:spacing w:beforeLines="20" w:before="48" w:afterLines="20" w:after="48"/>
              <w:jc w:val="center"/>
              <w:rPr>
                <w:noProof/>
                <w:sz w:val="16"/>
                <w:szCs w:val="16"/>
              </w:rPr>
            </w:pPr>
            <w:r>
              <w:rPr>
                <w:noProof/>
                <w:sz w:val="16"/>
              </w:rPr>
              <w:t>74,92</w:t>
            </w: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(σε αντιπροσωπεία)</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(έμμεση έρευνα)</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(άμεση έρευνα)</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shd w:val="clear" w:color="auto" w:fill="auto"/>
            <w:vAlign w:val="center"/>
          </w:tcPr>
          <w:p>
            <w:pPr>
              <w:spacing w:before="20" w:after="20"/>
              <w:rPr>
                <w:b/>
                <w:noProof/>
                <w:sz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noProof/>
              </w:rPr>
              <w:footnoteReference w:id="41"/>
            </w:r>
          </w:p>
          <w:p>
            <w:pPr>
              <w:spacing w:before="20" w:after="20"/>
              <w:rPr>
                <w:b/>
                <w:noProof/>
                <w:sz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(AC, END, INT από το «συνολικό κονδύλιο»)</w:t>
            </w:r>
          </w:p>
        </w:tc>
        <w:tc>
          <w:tcPr>
            <w:tcW w:w="864" w:type="pct"/>
            <w:shd w:val="clear" w:color="auto" w:fill="auto"/>
            <w:vAlign w:val="center"/>
          </w:tcPr>
          <w:p>
            <w:pPr>
              <w:spacing w:beforeLines="20" w:before="48" w:afterLines="20" w:after="48"/>
              <w:jc w:val="center"/>
              <w:rPr>
                <w:noProof/>
                <w:sz w:val="16"/>
                <w:szCs w:val="16"/>
              </w:rPr>
            </w:pPr>
            <w:r>
              <w:rPr>
                <w:noProof/>
                <w:sz w:val="16"/>
              </w:rPr>
              <w:t>25</w:t>
            </w:r>
          </w:p>
        </w:tc>
        <w:tc>
          <w:tcPr>
            <w:tcW w:w="864" w:type="pct"/>
            <w:shd w:val="clear" w:color="auto" w:fill="auto"/>
            <w:vAlign w:val="center"/>
          </w:tcPr>
          <w:p>
            <w:pPr>
              <w:spacing w:beforeLines="20" w:before="48" w:afterLines="20" w:after="48"/>
              <w:jc w:val="center"/>
              <w:rPr>
                <w:noProof/>
                <w:sz w:val="16"/>
                <w:szCs w:val="16"/>
              </w:rPr>
            </w:pPr>
            <w:r>
              <w:rPr>
                <w:noProof/>
                <w:sz w:val="16"/>
              </w:rPr>
              <w:t>25</w:t>
            </w: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JED στις αντιπροσωπείες)</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167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εε</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1594"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864" w:type="pct"/>
            <w:shd w:val="clear" w:color="auto" w:fill="auto"/>
            <w:vAlign w:val="center"/>
          </w:tcPr>
          <w:p>
            <w:pPr>
              <w:pStyle w:val="Text1"/>
              <w:spacing w:beforeLines="20" w:before="48" w:afterLines="20" w:after="48"/>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1678" w:type="pct"/>
            <w:vMerge/>
            <w:shd w:val="clear" w:color="auto" w:fill="auto"/>
            <w:vAlign w:val="center"/>
          </w:tcPr>
          <w:p>
            <w:pPr>
              <w:pStyle w:val="Text1"/>
              <w:spacing w:beforeLines="20" w:before="48" w:afterLines="20" w:after="48"/>
              <w:ind w:left="136"/>
              <w:jc w:val="left"/>
              <w:rPr>
                <w:b/>
                <w:noProof/>
                <w:sz w:val="16"/>
                <w:szCs w:val="16"/>
              </w:rPr>
            </w:pPr>
          </w:p>
        </w:tc>
        <w:tc>
          <w:tcPr>
            <w:tcW w:w="1594"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σε αντιπροσωπείες </w:t>
            </w:r>
          </w:p>
        </w:tc>
        <w:tc>
          <w:tcPr>
            <w:tcW w:w="864" w:type="pct"/>
            <w:shd w:val="clear" w:color="auto" w:fill="auto"/>
            <w:vAlign w:val="center"/>
          </w:tcPr>
          <w:p>
            <w:pPr>
              <w:pStyle w:val="Text1"/>
              <w:spacing w:beforeLines="20" w:before="48" w:afterLines="20" w:after="48"/>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έμμεση έρευνα)</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άμεση έρευνα)</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86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64"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86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99,67</w:t>
            </w:r>
          </w:p>
        </w:tc>
        <w:tc>
          <w:tcPr>
            <w:tcW w:w="86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99,92</w:t>
            </w:r>
          </w:p>
        </w:tc>
      </w:tr>
    </w:tbl>
    <w:p>
      <w:pPr>
        <w:pStyle w:val="Text1"/>
        <w:spacing w:before="60" w:after="60"/>
        <w:ind w:left="851"/>
        <w:rPr>
          <w:noProof/>
          <w:sz w:val="18"/>
          <w:szCs w:val="18"/>
        </w:rPr>
      </w:pPr>
      <w:r>
        <w:rPr>
          <w:b/>
          <w:noProof/>
          <w:sz w:val="18"/>
        </w:rPr>
        <w:t>XX</w:t>
      </w:r>
      <w:r>
        <w:rPr>
          <w:noProof/>
          <w:sz w:val="18"/>
        </w:rPr>
        <w:t xml:space="preserve"> 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r>
              <w:rPr>
                <w:noProof/>
                <w:sz w:val="20"/>
              </w:rPr>
              <w:t>Οι μεθοδολογικές εργασίες μεταξύ άλλων και για πιλοτικές μελέτες</w:t>
            </w:r>
          </w:p>
          <w:p>
            <w:pPr>
              <w:rPr>
                <w:noProof/>
                <w:sz w:val="20"/>
              </w:rPr>
            </w:pPr>
            <w:r>
              <w:rPr>
                <w:noProof/>
                <w:sz w:val="20"/>
              </w:rPr>
              <w:t>Έργο ΤΠ για τη λήψη, επαλήθευση και επεξεργασία των στοιχείων</w:t>
            </w:r>
          </w:p>
          <w:p>
            <w:pPr>
              <w:rPr>
                <w:noProof/>
                <w:sz w:val="20"/>
              </w:rPr>
            </w:pPr>
            <w:r>
              <w:rPr>
                <w:noProof/>
                <w:sz w:val="20"/>
              </w:rPr>
              <w:t>Ανάλυση στοιχείων, κοινοποίηση στοιχείων και υποστήριξη χρηστών</w:t>
            </w: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r>
              <w:rPr>
                <w:noProof/>
                <w:sz w:val="20"/>
              </w:rPr>
              <w:t>Οι μεθοδολογικές εργασίες μεταξύ άλλων και για πιλοτικές μελέτες</w:t>
            </w:r>
          </w:p>
          <w:p>
            <w:pPr>
              <w:rPr>
                <w:noProof/>
                <w:sz w:val="20"/>
              </w:rPr>
            </w:pPr>
            <w:r>
              <w:rPr>
                <w:noProof/>
                <w:sz w:val="20"/>
              </w:rPr>
              <w:t>Έργο ΤΠ για τη λήψη, επαλήθευση και επεξεργασία των στοιχείων</w:t>
            </w:r>
          </w:p>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Συμβατότητα με το ισχύον πολυετές δημοσιονομικό πλαίσιο </w:t>
      </w:r>
    </w:p>
    <w:p>
      <w:pPr>
        <w:pStyle w:val="ListDash1"/>
        <w:rPr>
          <w:noProof/>
        </w:rPr>
      </w:pPr>
      <w:r>
        <w:rPr>
          <w:noProof/>
        </w:rPr>
        <w:sym w:font="Wingdings" w:char="F0FD"/>
      </w:r>
      <w:r>
        <w:rPr>
          <w:noProof/>
        </w:rPr>
        <w:tab/>
        <w:t>Η πρόταση/πρωτοβουλία είναι συμβατή με τον ισχύον πολυετές δημοσιονομικό πλαίσιο.</w:t>
      </w:r>
    </w:p>
    <w:p>
      <w:pPr>
        <w:pStyle w:val="ListDash1"/>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ListDash1"/>
        <w:rPr>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η ανάγκη, με προσδιορισμό των σχετικών τομέων και γραμμών του προϋπολογισμού, καθώς και των αντίστοιχων ποσών.</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 xml:space="preserve">Συμμετοχή τρίτων μερών στη χρηματοδότηση </w:t>
      </w:r>
    </w:p>
    <w:p>
      <w:pPr>
        <w:pStyle w:val="ListDash1"/>
        <w:rPr>
          <w:noProof/>
        </w:rPr>
      </w:pPr>
      <w:r>
        <w:rPr>
          <w:noProof/>
        </w:rPr>
        <w:t xml:space="preserve">Η πρόταση/πρωτοβουλία δεν προβλέπει συγχρηματοδότηση από τρίτα μέρη. </w:t>
      </w:r>
    </w:p>
    <w:p>
      <w:pPr>
        <w:pStyle w:val="ListDash1"/>
        <w:rPr>
          <w:noProof/>
        </w:rPr>
      </w:pPr>
      <w:r>
        <w:rPr>
          <w:noProof/>
        </w:rPr>
        <w:t>Η πρόταση/πρωτοβουλία προβλέπει τη συγχρηματοδότηση που εκτιμάται παρακάτω:</w:t>
      </w:r>
    </w:p>
    <w:p>
      <w:pPr>
        <w:jc w:val="right"/>
        <w:rPr>
          <w:noProof/>
          <w:sz w:val="20"/>
        </w:rPr>
      </w:pPr>
      <w:r>
        <w:rPr>
          <w:noProof/>
          <w:sz w:val="20"/>
        </w:rPr>
        <w:t>Πιστώσεις σε εκατ. EUR (με 3 δεκαδικά ψηφία)</w:t>
      </w:r>
    </w:p>
    <w:tbl>
      <w:tblPr>
        <w:tblW w:w="975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471"/>
        <w:gridCol w:w="2471"/>
        <w:gridCol w:w="2472"/>
      </w:tblGrid>
      <w:tr>
        <w:trPr>
          <w:cantSplit/>
        </w:trPr>
        <w:tc>
          <w:tcPr>
            <w:tcW w:w="2340" w:type="dxa"/>
          </w:tcPr>
          <w:p>
            <w:pPr>
              <w:spacing w:before="60" w:after="60"/>
              <w:rPr>
                <w:noProof/>
                <w:sz w:val="20"/>
              </w:rPr>
            </w:pPr>
          </w:p>
        </w:tc>
        <w:tc>
          <w:tcPr>
            <w:tcW w:w="2471" w:type="dxa"/>
            <w:vAlign w:val="center"/>
          </w:tcPr>
          <w:p>
            <w:pPr>
              <w:jc w:val="center"/>
              <w:rPr>
                <w:noProof/>
                <w:sz w:val="20"/>
              </w:rPr>
            </w:pPr>
            <w:r>
              <w:rPr>
                <w:noProof/>
                <w:sz w:val="20"/>
              </w:rPr>
              <w:t>2019</w:t>
            </w:r>
          </w:p>
        </w:tc>
        <w:tc>
          <w:tcPr>
            <w:tcW w:w="2471" w:type="dxa"/>
            <w:vAlign w:val="center"/>
          </w:tcPr>
          <w:p>
            <w:pPr>
              <w:jc w:val="center"/>
              <w:rPr>
                <w:noProof/>
                <w:sz w:val="20"/>
              </w:rPr>
            </w:pPr>
            <w:r>
              <w:rPr>
                <w:noProof/>
                <w:sz w:val="20"/>
              </w:rPr>
              <w:t>2020</w:t>
            </w:r>
          </w:p>
        </w:tc>
        <w:tc>
          <w:tcPr>
            <w:tcW w:w="2472" w:type="dxa"/>
            <w:vAlign w:val="center"/>
          </w:tcPr>
          <w:p>
            <w:pPr>
              <w:spacing w:before="60" w:after="60"/>
              <w:jc w:val="center"/>
              <w:rPr>
                <w:noProof/>
                <w:sz w:val="20"/>
              </w:rPr>
            </w:pPr>
            <w:r>
              <w:rPr>
                <w:noProof/>
                <w:sz w:val="20"/>
              </w:rPr>
              <w:t>Σύνολο</w:t>
            </w:r>
          </w:p>
        </w:tc>
      </w:tr>
      <w:tr>
        <w:trPr>
          <w:cantSplit/>
        </w:trPr>
        <w:tc>
          <w:tcPr>
            <w:tcW w:w="2340" w:type="dxa"/>
          </w:tcPr>
          <w:p>
            <w:pPr>
              <w:rPr>
                <w:noProof/>
              </w:rPr>
            </w:pPr>
            <w:r>
              <w:rPr>
                <w:noProof/>
                <w:sz w:val="20"/>
              </w:rPr>
              <w:t>Να προσδιοριστεί ο φορέας συγχρηματοδότησης</w:t>
            </w:r>
            <w:r>
              <w:rPr>
                <w:i/>
                <w:noProof/>
                <w:sz w:val="20"/>
              </w:rPr>
              <w:t xml:space="preserve"> </w:t>
            </w:r>
          </w:p>
        </w:tc>
        <w:tc>
          <w:tcPr>
            <w:tcW w:w="2471" w:type="dxa"/>
            <w:vAlign w:val="center"/>
          </w:tcPr>
          <w:p>
            <w:pPr>
              <w:spacing w:before="60" w:after="60"/>
              <w:jc w:val="center"/>
              <w:rPr>
                <w:noProof/>
                <w:sz w:val="20"/>
              </w:rPr>
            </w:pPr>
            <w:r>
              <w:rPr>
                <w:noProof/>
                <w:sz w:val="20"/>
              </w:rPr>
              <w:t>p.m.</w:t>
            </w:r>
          </w:p>
        </w:tc>
        <w:tc>
          <w:tcPr>
            <w:tcW w:w="2471" w:type="dxa"/>
            <w:vAlign w:val="center"/>
          </w:tcPr>
          <w:p>
            <w:pPr>
              <w:spacing w:before="60" w:after="60"/>
              <w:jc w:val="center"/>
              <w:rPr>
                <w:noProof/>
                <w:sz w:val="20"/>
              </w:rPr>
            </w:pPr>
            <w:r>
              <w:rPr>
                <w:noProof/>
                <w:sz w:val="20"/>
              </w:rPr>
              <w:t>p.m.</w:t>
            </w:r>
          </w:p>
        </w:tc>
        <w:tc>
          <w:tcPr>
            <w:tcW w:w="2472" w:type="dxa"/>
            <w:vAlign w:val="center"/>
          </w:tcPr>
          <w:p>
            <w:pPr>
              <w:spacing w:before="60" w:after="60"/>
              <w:jc w:val="center"/>
              <w:rPr>
                <w:noProof/>
                <w:sz w:val="20"/>
              </w:rPr>
            </w:pPr>
            <w:r>
              <w:rPr>
                <w:noProof/>
                <w:sz w:val="20"/>
              </w:rPr>
              <w:t>ΚΕΦΑΛΑΙΟ 3 1</w:t>
            </w: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2471" w:type="dxa"/>
            <w:vAlign w:val="center"/>
          </w:tcPr>
          <w:p>
            <w:pPr>
              <w:spacing w:before="60" w:after="60"/>
              <w:jc w:val="center"/>
              <w:rPr>
                <w:noProof/>
                <w:sz w:val="20"/>
              </w:rPr>
            </w:pPr>
            <w:r>
              <w:rPr>
                <w:noProof/>
                <w:sz w:val="20"/>
              </w:rPr>
              <w:t>p.m.</w:t>
            </w:r>
          </w:p>
        </w:tc>
        <w:tc>
          <w:tcPr>
            <w:tcW w:w="2471" w:type="dxa"/>
            <w:vAlign w:val="center"/>
          </w:tcPr>
          <w:p>
            <w:pPr>
              <w:spacing w:before="60" w:after="60"/>
              <w:jc w:val="center"/>
              <w:rPr>
                <w:noProof/>
                <w:sz w:val="20"/>
              </w:rPr>
            </w:pPr>
            <w:r>
              <w:rPr>
                <w:noProof/>
                <w:sz w:val="20"/>
              </w:rPr>
              <w:t>p.m.</w:t>
            </w:r>
          </w:p>
        </w:tc>
        <w:tc>
          <w:tcPr>
            <w:tcW w:w="2472" w:type="dxa"/>
            <w:vAlign w:val="center"/>
          </w:tcPr>
          <w:p>
            <w:pPr>
              <w:spacing w:before="60" w:after="60"/>
              <w:jc w:val="center"/>
              <w:rPr>
                <w:noProof/>
                <w:sz w:val="20"/>
              </w:rPr>
            </w:pPr>
            <w:r>
              <w:rPr>
                <w:noProof/>
                <w:sz w:val="20"/>
              </w:rPr>
              <w:t>ΚΕΦΑΛΑΙΟ 3 1</w:t>
            </w:r>
          </w:p>
        </w:tc>
      </w:tr>
    </w:tbl>
    <w:p>
      <w:pPr>
        <w:pStyle w:val="Text1"/>
        <w:rPr>
          <w:rStyle w:val="Text2Cha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bCs/>
          <w:lang w:eastAsia="en-GB"/>
        </w:rPr>
      </w:pPr>
      <w:r>
        <w:rPr>
          <w:rStyle w:val="FootnoteReference"/>
        </w:rPr>
        <w:footnoteRef/>
      </w:r>
      <w:r>
        <w:tab/>
        <w:t>Το ΕΣΣ είναι η σύμπραξη της ευρωπαϊκής στατιστικής αρχής, ήτοι της Επιτροπής (Eurostat), με τις εθνικές στατιστικές υπηρεσίες (ΕΣΥ) και άλλες εθνικές αρχές (ΑΕΑ) που είναι υπεύθυνες για την ανάπτυξη, την παραγωγή και τη διάδοση ευρωπαϊκών στατιστικών σε κάθε κράτος μέλος.</w:t>
      </w:r>
    </w:p>
  </w:footnote>
  <w:footnote w:id="3">
    <w:p>
      <w:pPr>
        <w:pStyle w:val="Footnote"/>
      </w:pPr>
      <w:r>
        <w:rPr>
          <w:rStyle w:val="FootnoteReference"/>
        </w:rPr>
        <w:footnoteRef/>
      </w:r>
      <w:r>
        <w:tab/>
        <w:t>Κανονισμός (ΕΕ) αριθ. 99/2013 του Ευρωπαϊκού Κοινοβουλίου και του Συμβουλίου, της 15ης Ιανουαρίου 2013, για το ευρωπαϊκό στατιστικό πρόγραμμα 2013-2017 (ΕΕ L 39 της 9.2.2013, σ. 12). Προτείνεται να παραταθεί έως 2018-2020 έως τις με το COM/2016/0557final – 2016/0265</w:t>
      </w:r>
    </w:p>
    <w:p>
      <w:pPr>
        <w:pStyle w:val="FootnoteText"/>
      </w:pPr>
    </w:p>
  </w:footnote>
  <w:footnote w:id="4">
    <w:p>
      <w:pPr>
        <w:pStyle w:val="FootnoteText"/>
      </w:pPr>
      <w:r>
        <w:rPr>
          <w:rStyle w:val="FootnoteReference"/>
        </w:rPr>
        <w:footnoteRef/>
      </w:r>
      <w:r>
        <w:tab/>
        <w:t xml:space="preserve">Βλ. </w:t>
      </w:r>
      <w:hyperlink r:id="rId1">
        <w:r>
          <w:rPr>
            <w:rStyle w:val="Hyperlink"/>
          </w:rPr>
          <w:t>http://ec.europa.eu/eurostat/web/quality/evaluation</w:t>
        </w:r>
      </w:hyperlink>
    </w:p>
  </w:footnote>
  <w:footnote w:id="5">
    <w:p>
      <w:pPr>
        <w:pStyle w:val="FootnoteText"/>
      </w:pPr>
      <w:r>
        <w:rPr>
          <w:rStyle w:val="FootnoteReference"/>
        </w:rPr>
        <w:footnoteRef/>
      </w:r>
      <w:r>
        <w:tab/>
      </w:r>
      <w:hyperlink r:id="rId2">
        <w:r>
          <w:rPr>
            <w:rStyle w:val="Hyperlink"/>
          </w:rPr>
          <w:t>http://ec.europa.eu/eurostat/documents/10186/7142348/ABS-Report.pdf</w:t>
        </w:r>
      </w:hyperlink>
      <w:r>
        <w:t xml:space="preserve">, </w:t>
      </w:r>
      <w:hyperlink r:id="rId3">
        <w:r>
          <w:rPr>
            <w:rStyle w:val="Hyperlink"/>
          </w:rPr>
          <w:t>http://ec.europa.eu/eurostat/documents/10186/6937805/Summary+report+on+the+open+public+consultations/52c01d34-ca85-4e8d-aaae-df4ae84b8dea</w:t>
        </w:r>
      </w:hyperlink>
    </w:p>
  </w:footnote>
  <w:footnote w:id="6">
    <w:p>
      <w:pPr>
        <w:pStyle w:val="FootnoteText"/>
      </w:pPr>
      <w:r>
        <w:rPr>
          <w:rStyle w:val="FootnoteReference"/>
        </w:rPr>
        <w:footnoteRef/>
      </w:r>
      <w:r>
        <w:tab/>
        <w:t>Κανονισμός (ΕΚ) αριθ. 184/2005 του Ευρωπαϊκού Κοινοβουλίου και του Συμβουλίου, της 12ης Ιανουαρίου 2005, σχετικά με τις κοινοτικές στατιστικές για το ισοζύγιο πληρωμών, το διεθνές εμπόριο υπηρεσιών και τις άμεσες ξένες επενδύσεις, ΕΕ L 35 της 8.2.2005, σ. 23-55</w:t>
      </w:r>
    </w:p>
  </w:footnote>
  <w:footnote w:id="7">
    <w:p>
      <w:pPr>
        <w:pStyle w:val="FootnoteText"/>
      </w:pPr>
      <w:r>
        <w:rPr>
          <w:rStyle w:val="FootnoteReference"/>
        </w:rPr>
        <w:footnoteRef/>
      </w:r>
      <w:r>
        <w:tab/>
        <w:t>κανονισμός (ΕΚ) αριθ. 177/2008 του Ευρωπαϊκού Κοινοβουλίου και του Συμβουλίου, της 20ής Φεβρουαρίου 2008, για τη θέσπιση κοινού πλαισίου όσον αφορά τα μητρώα επιχειρήσεων για στατιστικούς σκοπούς και την κατάργηση του κανονισμού (ΕΟΚ) αριθ. 2186/93 του Συμβουλίου (ΕΕ L 61 της 5.3.2008, σ. 6 ).</w:t>
      </w:r>
    </w:p>
  </w:footnote>
  <w:footnote w:id="8">
    <w:p>
      <w:pPr>
        <w:pStyle w:val="FootnoteText"/>
      </w:pPr>
      <w:r>
        <w:rPr>
          <w:rStyle w:val="FootnoteReference"/>
        </w:rPr>
        <w:footnoteRef/>
      </w:r>
      <w:r>
        <w:tab/>
        <w:t>Απόφαση αριθ. 1297/2008/ΕΚ του Ευρωπαϊκού Κοινοβουλίου και του Συμβουλίου, της 16ης Δεκεμβρίου 2008, περί προγράμματος εκσυγχρονισμού των ευρωπαϊκών στατιστικών επιχειρήσεων και εμπορίου (MEETS) (EE L 340 της 19.12.2008, σ. 76).</w:t>
      </w:r>
    </w:p>
  </w:footnote>
  <w:footnote w:id="9">
    <w:p>
      <w:pPr>
        <w:pStyle w:val="FootnoteText"/>
      </w:pPr>
      <w:r>
        <w:rPr>
          <w:rStyle w:val="FootnoteReference"/>
        </w:rPr>
        <w:footnoteRef/>
      </w:r>
      <w:r>
        <w:tab/>
        <w:t>Κανονισμός (ΕΚ) αριθ. 223/2009 του Ευρωπαϊκού Κοινοβουλίου και του Συμβουλίου, της 11ης Μαρτίου 2009, σχετικά με τις ευρωπαϊκές στατιστικές και την κατάργηση του κανονισμού (ΕΚ, Ευρατόμ) αριθ. 1101/2008 του Ευρωπαϊκού Κοινοβουλίου και του Συμβουλίου σχετικά με τη διαβίβαση στη Στατιστική Υπηρεσία των Ευρωπαϊκών Κοινοτήτων πληροφοριών που καλύπτονται από το στατιστικό απόρρητο, του κανονισμού (ΕΚ) αριθ. 322/97 του Συμβουλίου σχετικά με τις κοινοτικές στατιστικές και της απόφασης 89/382/ΕΟΚ, Ευρατόμ του Συμβουλίου για τη σύσταση επιτροπής του στατιστικού προγράμματος των Ευρωπαϊκών Κοινοτήτων (ΕΕ L 87 της 31.3.2009, σ. 164)</w:t>
      </w:r>
    </w:p>
  </w:footnote>
  <w:footnote w:id="10">
    <w:p>
      <w:pPr>
        <w:pStyle w:val="FootnoteText"/>
      </w:pPr>
      <w:r>
        <w:rPr>
          <w:rStyle w:val="FootnoteReference"/>
        </w:rPr>
        <w:footnoteRef/>
      </w:r>
      <w:r>
        <w:tab/>
        <w:t>Κανονισμός (ΕΕ) αριθ. 952/2013 του Ευρωπαϊκού Κοινοβουλίου και του Συμβουλίου, της 9ης Οκτωβρίου 2013, για τη θέσπιση του ενωσιακού τελωνειακού κώδικα (ΕΕ L 269 της 10.10.2013, σ. 1)</w:t>
      </w:r>
    </w:p>
  </w:footnote>
  <w:footnote w:id="11">
    <w:p>
      <w:pPr>
        <w:pStyle w:val="FootnoteText"/>
      </w:pPr>
      <w:r>
        <w:rPr>
          <w:rStyle w:val="FootnoteReference"/>
        </w:rPr>
        <w:footnoteRef/>
      </w:r>
      <w:r>
        <w:tab/>
        <w:t>Κανονισμός (ΕΕ) αριθ. 549/2013 του Ευρωπαϊκού Κοινοβουλίου και του Συμβουλίου, της 21ης Μαΐου 2013, για το ευρωπαϊκό σύστημα εθνικών και περιφερειακών λογαριασμών της Ευρωπαϊκής Ένωσης (ΕΕ L 174 της 26.6.2013, σ. 1)</w:t>
      </w:r>
    </w:p>
  </w:footnote>
  <w:footnote w:id="12">
    <w:p>
      <w:pPr>
        <w:pStyle w:val="FootnoteText"/>
      </w:pPr>
      <w:r>
        <w:rPr>
          <w:rStyle w:val="FootnoteReference"/>
        </w:rPr>
        <w:footnoteRef/>
      </w:r>
      <w:r>
        <w:tab/>
        <w:t>ΕΕ L 123 της 12.5.2016, σ. 1.</w:t>
      </w:r>
    </w:p>
  </w:footnote>
  <w:footnote w:id="13">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εκτελεστικών αρμοδιοτήτων από την Επιτροπή (ΕΕ L 55 της 28.2.2011, σ. 13)</w:t>
      </w:r>
    </w:p>
  </w:footnote>
  <w:footnote w:id="14">
    <w:p>
      <w:pPr>
        <w:pStyle w:val="FootnoteText"/>
      </w:pPr>
      <w:r>
        <w:rPr>
          <w:rStyle w:val="FootnoteReference"/>
        </w:rPr>
        <w:footnoteRef/>
      </w:r>
      <w:r>
        <w:tab/>
        <w:t>Κανονισμός (ΕΚ) αριθ. 184/2005 του Ευρωπαϊκού Κοινοβουλίου και του Συμβουλίου, της 12ης Ιανουαρίου 2005, σχετικά με τις κοινοτικές στατιστικές για το ισοζύγιο πληρωμών, το διεθνές εμπόριο υπηρεσιών και τις άμεσες ξένες επενδύσεις (ΕΕ L 35 της 8.2.2005, σ. 23)</w:t>
      </w:r>
    </w:p>
  </w:footnote>
  <w:footnote w:id="15">
    <w:p>
      <w:pPr>
        <w:pStyle w:val="FootnoteText"/>
      </w:pPr>
      <w:r>
        <w:rPr>
          <w:rStyle w:val="FootnoteReference"/>
        </w:rPr>
        <w:footnoteRef/>
      </w:r>
      <w:r>
        <w:tab/>
        <w:t>Κανονισμός (ΕΟΚ) αριθ. 3924/91 του Συμβουλίου, της 19ης Δεκεμβρίου 1991, περί κοινοτικής έρευνας για τη βιομηχανική παραγωγή (ΕΕ L 374 της 31.12.1991, σ. 1)</w:t>
      </w:r>
    </w:p>
  </w:footnote>
  <w:footnote w:id="16">
    <w:p>
      <w:pPr>
        <w:pStyle w:val="FootnoteText"/>
      </w:pPr>
      <w:r>
        <w:rPr>
          <w:rStyle w:val="FootnoteReference"/>
        </w:rPr>
        <w:footnoteRef/>
      </w:r>
      <w:r>
        <w:tab/>
        <w:t>Κανονισμός (ΕΚ) αριθ. 1165/98 του Συμβουλίου, της 19ης Μαΐου 1998, περί βραχυπρόθεσμων στατιστικών (ΕΕ L 162 της 5.6.1998, σ. 1)</w:t>
      </w:r>
    </w:p>
  </w:footnote>
  <w:footnote w:id="17">
    <w:p>
      <w:pPr>
        <w:pStyle w:val="FootnoteText"/>
      </w:pPr>
      <w:r>
        <w:rPr>
          <w:rStyle w:val="FootnoteReference"/>
        </w:rPr>
        <w:footnoteRef/>
      </w:r>
      <w:r>
        <w:tab/>
        <w:t>Απόφαση αριθ. 1608/2003/ΕΚ του Ευρωπαϊκού Κοινοβουλίου και του Συμβουλίου, της 22ας Ιουλίου 2003, σχετικά με την παραγωγή και την ανάπτυξη κοινοτικών στατιστικών για την επιστήμη και την τεχνολογία (ΕΕ L 230 της 16.9.2003, σ. 1)</w:t>
      </w:r>
    </w:p>
  </w:footnote>
  <w:footnote w:id="18">
    <w:p>
      <w:pPr>
        <w:pStyle w:val="FootnoteText"/>
      </w:pPr>
      <w:r>
        <w:rPr>
          <w:rStyle w:val="FootnoteReference"/>
        </w:rPr>
        <w:footnoteRef/>
      </w:r>
      <w:r>
        <w:tab/>
        <w:t>Κανονισμός (ΕΚ) αριθ. 48/2004 του Ευρωπαϊκού Κοινοβουλίου και του Συμβουλίου, της 5ης Δεκεμβρίου 2003, για την παραγωγή ετήσιων κοινοτικών στατιστικών για τη βιομηχανία χάλυβος για τα έτη αναφοράς 2003-2009 (ΕΕ L 7 της 13.1.2004, σ. 1)</w:t>
      </w:r>
    </w:p>
  </w:footnote>
  <w:footnote w:id="19">
    <w:p>
      <w:pPr>
        <w:pStyle w:val="FootnoteText"/>
      </w:pPr>
      <w:r>
        <w:rPr>
          <w:rStyle w:val="FootnoteReference"/>
        </w:rPr>
        <w:footnoteRef/>
      </w:r>
      <w:r>
        <w:tab/>
        <w:t>Κανονισμός (ΕΚ) αριθ. 638/2004 του Ευρωπαϊκού Κοινοβουλίου και του Συμβουλίου, της 31ης Μαρτίου 2004, σχετικά με τις κοινοτικές στατιστικές για τις συναλλαγές αγαθών μεταξύ κρατών μελών και την κατάργηση του κανονισμού (ΕΟΚ) αριθ. 3330/91 του Συμβουλίου (ΕΕ L 102 της 7.4.2004, σ. 1)</w:t>
      </w:r>
    </w:p>
  </w:footnote>
  <w:footnote w:id="20">
    <w:p>
      <w:pPr>
        <w:pStyle w:val="FootnoteText"/>
      </w:pPr>
      <w:r>
        <w:rPr>
          <w:rStyle w:val="FootnoteReference"/>
        </w:rPr>
        <w:footnoteRef/>
      </w:r>
      <w:r>
        <w:tab/>
        <w:t>Κανονισμός (ΕΚ) αριθ. 808/2004 του Ευρωπαϊκού Κοινοβουλίου και του Συμβουλίου, της 21ης Απριλίου 2004, σχετικά με τις κοινοτικές στατιστικές για την κοινωνία της πληροφορίας (ΕΕ L 143 της 30.4.2004, σ. 49)</w:t>
      </w:r>
    </w:p>
  </w:footnote>
  <w:footnote w:id="21">
    <w:p>
      <w:pPr>
        <w:pStyle w:val="FootnoteText"/>
      </w:pPr>
      <w:r>
        <w:rPr>
          <w:rStyle w:val="FootnoteReference"/>
        </w:rPr>
        <w:footnoteRef/>
      </w:r>
      <w:r>
        <w:tab/>
        <w:t>Κανονισμός (ΕΚ) αριθ. 716/2007 του Ευρωπαϊκού Κοινοβουλίου και του Συμβουλίου, της 20ής Ιουνίου 2007, περί κοινοτικών στατιστικών για τη διάρθρωση και τη δραστηριότητα των αλλοδαπών συνδεόμενων επιχειρήσεων (ΕΕ L 171 της 29.6.2007, σ. 17)</w:t>
      </w:r>
    </w:p>
  </w:footnote>
  <w:footnote w:id="22">
    <w:p>
      <w:pPr>
        <w:pStyle w:val="FootnoteText"/>
      </w:pPr>
      <w:r>
        <w:rPr>
          <w:rStyle w:val="FootnoteReference"/>
        </w:rPr>
        <w:footnoteRef/>
      </w:r>
      <w:r>
        <w:tab/>
        <w:t>Κανονισμός (ΕΚ) αριθ. 177/2008 του Ευρωπαϊκού Κοινοβουλίου και του Συμβουλίου, της 20ής Φεβρουαρίου 2008, για τη θέσπιση κοινού πλαισίου όσον αφορά τα μητρώα επιχειρήσεων για στατιστικούς σκοπούς και την κατάργηση του κανονισμού (ΕΟΚ) αριθ. 2186/93 του Συμβουλίου (ΕΕ L 61 της 5.3.2008, σ. 6 )</w:t>
      </w:r>
    </w:p>
  </w:footnote>
  <w:footnote w:id="23">
    <w:p>
      <w:pPr>
        <w:pStyle w:val="FootnoteText"/>
      </w:pPr>
      <w:r>
        <w:rPr>
          <w:rStyle w:val="FootnoteReference"/>
        </w:rPr>
        <w:footnoteRef/>
      </w:r>
      <w:r>
        <w:tab/>
        <w:t>Κανονισμός (ΕΚ) αριθ. 295/2008 του Ευρωπαϊκού Κοινοβουλίου και του Συμβουλίου, της 11ης Μαρτίου 2008, σχετικά με τις στατιστικές διάρθρωσης των επιχειρήσεων (αναδιατύπωση) (ΕΕ L 97 της 9.4.2008, σ. 13)</w:t>
      </w:r>
    </w:p>
  </w:footnote>
  <w:footnote w:id="24">
    <w:p>
      <w:pPr>
        <w:pStyle w:val="FootnoteText"/>
      </w:pPr>
      <w:r>
        <w:rPr>
          <w:rStyle w:val="FootnoteReference"/>
        </w:rPr>
        <w:footnoteRef/>
      </w:r>
      <w:r>
        <w:tab/>
        <w:t>Κανονισμός (ΕΚ) αριθ. 471/2009 του Ευρωπαϊκού Κοινοβουλίου και του Συμβουλίου, της 6ης Μαΐου 2009, για τις κοινοτικές στατιστικές του εξωτερικού εμπορίου με τις τρίτες χώρες και για την κατάργηση του κανονισμού (ΕΚ) αριθ. 1172/95 του Συμβουλίου (ΕΕ L 152 της 16.6.2009, σ. 23)</w:t>
      </w:r>
    </w:p>
  </w:footnote>
  <w:footnote w:id="25">
    <w:p>
      <w:pPr>
        <w:pStyle w:val="FootnoteText"/>
      </w:pPr>
      <w:r>
        <w:rPr>
          <w:rStyle w:val="FootnoteReference"/>
        </w:rPr>
        <w:footnoteRef/>
      </w:r>
      <w:r>
        <w:tab/>
        <w:t>Κανονισμός (ΕΟΚ) αριθ. 696/93 του Συμβουλίου, της 15ης Μαρτίου 1993, για τις στατιστικές μονάδες παρατήρησης και ανάλυσης του παραγωγικού συστήματος στην Ευρωπαϊκή Κοινότητα (ΕΕ L 76 της 30.3.1993, σ. 1)</w:t>
      </w:r>
    </w:p>
  </w:footnote>
  <w:footnote w:id="26">
    <w:p>
      <w:pPr>
        <w:pStyle w:val="FootnoteText"/>
      </w:pPr>
      <w:r>
        <w:rPr>
          <w:rStyle w:val="FootnoteReference"/>
        </w:rPr>
        <w:footnoteRef/>
      </w:r>
      <w:r>
        <w:tab/>
        <w:t>Οδηγία 2006/112/ΕΚ του Συμβουλίου, της 28ης Νοεμβρίου 2006, σχετικά με το κοινό σύστημα φόρου προστιθέμενης αξίας (ΕΕ L 347 της 11.12.2006, σ. 1).</w:t>
      </w:r>
    </w:p>
  </w:footnote>
  <w:footnote w:id="27">
    <w:p>
      <w:pPr>
        <w:pStyle w:val="FootnoteText"/>
      </w:pPr>
      <w:r>
        <w:rPr>
          <w:rStyle w:val="FootnoteReference"/>
        </w:rPr>
        <w:footnoteRef/>
      </w:r>
      <w:r>
        <w:tab/>
        <w:t>Κανονισμός (ΕΚ) αριθ. 1893/2006 του Ευρωπαϊκού Κοινοβουλίου και του Συμβουλίου για τη θέσπιση της στατιστικής ταξινόμησης των οικονομικών δραστηριοτήτων NACE αναθεώρηση 2 και για την τροποποίηση του κανονισμού (ΕΟΚ) αριθ. 3037/90 του Συμβουλίου και ορισμένων κανονισμών των Ευρωπαϊκών Κοινοτήτων σχετικών με ειδικούς στατιστικούς τομείς (ΕΕ L 393 της 30.12.2006, σ. 1)</w:t>
      </w:r>
    </w:p>
  </w:footnote>
  <w:footnote w:id="28">
    <w:p>
      <w:pPr>
        <w:pStyle w:val="FootnoteText"/>
      </w:pPr>
      <w:r>
        <w:rPr>
          <w:rStyle w:val="FootnoteReference"/>
        </w:rPr>
        <w:footnoteRef/>
      </w:r>
      <w:r>
        <w:tab/>
        <w:t>Οδηγία 2006/112/ΕΚ του Συμβουλίου της 28ης Νοεμβρίου,2006 σχετικά με το κοινό σύστημα φόρου προστιθέμενης αξίας.</w:t>
      </w:r>
    </w:p>
    <w:p>
      <w:pPr>
        <w:pStyle w:val="FootnoteText"/>
        <w:ind w:firstLine="0"/>
      </w:pPr>
      <w:r>
        <w:t>(ΕΕ L 347 της 11.12.2006, σ. 1)</w:t>
      </w:r>
    </w:p>
  </w:footnote>
  <w:footnote w:id="29">
    <w:p>
      <w:pPr>
        <w:pStyle w:val="FootnoteText"/>
        <w:rPr>
          <w:szCs w:val="24"/>
        </w:rPr>
      </w:pPr>
      <w:r>
        <w:rPr>
          <w:rStyle w:val="FootnoteReference"/>
        </w:rPr>
        <w:footnoteRef/>
      </w:r>
      <w:r>
        <w:tab/>
        <w:t>διαχείριση με βάση τις δραστηριότητες· ΠΒΔ: προϋπολογισμός βάσει δραστηριοτήτων.</w:t>
      </w:r>
    </w:p>
  </w:footnote>
  <w:footnote w:id="30">
    <w:p>
      <w:pPr>
        <w:pStyle w:val="FootnoteText"/>
        <w:rPr>
          <w:szCs w:val="24"/>
        </w:rPr>
      </w:pPr>
      <w:r>
        <w:rPr>
          <w:rStyle w:val="FootnoteReference"/>
        </w:rPr>
        <w:footnoteRef/>
      </w:r>
      <w:r>
        <w:tab/>
        <w:t>Αναφερόμενα στο άρθρο 54 παράγραφος 2 στοιχείο α) ή β) του δημοσιονομικού κανονισμού.</w:t>
      </w:r>
    </w:p>
  </w:footnote>
  <w:footnote w:id="31">
    <w:p>
      <w:pPr>
        <w:pStyle w:val="FootnoteText"/>
        <w:jc w:val="lef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4">
        <w:r>
          <w:rPr>
            <w:rStyle w:val="Hyperlink"/>
          </w:rPr>
          <w:t>https://myintracomm.ec.europa.eu/budgweb/EL/man/budgmanag/Pages/budgmanag.aspx</w:t>
        </w:r>
      </w:hyperlink>
      <w:r>
        <w:t xml:space="preserve"> </w:t>
      </w:r>
    </w:p>
  </w:footnote>
  <w:footnote w:id="32">
    <w:p>
      <w:pPr>
        <w:pStyle w:val="FootnoteText"/>
        <w:rPr>
          <w:szCs w:val="24"/>
        </w:rPr>
      </w:pPr>
      <w:r>
        <w:rPr>
          <w:rStyle w:val="FootnoteReference"/>
        </w:rPr>
        <w:footnoteRef/>
      </w:r>
      <w:r>
        <w:tab/>
        <w:t>ΔΠ =  Διαχωριζόμενες πιστώσεις/ΜΔΠ = Μη διαχωριζόμενες πιστώσεις.</w:t>
      </w:r>
    </w:p>
  </w:footnote>
  <w:footnote w:id="33">
    <w:p>
      <w:pPr>
        <w:pStyle w:val="FootnoteText"/>
        <w:rPr>
          <w:szCs w:val="24"/>
        </w:rPr>
      </w:pPr>
      <w:r>
        <w:rPr>
          <w:rStyle w:val="FootnoteReference"/>
        </w:rPr>
        <w:footnoteRef/>
      </w:r>
      <w:r>
        <w:tab/>
        <w:t xml:space="preserve">ΕΖΕΣ: Ευρωπαϊκή Ζώνη Ελεύθερων Συναλλαγών. </w:t>
      </w:r>
    </w:p>
  </w:footnote>
  <w:footnote w:id="34">
    <w:p>
      <w:pPr>
        <w:pStyle w:val="FootnoteText"/>
        <w:rPr>
          <w:szCs w:val="24"/>
        </w:rPr>
      </w:pPr>
      <w:r>
        <w:rPr>
          <w:rStyle w:val="FootnoteReference"/>
        </w:rPr>
        <w:footnoteRef/>
      </w:r>
      <w:r>
        <w:tab/>
        <w:t>Υποψήφιες χώρες και, κατά περίπτωση, δυνητικά υποψήφιες χώρες των Δυτικών Βαλκανίων.</w:t>
      </w:r>
    </w:p>
  </w:footnote>
  <w:footnote w:id="35">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36">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37">
    <w:p>
      <w:pPr>
        <w:pStyle w:val="FootnoteText"/>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38">
    <w:p>
      <w:pPr>
        <w:pStyle w:val="FootnoteText"/>
        <w:rPr>
          <w:szCs w:val="24"/>
        </w:rPr>
      </w:pPr>
      <w:r>
        <w:rPr>
          <w:rStyle w:val="FootnoteReference"/>
        </w:rPr>
        <w:footnoteRef/>
      </w:r>
      <w:r>
        <w:tab/>
        <w:t xml:space="preserve">Όπως περιγράφεται στο σημείο 1.4.2. «Ειδικός/-οί στόχος/-οι…». </w:t>
      </w:r>
    </w:p>
  </w:footnote>
  <w:footnote w:id="39">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40">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1">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JED = νέος εμπειρογνώμονας σε αντιπροσωπεία. </w:t>
      </w:r>
    </w:p>
  </w:footnote>
  <w:footnote w:id="42">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A4DE08"/>
    <w:lvl w:ilvl="0">
      <w:start w:val="1"/>
      <w:numFmt w:val="decimal"/>
      <w:pStyle w:val="TableofFigures"/>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80"/>
    <w:multiLevelType w:val="singleLevel"/>
    <w:tmpl w:val="1FA45650"/>
    <w:lvl w:ilvl="0">
      <w:start w:val="1"/>
      <w:numFmt w:val="bullet"/>
      <w:pStyle w:val="List"/>
      <w:lvlText w:val=""/>
      <w:lvlJc w:val="left"/>
      <w:pPr>
        <w:tabs>
          <w:tab w:val="num" w:pos="1492"/>
        </w:tabs>
        <w:ind w:left="1492" w:hanging="360"/>
      </w:pPr>
      <w:rPr>
        <w:rFonts w:ascii="Symbol" w:hAnsi="Symbol" w:hint="default"/>
      </w:rPr>
    </w:lvl>
  </w:abstractNum>
  <w:abstractNum w:abstractNumId="3">
    <w:nsid w:val="FFFFFF81"/>
    <w:multiLevelType w:val="singleLevel"/>
    <w:tmpl w:val="2FF650A6"/>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nsid w:val="FFFFFF82"/>
    <w:multiLevelType w:val="singleLevel"/>
    <w:tmpl w:val="4F9EF0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01E02588"/>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mc:AlternateContent>
        <mc:Choice Requires="w14">
          <w:numFmt w:val="custom" w:format="α, β, γ, ..."/>
        </mc:Choice>
        <mc:Fallback>
          <w:numFmt w:val="decimal"/>
        </mc:Fallback>
      </mc:AlternateContent>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65D172F"/>
    <w:multiLevelType w:val="multilevel"/>
    <w:tmpl w:val="6AEE9BA4"/>
    <w:lvl w:ilvl="0">
      <w:start w:val="1"/>
      <w:numFmt w:val="decimal"/>
      <w:pStyle w:val="TOAHeading"/>
      <w:lvlText w:val="(%1)"/>
      <w:lvlJc w:val="left"/>
      <w:pPr>
        <w:tabs>
          <w:tab w:val="num" w:pos="1911"/>
        </w:tabs>
        <w:ind w:left="1911" w:hanging="709"/>
      </w:pPr>
    </w:lvl>
    <w:lvl w:ilvl="1">
      <w:start w:val="1"/>
      <w:numFmt w:val="lowerLetter"/>
      <w:pStyle w:val="YReferences"/>
      <w:lvlText w:val="(%2)"/>
      <w:lvlJc w:val="left"/>
      <w:pPr>
        <w:tabs>
          <w:tab w:val="num" w:pos="2619"/>
        </w:tabs>
        <w:ind w:left="2619" w:hanging="708"/>
      </w:pPr>
    </w:lvl>
    <w:lvl w:ilvl="2">
      <w:start w:val="1"/>
      <w:numFmt w:val="bullet"/>
      <w:pStyle w:val="ListDash"/>
      <w:lvlText w:val="–"/>
      <w:lvlJc w:val="left"/>
      <w:pPr>
        <w:tabs>
          <w:tab w:val="num" w:pos="3328"/>
        </w:tabs>
        <w:ind w:left="3328" w:hanging="709"/>
      </w:pPr>
      <w:rPr>
        <w:rFonts w:ascii="Times New Roman" w:hAnsi="Times New Roman"/>
      </w:rPr>
    </w:lvl>
    <w:lvl w:ilvl="3">
      <w:start w:val="1"/>
      <w:numFmt w:val="bullet"/>
      <w:pStyle w:val="ListDash3"/>
      <w:lvlText w:val=""/>
      <w:lvlJc w:val="left"/>
      <w:pPr>
        <w:tabs>
          <w:tab w:val="num" w:pos="4037"/>
        </w:tabs>
        <w:ind w:left="4037"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2B5C67"/>
    <w:multiLevelType w:val="singleLevel"/>
    <w:tmpl w:val="40D2097A"/>
    <w:lvl w:ilvl="0">
      <w:start w:val="1"/>
      <w:numFmt w:val="bullet"/>
      <w:pStyle w:val="TableofAuthorities"/>
      <w:lvlText w:val="–"/>
      <w:lvlJc w:val="left"/>
      <w:pPr>
        <w:tabs>
          <w:tab w:val="num" w:pos="283"/>
        </w:tabs>
        <w:ind w:left="283" w:hanging="283"/>
      </w:pPr>
      <w:rPr>
        <w:rFonts w:ascii="Times New Roman" w:hAnsi="Times New Roman"/>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91103A0"/>
    <w:multiLevelType w:val="singleLevel"/>
    <w:tmpl w:val="39A25962"/>
    <w:lvl w:ilvl="0">
      <w:start w:val="1"/>
      <w:numFmt w:val="bullet"/>
      <w:lvlRestart w:val="0"/>
      <w:pStyle w:val="CommentSubject"/>
      <w:lvlText w:val="–"/>
      <w:lvlJc w:val="left"/>
      <w:pPr>
        <w:tabs>
          <w:tab w:val="num" w:pos="850"/>
        </w:tabs>
        <w:ind w:left="850" w:hanging="850"/>
      </w:pPr>
    </w:lvl>
  </w:abstractNum>
  <w:abstractNum w:abstractNumId="25">
    <w:nsid w:val="6DD14640"/>
    <w:multiLevelType w:val="singleLevel"/>
    <w:tmpl w:val="6886582C"/>
    <w:lvl w:ilvl="0">
      <w:start w:val="1"/>
      <w:numFmt w:val="decimal"/>
      <w:lvlRestart w:val="0"/>
      <w:pStyle w:val="ListNumber2"/>
      <w:lvlText w:val="(%1)"/>
      <w:lvlJc w:val="left"/>
      <w:pPr>
        <w:tabs>
          <w:tab w:val="num" w:pos="709"/>
        </w:tabs>
        <w:ind w:left="709" w:hanging="709"/>
      </w:pPr>
    </w:lvl>
  </w:abstractNum>
  <w:abstractNum w:abstractNumId="26">
    <w:nsid w:val="6E5C21E3"/>
    <w:multiLevelType w:val="singleLevel"/>
    <w:tmpl w:val="91AE4CCA"/>
    <w:lvl w:ilvl="0">
      <w:start w:val="1"/>
      <w:numFmt w:val="bullet"/>
      <w:pStyle w:val="Title"/>
      <w:lvlText w:val="–"/>
      <w:lvlJc w:val="left"/>
      <w:pPr>
        <w:tabs>
          <w:tab w:val="num" w:pos="2199"/>
        </w:tabs>
        <w:ind w:left="2199" w:hanging="283"/>
      </w:pPr>
      <w:rPr>
        <w:rFonts w:ascii="Times New Roman" w:hAnsi="Times New Roman"/>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5"/>
  </w:num>
  <w:num w:numId="3">
    <w:abstractNumId w:val="15"/>
  </w:num>
  <w:num w:numId="4">
    <w:abstractNumId w:val="14"/>
  </w:num>
  <w:num w:numId="5">
    <w:abstractNumId w:val="27"/>
  </w:num>
  <w:num w:numId="6">
    <w:abstractNumId w:val="20"/>
  </w:num>
  <w:num w:numId="7">
    <w:abstractNumId w:val="2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2"/>
    <w:lvlOverride w:ilvl="0">
      <w:startOverride w:val="1"/>
    </w:lvlOverride>
  </w:num>
  <w:num w:numId="12">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9"/>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2"/>
  </w:num>
  <w:num w:numId="18">
    <w:abstractNumId w:val="22"/>
  </w:num>
  <w:num w:numId="19">
    <w:abstractNumId w:val="26"/>
  </w:num>
  <w:num w:numId="20">
    <w:abstractNumId w:val="13"/>
  </w:num>
  <w:num w:numId="21">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4"/>
    </w:lvlOverride>
    <w:lvlOverride w:ilvl="1">
      <w:startOverride w:val="1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num>
  <w:num w:numId="28">
    <w:abstractNumId w:val="2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10"/>
  </w:num>
  <w:num w:numId="70">
    <w:abstractNumId w:val="23"/>
  </w:num>
  <w:num w:numId="71">
    <w:abstractNumId w:val="9"/>
  </w:num>
  <w:num w:numId="72">
    <w:abstractNumId w:val="11"/>
  </w:num>
  <w:num w:numId="73">
    <w:abstractNumId w:val="7"/>
  </w:num>
  <w:num w:numId="74">
    <w:abstractNumId w:val="21"/>
  </w:num>
  <w:num w:numId="75">
    <w:abstractNumId w:val="6"/>
  </w:num>
  <w:num w:numId="76">
    <w:abstractNumId w:val="12"/>
  </w:num>
  <w:num w:numId="77">
    <w:abstractNumId w:val="17"/>
  </w:num>
  <w:num w:numId="78">
    <w:abstractNumId w:val="18"/>
  </w:num>
  <w:num w:numId="79">
    <w:abstractNumId w:val="8"/>
  </w:num>
  <w:num w:numId="80">
    <w:abstractNumId w:val="16"/>
  </w:num>
  <w:num w:numId="81">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6 19:01: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5"/>
    <w:docVar w:name="DQCStatus" w:val="Yellow"/>
    <w:docVar w:name="DQCVersion" w:val="3"/>
    <w:docVar w:name="DQCWithWarnings" w:val="0"/>
    <w:docVar w:name="LW_CONFIDENCE" w:val=" "/>
    <w:docVar w:name="LW_CONST_RESTREINT_UE" w:val="RESTREINT UE"/>
    <w:docVar w:name="LW_CORRIGENDUM" w:val="&lt;UNUSED&gt;"/>
    <w:docVar w:name="LW_COVERPAGE_GUID" w:val="E4A91E0AF12A4734A7CCA08644D67B4B"/>
    <w:docVar w:name="LW_CROSSREFERENCE" w:val="{SWD(2017) 98 final}_x000b_{SWD(2017) 99 final}"/>
    <w:docVar w:name="LW_DocType" w:val="COM"/>
    <w:docVar w:name="LW_EMISSION" w:val="6.3.2017"/>
    <w:docVar w:name="LW_EMISSION_ISODATE" w:val="2017-03-06"/>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 (\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48"/>
    <w:docVar w:name="LW_REF.II.NEW.CP_YEAR" w:val="2017"/>
    <w:docVar w:name="LW_REF.INST.NEW" w:val="COM"/>
    <w:docVar w:name="LW_REF.INST.NEW_ADOPTED" w:val="final"/>
    <w:docVar w:name="LW_REF.INST.NEW_TEXT" w:val="(2017) 114"/>
    <w:docVar w:name="LW_REF.INTERNE" w:val="&lt;UNUSED&gt;"/>
    <w:docVar w:name="LW_SOUS.TITRE.OBJ.CP" w:val="&lt;UNUSED&gt;"/>
    <w:docVar w:name="LW_STATUT.CP" w:val="\u928?\u961?\u972?\u964?\u945?\u963?\u951?"/>
    <w:docVar w:name="LW_SUPERTITRE" w:val="&lt;UNUSED&gt;"/>
    <w:docVar w:name="LW_TITRE.OBJ.CP" w:val="\u963?\u967?\u949?\u964?\u953?\u954?\u940? \u956?\u949? \u964?\u953?\u962? \u949?\u965?\u961?\u969?\u960?\u945?\u970?\u954?\u941?\u962? \u963?\u964?\u945?\u964?\u953?\u963?\u964?\u953?\u954?\u941?\u962? \u947?\u953?\u945? \u964?\u953?\u962? \u949?\u960?\u953?\u967?\u949?\u953?\u961?\u942?\u963?\u949?\u953?\u962?, _x000b_\u964?\u951?\u957? \u964?\u961?\u959?\u960?\u959?\u960?\u959?\u943?\u951?\u963?\u951? \u964?\u959?\u965? \u954?\u945?\u957?\u959?\u957?\u953?\u963?\u956?\u959?\u973? (\u917?\u922?) \u945?\u961?\u953?\u952?. 184/2005 \u954?\u945?\u953? \u964?\u951?\u957? \u954?\u945?\u964?\u940?\u961?\u947?\u951?\u963?\u951? 10 \u957?\u959?\u956?\u953?\u954?\u974?\u957? \u960?\u961?\u940?\u958?\u949?\u969?\u957? \u963?\u964?\u959?\u957? \u964?\u959?\u956?\u941?\u945? \u964?\u969?\u957? \u963?\u964?\u945?\u964?\u953?\u963?\u964?\u953?\u954?\u974?\u957? \u947?\u953?\u945? \u964?\u953?\u962? \u949?\u960?\u953?\u967?\u949?\u953?\u961?\u942?\u963?\u949?\u953?\u962?"/>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el-GR" w:eastAsia="el-GR"/>
    </w:rPr>
  </w:style>
  <w:style w:type="character" w:customStyle="1" w:styleId="Heading5Char">
    <w:name w:val="Heading 5 Char"/>
    <w:basedOn w:val="DefaultParagraphFont"/>
    <w:link w:val="Heading5"/>
    <w:rPr>
      <w:rFonts w:ascii="Arial" w:eastAsia="Times New Roman" w:hAnsi="Arial" w:cs="Times New Roman"/>
      <w:szCs w:val="20"/>
      <w:lang w:val="el-GR"/>
    </w:rPr>
  </w:style>
  <w:style w:type="character" w:customStyle="1" w:styleId="Heading6Char">
    <w:name w:val="Heading 6 Char"/>
    <w:basedOn w:val="DefaultParagraphFont"/>
    <w:link w:val="Heading6"/>
    <w:rPr>
      <w:rFonts w:ascii="Arial" w:eastAsia="Times New Roman" w:hAnsi="Arial" w:cs="Times New Roman"/>
      <w:i/>
      <w:szCs w:val="20"/>
      <w:lang w:val="el-GR"/>
    </w:rPr>
  </w:style>
  <w:style w:type="character" w:customStyle="1" w:styleId="Heading7Char">
    <w:name w:val="Heading 7 Char"/>
    <w:basedOn w:val="DefaultParagraphFont"/>
    <w:link w:val="Heading7"/>
    <w:rPr>
      <w:rFonts w:ascii="Arial" w:eastAsia="Times New Roman" w:hAnsi="Arial" w:cs="Times New Roman"/>
      <w:sz w:val="20"/>
      <w:szCs w:val="20"/>
      <w:lang w:val="el-GR"/>
    </w:rPr>
  </w:style>
  <w:style w:type="character" w:customStyle="1" w:styleId="Heading8Char">
    <w:name w:val="Heading 8 Char"/>
    <w:basedOn w:val="DefaultParagraphFont"/>
    <w:link w:val="Heading8"/>
    <w:rPr>
      <w:rFonts w:ascii="Arial" w:eastAsia="Times New Roman" w:hAnsi="Arial" w:cs="Times New Roman"/>
      <w:i/>
      <w:sz w:val="20"/>
      <w:szCs w:val="20"/>
      <w:lang w:val="el-GR"/>
    </w:rPr>
  </w:style>
  <w:style w:type="character" w:customStyle="1" w:styleId="Heading9Char">
    <w:name w:val="Heading 9 Char"/>
    <w:basedOn w:val="DefaultParagraphFont"/>
    <w:link w:val="Heading9"/>
    <w:rPr>
      <w:rFonts w:ascii="Arial" w:eastAsia="Times New Roman" w:hAnsi="Arial" w:cs="Times New Roman"/>
      <w:i/>
      <w:sz w:val="18"/>
      <w:szCs w:val="20"/>
      <w:lang w:val="el-GR"/>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l-GR" w:eastAsia="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unhideWhenUsed/>
    <w:qFormat/>
    <w:pPr>
      <w:numPr>
        <w:numId w:val="15"/>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6"/>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28"/>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l-GR"/>
    </w:rPr>
  </w:style>
  <w:style w:type="character" w:customStyle="1" w:styleId="Text2Char">
    <w:name w:val="Text 2 Char"/>
    <w:rPr>
      <w:rFonts w:ascii="Times New Roman" w:hAnsi="Times New Roman" w:cs="Times New Roman"/>
      <w:sz w:val="24"/>
      <w:lang w:val="el-GR"/>
    </w:rPr>
  </w:style>
  <w:style w:type="character" w:customStyle="1" w:styleId="NumPar1Char">
    <w:name w:val="NumPar 1 Char"/>
    <w:rPr>
      <w:rFonts w:ascii="Times New Roman" w:hAnsi="Times New Roman" w:cs="Times New Roman"/>
      <w:sz w:val="24"/>
      <w:lang w:val="el-GR"/>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l-GR"/>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l-GR"/>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l-GR"/>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l-GR"/>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l-G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l-GR"/>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l-GR"/>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l-GR"/>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l-GR"/>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l-GR"/>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l-GR"/>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l-GR"/>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l-GR"/>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7"/>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l-GR"/>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l-GR"/>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l-GR"/>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el-GR"/>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l-GR"/>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l-GR"/>
    </w:rPr>
  </w:style>
  <w:style w:type="paragraph" w:styleId="TableofAuthorities">
    <w:name w:val="table of authorities"/>
    <w:basedOn w:val="Normal"/>
    <w:next w:val="Normal"/>
    <w:semiHidden/>
    <w:pPr>
      <w:numPr>
        <w:numId w:val="18"/>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9"/>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20"/>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20"/>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20"/>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20"/>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el-GR"/>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el-GR" w:eastAsia="el-GR"/>
    </w:rPr>
  </w:style>
  <w:style w:type="character" w:customStyle="1" w:styleId="tw4winError">
    <w:name w:val="tw4winError"/>
    <w:rPr>
      <w:color w:val="00FF00"/>
      <w:sz w:val="40"/>
      <w:lang w:val="el-GR" w:eastAsia="el-GR"/>
    </w:rPr>
  </w:style>
  <w:style w:type="character" w:customStyle="1" w:styleId="tw4winTerm">
    <w:name w:val="tw4winTerm"/>
    <w:rPr>
      <w:color w:val="0000FF"/>
      <w:lang w:val="el-GR" w:eastAsia="el-GR"/>
    </w:rPr>
  </w:style>
  <w:style w:type="character" w:customStyle="1" w:styleId="tw4winPopup">
    <w:name w:val="tw4winPopup"/>
    <w:rPr>
      <w:noProof/>
      <w:color w:val="008000"/>
      <w:lang w:val="el-GR" w:eastAsia="el-GR"/>
    </w:rPr>
  </w:style>
  <w:style w:type="character" w:customStyle="1" w:styleId="tw4winJump">
    <w:name w:val="tw4winJump"/>
    <w:rPr>
      <w:noProof/>
      <w:color w:val="008080"/>
      <w:lang w:val="el-GR" w:eastAsia="el-GR"/>
    </w:rPr>
  </w:style>
  <w:style w:type="character" w:customStyle="1" w:styleId="tw4winExternal">
    <w:name w:val="tw4winExternal"/>
    <w:rPr>
      <w:noProof/>
      <w:color w:val="808080"/>
      <w:lang w:val="el-GR" w:eastAsia="el-GR"/>
    </w:rPr>
  </w:style>
  <w:style w:type="character" w:customStyle="1" w:styleId="tw4winInternal">
    <w:name w:val="tw4winInternal"/>
    <w:rPr>
      <w:noProof/>
      <w:color w:val="FF0000"/>
      <w:lang w:val="el-GR" w:eastAsia="el-GR"/>
    </w:rPr>
  </w:style>
  <w:style w:type="character" w:customStyle="1" w:styleId="DONOTTRANSLATE">
    <w:name w:val="DO_NOT_TRANSLATE"/>
    <w:rPr>
      <w:noProof/>
      <w:color w:val="800000"/>
      <w:lang w:val="el-GR" w:eastAsia="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el-GR" w:eastAsia="el-GR"/>
    </w:rPr>
  </w:style>
  <w:style w:type="character" w:customStyle="1" w:styleId="Heading5Char">
    <w:name w:val="Heading 5 Char"/>
    <w:basedOn w:val="DefaultParagraphFont"/>
    <w:link w:val="Heading5"/>
    <w:rPr>
      <w:rFonts w:ascii="Arial" w:eastAsia="Times New Roman" w:hAnsi="Arial" w:cs="Times New Roman"/>
      <w:szCs w:val="20"/>
      <w:lang w:val="el-GR"/>
    </w:rPr>
  </w:style>
  <w:style w:type="character" w:customStyle="1" w:styleId="Heading6Char">
    <w:name w:val="Heading 6 Char"/>
    <w:basedOn w:val="DefaultParagraphFont"/>
    <w:link w:val="Heading6"/>
    <w:rPr>
      <w:rFonts w:ascii="Arial" w:eastAsia="Times New Roman" w:hAnsi="Arial" w:cs="Times New Roman"/>
      <w:i/>
      <w:szCs w:val="20"/>
      <w:lang w:val="el-GR"/>
    </w:rPr>
  </w:style>
  <w:style w:type="character" w:customStyle="1" w:styleId="Heading7Char">
    <w:name w:val="Heading 7 Char"/>
    <w:basedOn w:val="DefaultParagraphFont"/>
    <w:link w:val="Heading7"/>
    <w:rPr>
      <w:rFonts w:ascii="Arial" w:eastAsia="Times New Roman" w:hAnsi="Arial" w:cs="Times New Roman"/>
      <w:sz w:val="20"/>
      <w:szCs w:val="20"/>
      <w:lang w:val="el-GR"/>
    </w:rPr>
  </w:style>
  <w:style w:type="character" w:customStyle="1" w:styleId="Heading8Char">
    <w:name w:val="Heading 8 Char"/>
    <w:basedOn w:val="DefaultParagraphFont"/>
    <w:link w:val="Heading8"/>
    <w:rPr>
      <w:rFonts w:ascii="Arial" w:eastAsia="Times New Roman" w:hAnsi="Arial" w:cs="Times New Roman"/>
      <w:i/>
      <w:sz w:val="20"/>
      <w:szCs w:val="20"/>
      <w:lang w:val="el-GR"/>
    </w:rPr>
  </w:style>
  <w:style w:type="character" w:customStyle="1" w:styleId="Heading9Char">
    <w:name w:val="Heading 9 Char"/>
    <w:basedOn w:val="DefaultParagraphFont"/>
    <w:link w:val="Heading9"/>
    <w:rPr>
      <w:rFonts w:ascii="Arial" w:eastAsia="Times New Roman" w:hAnsi="Arial" w:cs="Times New Roman"/>
      <w:i/>
      <w:sz w:val="18"/>
      <w:szCs w:val="20"/>
      <w:lang w:val="el-GR"/>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l-GR" w:eastAsia="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unhideWhenUsed/>
    <w:qFormat/>
    <w:pPr>
      <w:numPr>
        <w:numId w:val="15"/>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6"/>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28"/>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l-GR"/>
    </w:rPr>
  </w:style>
  <w:style w:type="character" w:customStyle="1" w:styleId="Text2Char">
    <w:name w:val="Text 2 Char"/>
    <w:rPr>
      <w:rFonts w:ascii="Times New Roman" w:hAnsi="Times New Roman" w:cs="Times New Roman"/>
      <w:sz w:val="24"/>
      <w:lang w:val="el-GR"/>
    </w:rPr>
  </w:style>
  <w:style w:type="character" w:customStyle="1" w:styleId="NumPar1Char">
    <w:name w:val="NumPar 1 Char"/>
    <w:rPr>
      <w:rFonts w:ascii="Times New Roman" w:hAnsi="Times New Roman" w:cs="Times New Roman"/>
      <w:sz w:val="24"/>
      <w:lang w:val="el-GR"/>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l-GR"/>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l-GR"/>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l-GR"/>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l-GR"/>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l-G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l-GR"/>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l-GR"/>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l-GR"/>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l-GR"/>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l-GR"/>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l-GR"/>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l-GR"/>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l-GR"/>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7"/>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l-GR"/>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l-GR"/>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l-GR"/>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el-GR"/>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l-GR"/>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l-GR"/>
    </w:rPr>
  </w:style>
  <w:style w:type="paragraph" w:styleId="TableofAuthorities">
    <w:name w:val="table of authorities"/>
    <w:basedOn w:val="Normal"/>
    <w:next w:val="Normal"/>
    <w:semiHidden/>
    <w:pPr>
      <w:numPr>
        <w:numId w:val="18"/>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9"/>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20"/>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20"/>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20"/>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20"/>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el-GR"/>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el-GR" w:eastAsia="el-GR"/>
    </w:rPr>
  </w:style>
  <w:style w:type="character" w:customStyle="1" w:styleId="tw4winError">
    <w:name w:val="tw4winError"/>
    <w:rPr>
      <w:color w:val="00FF00"/>
      <w:sz w:val="40"/>
      <w:lang w:val="el-GR" w:eastAsia="el-GR"/>
    </w:rPr>
  </w:style>
  <w:style w:type="character" w:customStyle="1" w:styleId="tw4winTerm">
    <w:name w:val="tw4winTerm"/>
    <w:rPr>
      <w:color w:val="0000FF"/>
      <w:lang w:val="el-GR" w:eastAsia="el-GR"/>
    </w:rPr>
  </w:style>
  <w:style w:type="character" w:customStyle="1" w:styleId="tw4winPopup">
    <w:name w:val="tw4winPopup"/>
    <w:rPr>
      <w:noProof/>
      <w:color w:val="008000"/>
      <w:lang w:val="el-GR" w:eastAsia="el-GR"/>
    </w:rPr>
  </w:style>
  <w:style w:type="character" w:customStyle="1" w:styleId="tw4winJump">
    <w:name w:val="tw4winJump"/>
    <w:rPr>
      <w:noProof/>
      <w:color w:val="008080"/>
      <w:lang w:val="el-GR" w:eastAsia="el-GR"/>
    </w:rPr>
  </w:style>
  <w:style w:type="character" w:customStyle="1" w:styleId="tw4winExternal">
    <w:name w:val="tw4winExternal"/>
    <w:rPr>
      <w:noProof/>
      <w:color w:val="808080"/>
      <w:lang w:val="el-GR" w:eastAsia="el-GR"/>
    </w:rPr>
  </w:style>
  <w:style w:type="character" w:customStyle="1" w:styleId="tw4winInternal">
    <w:name w:val="tw4winInternal"/>
    <w:rPr>
      <w:noProof/>
      <w:color w:val="FF0000"/>
      <w:lang w:val="el-GR" w:eastAsia="el-GR"/>
    </w:rPr>
  </w:style>
  <w:style w:type="character" w:customStyle="1" w:styleId="DONOTTRANSLATE">
    <w:name w:val="DO_NOT_TRANSLATE"/>
    <w:rPr>
      <w:noProof/>
      <w:color w:val="800000"/>
      <w:lang w:val="el-GR" w:eastAsia="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mart-regulation/impact/ia_carried_out/cia_2016_en.ht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186/6937805/Summary+report+on+the+open+public+consultations/52c01d34-ca85-4e8d-aaae-df4ae84b8dea" TargetMode="External"/><Relationship Id="rId2" Type="http://schemas.openxmlformats.org/officeDocument/2006/relationships/hyperlink" Target="http://ec.europa.eu/eurostat/documents/10186/7142348/ABS-Report.pdf" TargetMode="External"/><Relationship Id="rId1" Type="http://schemas.openxmlformats.org/officeDocument/2006/relationships/hyperlink" Target="http://ec.europa.eu/eurostat/web/quality/evaluation" TargetMode="External"/><Relationship Id="rId4" Type="http://schemas.openxmlformats.org/officeDocument/2006/relationships/hyperlink" Target="https://myintracomm.ec.europa.eu/budgweb/EL/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6DCB-036A-470A-B263-2C17645B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58</Pages>
  <Words>16902</Words>
  <Characters>103950</Characters>
  <Application>Microsoft Office Word</Application>
  <DocSecurity>0</DocSecurity>
  <Lines>2362</Lines>
  <Paragraphs>974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2017-02-13T10:23:00Z</cp:lastPrinted>
  <dcterms:created xsi:type="dcterms:W3CDTF">2017-02-26T18:00:00Z</dcterms:created>
  <dcterms:modified xsi:type="dcterms:W3CDTF">2017-02-27T13:05:00Z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