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AA" w:rsidRDefault="00B31A4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8C03CC3BD8C40D09ED9F1ACC21B0E67" style="width:450.75pt;height:436.5pt">
            <v:imagedata r:id="rId9" o:title=""/>
          </v:shape>
        </w:pict>
      </w:r>
    </w:p>
    <w:p w:rsidR="00132BAA" w:rsidRDefault="00132BAA">
      <w:pPr>
        <w:rPr>
          <w:noProof/>
        </w:rPr>
        <w:sectPr w:rsidR="00132BAA">
          <w:footerReference w:type="default" r:id="rId10"/>
          <w:pgSz w:w="11907" w:h="16839"/>
          <w:pgMar w:top="1134" w:right="1417" w:bottom="1134" w:left="1417" w:header="709" w:footer="709" w:gutter="0"/>
          <w:pgNumType w:start="1"/>
          <w:cols w:space="720"/>
          <w:docGrid w:linePitch="360"/>
        </w:sectPr>
      </w:pPr>
    </w:p>
    <w:p w:rsidR="00132BAA" w:rsidRDefault="00B31A4A">
      <w:pPr>
        <w:pStyle w:val="Exposdesmotifstitre"/>
        <w:rPr>
          <w:noProof/>
        </w:rPr>
      </w:pPr>
      <w:r>
        <w:rPr>
          <w:noProof/>
        </w:rPr>
        <w:lastRenderedPageBreak/>
        <w:t>PASKAIDROJUMA RAKSTS</w:t>
      </w:r>
    </w:p>
    <w:p w:rsidR="00132BAA" w:rsidRDefault="00B31A4A">
      <w:pPr>
        <w:pStyle w:val="ManualHeading1"/>
        <w:rPr>
          <w:noProof/>
        </w:rPr>
      </w:pPr>
      <w:r>
        <w:rPr>
          <w:noProof/>
        </w:rPr>
        <w:t>1.</w:t>
      </w:r>
      <w:r>
        <w:rPr>
          <w:noProof/>
        </w:rPr>
        <w:tab/>
        <w:t>PRIEKŠLIKUMA KONTEKSTS</w:t>
      </w:r>
    </w:p>
    <w:p w:rsidR="00132BAA" w:rsidRDefault="00B31A4A">
      <w:pPr>
        <w:pStyle w:val="ManualHeading2"/>
        <w:rPr>
          <w:rFonts w:eastAsia="Arial Unicode MS"/>
          <w:noProof/>
        </w:rPr>
      </w:pPr>
      <w:r>
        <w:rPr>
          <w:noProof/>
          <w:color w:val="000000"/>
          <w:bdr w:val="none" w:sz="0" w:space="0" w:color="auto" w:frame="1"/>
        </w:rPr>
        <w:t>•</w:t>
      </w:r>
      <w:r>
        <w:rPr>
          <w:noProof/>
        </w:rPr>
        <w:tab/>
        <w:t>Priekšlikuma pamatojums un mērķi</w:t>
      </w:r>
    </w:p>
    <w:p w:rsidR="00132BAA" w:rsidRDefault="00B31A4A">
      <w:pPr>
        <w:rPr>
          <w:rFonts w:eastAsia="Arial Unicode MS"/>
          <w:noProof/>
          <w:color w:val="000000"/>
        </w:rPr>
      </w:pPr>
      <w:r>
        <w:rPr>
          <w:noProof/>
        </w:rPr>
        <w:t xml:space="preserve">Pieaug vajadzība pēc </w:t>
      </w:r>
      <w:r>
        <w:rPr>
          <w:noProof/>
        </w:rPr>
        <w:t>tādiem statistikas datiem par uzņēmumiem, kurus izmantot politikas veidošanas un citos nolūkos. Tiek sagaidīts, ka Eiropas Statistikas sistēma (ESS)</w:t>
      </w:r>
      <w:r>
        <w:rPr>
          <w:rStyle w:val="FootnoteReference"/>
          <w:noProof/>
        </w:rPr>
        <w:footnoteReference w:id="1"/>
      </w:r>
      <w:r>
        <w:rPr>
          <w:noProof/>
        </w:rPr>
        <w:t xml:space="preserve"> nodrošinās šajā jomā augstas kvalitātes statistikas datus, nodrošinot savlaicīgumu un salīdzināmību starp </w:t>
      </w:r>
      <w:r>
        <w:rPr>
          <w:noProof/>
        </w:rPr>
        <w:t>dalībvalstīm. Izplatītajiem ESS uzņēmējdarbības statistikas datiem vajadzētu būt par pamatu lēmumu pieņemšanai par zināšanās un inovācijā balstītu tirgus ekonomiku nolūkā uzlabot mazo un vidējo uzņēmumu piekļuvi vienotajam tirgum un veicināt uzņēmējdarbība</w:t>
      </w:r>
      <w:r>
        <w:rPr>
          <w:noProof/>
        </w:rPr>
        <w:t>s garu un konkurētspēju.</w:t>
      </w:r>
    </w:p>
    <w:p w:rsidR="00132BAA" w:rsidRDefault="00B31A4A">
      <w:pPr>
        <w:rPr>
          <w:noProof/>
        </w:rPr>
      </w:pPr>
      <w:r>
        <w:rPr>
          <w:noProof/>
        </w:rPr>
        <w:t>Regulas projekts par Eiropas uzņēmējdarbības statistiku, ar ko groza Regulu (EK) Nr. 184/2005 un atceļ 10 tiesību aktus uzņēmējdarbības statistikas jomā (</w:t>
      </w:r>
      <w:r>
        <w:rPr>
          <w:i/>
          <w:noProof/>
        </w:rPr>
        <w:t>FRIBS</w:t>
      </w:r>
      <w:r>
        <w:rPr>
          <w:noProof/>
        </w:rPr>
        <w:t xml:space="preserve">), ir daļa no </w:t>
      </w:r>
      <w:r>
        <w:rPr>
          <w:i/>
          <w:noProof/>
        </w:rPr>
        <w:t>REFIT</w:t>
      </w:r>
      <w:r>
        <w:rPr>
          <w:noProof/>
        </w:rPr>
        <w:t xml:space="preserve"> programmas (Eiropas Komisijas Normatīvās atbilstības</w:t>
      </w:r>
      <w:r>
        <w:rPr>
          <w:noProof/>
        </w:rPr>
        <w:t xml:space="preserve"> un izpildes programma), kura ir vērsta uz ES tiesību aktu vienkāršošanu un lieku reglamentējošo izmaksu samazināšanu un kurā viena no prioritārajām jomām ir uzņēmējdarbības statistika. Regulas projektā paredz integrēt statistikas prasības un tiesību aktus</w:t>
      </w:r>
      <w:r>
        <w:rPr>
          <w:noProof/>
        </w:rPr>
        <w:t xml:space="preserve"> uzņēmējdarbības statistikas jomā, racionalizējot un vienkāršojot tos un samazinot slogu uzņēmumiem.</w:t>
      </w:r>
    </w:p>
    <w:p w:rsidR="00132BAA" w:rsidRDefault="00B31A4A">
      <w:pPr>
        <w:rPr>
          <w:noProof/>
        </w:rPr>
      </w:pPr>
      <w:r>
        <w:rPr>
          <w:noProof/>
        </w:rPr>
        <w:t>Pašreizējā sistēma Eiropas uzņēmējdarbības statistikas sagatavošanai ir sadalīta atsevišķās regulās, kuras attiecas uz konkrētām jomām. Tas rada nekonsekve</w:t>
      </w:r>
      <w:r>
        <w:rPr>
          <w:noProof/>
        </w:rPr>
        <w:t xml:space="preserve">nci savāktajos datos un padara neefektīvu to sagatavošanu. </w:t>
      </w:r>
      <w:r>
        <w:rPr>
          <w:i/>
          <w:noProof/>
        </w:rPr>
        <w:t>FRIBS</w:t>
      </w:r>
      <w:r>
        <w:rPr>
          <w:noProof/>
        </w:rPr>
        <w:t xml:space="preserve"> nodrošinās kopīgu tiesisko regulējumu ESS uzņēmējdarbības statistikas sagatavošanai un apkopošanai. Ar </w:t>
      </w:r>
      <w:r>
        <w:rPr>
          <w:i/>
          <w:noProof/>
        </w:rPr>
        <w:t>FRIBS</w:t>
      </w:r>
      <w:r>
        <w:rPr>
          <w:noProof/>
        </w:rPr>
        <w:t xml:space="preserve"> paredzams nodrošināt: labākas kvalitātes ESS uzņēmumu reģistrus, kopīgas definīcij</w:t>
      </w:r>
      <w:r>
        <w:rPr>
          <w:noProof/>
        </w:rPr>
        <w:t xml:space="preserve">as, ko izmantos visās attiecīgajās statistikas jomās, identificējamo mikrodatu apmaiņu un integrētu datu struktūru. Tā rezultātā sagaidāms, ka tiks racionalizēti valstu statistikas sagatavošanas procesi, uzlabota esošo datu avotu izmantošana un samazināts </w:t>
      </w:r>
      <w:r>
        <w:rPr>
          <w:noProof/>
        </w:rPr>
        <w:t xml:space="preserve">statistikas sniegšanas slogs respondentiem ESS uzņēmējdarbības statistikas apkopošanā. Turklāt </w:t>
      </w:r>
      <w:r>
        <w:rPr>
          <w:i/>
          <w:noProof/>
        </w:rPr>
        <w:t>FRIBS</w:t>
      </w:r>
      <w:r>
        <w:rPr>
          <w:noProof/>
        </w:rPr>
        <w:t xml:space="preserve"> ietvaros tiks radītas saskaņotas datu struktūras un kopīgi datu kvalitātes standarti, kas ļaus savienot dažādas uzņēmējdarbības statistikas jomas, tādējādi</w:t>
      </w:r>
      <w:r>
        <w:rPr>
          <w:noProof/>
        </w:rPr>
        <w:t xml:space="preserve"> savāktā informācija kļūs vēl vērtīgāka. </w:t>
      </w:r>
    </w:p>
    <w:p w:rsidR="00132BAA" w:rsidRDefault="00B31A4A">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rPr>
        <w:t>Saskanība ar pašreizējiem noteikumiem konkrētajā politikas jomā</w:t>
      </w:r>
    </w:p>
    <w:p w:rsidR="00132BAA" w:rsidRDefault="00B31A4A">
      <w:pPr>
        <w:rPr>
          <w:noProof/>
        </w:rPr>
      </w:pPr>
      <w:r>
        <w:rPr>
          <w:noProof/>
        </w:rPr>
        <w:t>Lai politikas veidotāji un uzņēmumi varētu pieņemt uz faktiem balstītus lēmumus, arvien vairāk ir nepieciešama uzticama un kvalitatīva statistika. T</w:t>
      </w:r>
      <w:r>
        <w:rPr>
          <w:noProof/>
        </w:rPr>
        <w:t>omēr pašreizējā kontekstā, kad pieaug spiediens uz cilvēkresursiem un finanšu resursiem, kas pieejami statistikas sagatavošanai, ESS ir kļuvis grūtāk nodrošināt nepieciešamās kvalitatīvas statistikas arvien pieaugošo apjomu. Tajā pašā laikā ESS sastopas ar</w:t>
      </w:r>
      <w:r>
        <w:rPr>
          <w:noProof/>
        </w:rPr>
        <w:t xml:space="preserve"> datu sniedzēju prasībām (respondentiem – uzņēmumiem) samazināt administratīvo slogu. Lai šīs grūtības mazinātu, Komisija (</w:t>
      </w:r>
      <w:r>
        <w:rPr>
          <w:i/>
          <w:noProof/>
        </w:rPr>
        <w:t>Eurostat</w:t>
      </w:r>
      <w:r>
        <w:rPr>
          <w:noProof/>
        </w:rPr>
        <w:t>) nesen uzsāka vairākas iniciatīvas, kas ir vērstas uz to, lai nodrošinātu efektīvāku Eiropas statistikas sagatavošanu un sam</w:t>
      </w:r>
      <w:r>
        <w:rPr>
          <w:noProof/>
        </w:rPr>
        <w:t>azinātu respondentu slogu, vienkāršojot un uzlabojot koordināciju un sadarbību ESS iekšienē. Kā piemēru var minēt 2015. gada grozījumu Regulā (EK) Nr. 223/2009 par Eiropas statistiku, kurā tika precizēta ESS pārvaldība un stiprināti koordinācijas un sadarb</w:t>
      </w:r>
      <w:r>
        <w:rPr>
          <w:noProof/>
        </w:rPr>
        <w:t xml:space="preserve">ības instrumenti gan ES, gan valstu līmenī. Komisijas </w:t>
      </w:r>
      <w:r>
        <w:rPr>
          <w:i/>
          <w:noProof/>
        </w:rPr>
        <w:t>REFIT</w:t>
      </w:r>
      <w:r>
        <w:rPr>
          <w:noProof/>
        </w:rPr>
        <w:t xml:space="preserve"> programmā ir iekļautas citas līdzīgas iniciatīvas, piemēram, sociālās statistikas jomā, un to mērķis ir vienkāršot un racionalizēt Eiropas statistikas sagatavošanu noteiktās jomās.</w:t>
      </w:r>
    </w:p>
    <w:p w:rsidR="00132BAA" w:rsidRDefault="00B31A4A">
      <w:pPr>
        <w:rPr>
          <w:noProof/>
        </w:rPr>
      </w:pPr>
      <w:r>
        <w:rPr>
          <w:noProof/>
        </w:rPr>
        <w:lastRenderedPageBreak/>
        <w:t>Uzņēmējdarbības</w:t>
      </w:r>
      <w:r>
        <w:rPr>
          <w:noProof/>
        </w:rPr>
        <w:t xml:space="preserve"> statistika ir viens no trim ESS pīlāriem Eiropas statistikas programmā 2013.–2017. gadam</w:t>
      </w:r>
      <w:r>
        <w:rPr>
          <w:rStyle w:val="FootnoteReference"/>
          <w:noProof/>
        </w:rPr>
        <w:footnoteReference w:id="2"/>
      </w:r>
      <w:r>
        <w:rPr>
          <w:noProof/>
        </w:rPr>
        <w:t xml:space="preserve">. Katrs pīlārs aptver statistikas pirmdatu kopu, kas kalpo dažādām vajadzībām un nodrošina vajadzīgos ievaddatus uzskaites sistēmām (piemēram, nacionālajiem kontiem </w:t>
      </w:r>
      <w:r>
        <w:rPr>
          <w:noProof/>
        </w:rPr>
        <w:t>vai maksājumu bilancei), kā arī ir pamats rādītājiem dažādām politikas vajadzībām. ESS redzējums 2020. gadam, ko pieņēma 2014. gada maijā, ir ESS stratēģiska reakcija uz problēmām, kas saistītas ar oficiālo statistiku. Tajā norādīts, ka vajadzētu būt iespē</w:t>
      </w:r>
      <w:r>
        <w:rPr>
          <w:noProof/>
        </w:rPr>
        <w:t>jai izmantot datus visās statistikas jomās, lai varētu labāk analizēt jaunās tendences (piemēram, globalizāciju) un tie labāk kalpotu nozīmīgas ietekmes ES politikas izstrādē. Datu rezultāti būtu jābalsta uz efektīviem un stabiliem statistikas procesiem. E</w:t>
      </w:r>
      <w:r>
        <w:rPr>
          <w:noProof/>
        </w:rPr>
        <w:t>iropas uzņēmumu un tirdzniecības statistikas modernizācijas (</w:t>
      </w:r>
      <w:r>
        <w:rPr>
          <w:i/>
          <w:noProof/>
        </w:rPr>
        <w:t>MEETS</w:t>
      </w:r>
      <w:r>
        <w:rPr>
          <w:noProof/>
        </w:rPr>
        <w:t>) programma sagatavoja pamatu ESS redzējuma 2020. gadam īstenošanai uzņēmējdarbības un tirdzniecības statistikas jomā. Tika sākti vairāki pasākumi, lai veiktu integrēšanu, vienkāršošanu, dat</w:t>
      </w:r>
      <w:r>
        <w:rPr>
          <w:noProof/>
        </w:rPr>
        <w:t xml:space="preserve">u sasaisti un izstrādātu saskaņotu metodiku. </w:t>
      </w:r>
    </w:p>
    <w:p w:rsidR="00132BAA" w:rsidRDefault="00B31A4A">
      <w:pPr>
        <w:pStyle w:val="ManualHeading2"/>
        <w:rPr>
          <w:noProof/>
          <w:color w:val="000000"/>
        </w:rPr>
      </w:pPr>
      <w:r>
        <w:rPr>
          <w:noProof/>
          <w:color w:val="000000"/>
          <w:bdr w:val="none" w:sz="0" w:space="0" w:color="auto" w:frame="1"/>
        </w:rPr>
        <w:t>•</w:t>
      </w:r>
      <w:r>
        <w:rPr>
          <w:noProof/>
        </w:rPr>
        <w:tab/>
      </w:r>
      <w:r>
        <w:rPr>
          <w:noProof/>
          <w:color w:val="000000"/>
        </w:rPr>
        <w:t>Saskanība ar citām Savienības politikas jomām</w:t>
      </w:r>
    </w:p>
    <w:p w:rsidR="00132BAA" w:rsidRDefault="00B31A4A">
      <w:pPr>
        <w:rPr>
          <w:noProof/>
        </w:rPr>
      </w:pPr>
      <w:r>
        <w:rPr>
          <w:noProof/>
        </w:rPr>
        <w:t xml:space="preserve">Viens no </w:t>
      </w:r>
      <w:r>
        <w:rPr>
          <w:i/>
          <w:noProof/>
        </w:rPr>
        <w:t>FRIBS</w:t>
      </w:r>
      <w:r>
        <w:rPr>
          <w:noProof/>
        </w:rPr>
        <w:t xml:space="preserve"> mērķiem ir nodrošināt piemērotu statistiku, kas palīdz izstrādāt un uzraudzīt ES politiku, kura ietekmē uzņēmējdarbību.</w:t>
      </w:r>
    </w:p>
    <w:p w:rsidR="00132BAA" w:rsidRDefault="00B31A4A">
      <w:pPr>
        <w:rPr>
          <w:noProof/>
        </w:rPr>
      </w:pPr>
      <w:r>
        <w:rPr>
          <w:noProof/>
        </w:rPr>
        <w:t>Konkrētāk, lai novērotu pro</w:t>
      </w:r>
      <w:r>
        <w:rPr>
          <w:noProof/>
        </w:rPr>
        <w:t xml:space="preserve">gresu attiecībā uz to, kā tiek īstenotas Eiropas Komisijas noteiktās 10 prioritātes, jo īpaši saistībā ar nodarbinātību, izaugsmi un ieguldījumiem, digitālo vienoto tirgu, iekšējo tirgu un ES tirdzniecības nolīgumiem, ir vajadzīga saskaņota un salīdzināma </w:t>
      </w:r>
      <w:r>
        <w:rPr>
          <w:noProof/>
        </w:rPr>
        <w:t>Eiropas statistika, kuru:</w:t>
      </w:r>
    </w:p>
    <w:p w:rsidR="00132BAA" w:rsidRDefault="00B31A4A">
      <w:pPr>
        <w:pStyle w:val="Bullet0"/>
        <w:numPr>
          <w:ilvl w:val="0"/>
          <w:numId w:val="11"/>
        </w:numPr>
        <w:rPr>
          <w:noProof/>
        </w:rPr>
      </w:pPr>
      <w:r>
        <w:rPr>
          <w:noProof/>
        </w:rPr>
        <w:t>lēmumu pieņēmēji var izmantot, lai izstrādātu politikas iniciatīvas atbilstoši Komisijas izvirzītajiem mērķiem un uzraudzītu to īstenošanu;</w:t>
      </w:r>
    </w:p>
    <w:p w:rsidR="00132BAA" w:rsidRDefault="00B31A4A">
      <w:pPr>
        <w:pStyle w:val="Bullet0"/>
        <w:rPr>
          <w:noProof/>
        </w:rPr>
      </w:pPr>
      <w:r>
        <w:rPr>
          <w:noProof/>
        </w:rPr>
        <w:t>plašsaziņas līdzekļi var izmantot, ziņojot par jomām, kas noteiktas 10 prioritātēs.</w:t>
      </w:r>
    </w:p>
    <w:p w:rsidR="00132BAA" w:rsidRDefault="00B31A4A">
      <w:pPr>
        <w:pStyle w:val="ManualHeading1"/>
        <w:rPr>
          <w:noProof/>
          <w:color w:val="000000"/>
        </w:rPr>
      </w:pPr>
      <w:r>
        <w:rPr>
          <w:noProof/>
          <w:color w:val="000000"/>
        </w:rPr>
        <w:t>2.</w:t>
      </w:r>
      <w:r>
        <w:rPr>
          <w:noProof/>
        </w:rPr>
        <w:tab/>
      </w:r>
      <w:r>
        <w:rPr>
          <w:noProof/>
          <w:color w:val="000000"/>
        </w:rPr>
        <w:t>JUR</w:t>
      </w:r>
      <w:r>
        <w:rPr>
          <w:noProof/>
          <w:color w:val="000000"/>
        </w:rPr>
        <w:t>IDISKAIS PAMATS, SUBSIDIARITĀTE UN PROPORCIONALITĀTE</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Juridiskais pamats</w:t>
      </w:r>
    </w:p>
    <w:p w:rsidR="00132BAA" w:rsidRDefault="00B31A4A">
      <w:pPr>
        <w:rPr>
          <w:noProof/>
        </w:rPr>
      </w:pPr>
      <w:r>
        <w:rPr>
          <w:noProof/>
        </w:rPr>
        <w:t xml:space="preserve">Eiropas statistikas juridiskais pamats ir Līguma par Eiropas Savienības darbību 338. pants. Saskaņā ar šo pantu, ES likumdevēji veic pasākumus statistikas sagatavošanai, ja tas vajadzīgs Savienības darbību veikšanai. </w:t>
      </w:r>
    </w:p>
    <w:p w:rsidR="00132BAA" w:rsidRDefault="00B31A4A">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Subsidiaritāte (neekskluzīvai kompet</w:t>
      </w:r>
      <w:r>
        <w:rPr>
          <w:noProof/>
          <w:color w:val="000000"/>
          <w:bdr w:val="none" w:sz="0" w:space="0" w:color="auto" w:frame="1"/>
        </w:rPr>
        <w:t xml:space="preserve">encei) </w:t>
      </w:r>
    </w:p>
    <w:p w:rsidR="00132BAA" w:rsidRDefault="00B31A4A">
      <w:pPr>
        <w:rPr>
          <w:noProof/>
        </w:rPr>
      </w:pPr>
      <w:r>
        <w:rPr>
          <w:noProof/>
        </w:rPr>
        <w:t>Subsidiaritātes principu piemēro, ciktāl priekšlikums nav ES ekskluzīvā kompetencē. Eiropas Statistikas sistēmā dalībvalstis nodrošina statistikas informācijas faktisko apkopošanu valstu līmenī. Uzņēmējdarbības statistikas apkopošanai Eiropas līmen</w:t>
      </w:r>
      <w:r>
        <w:rPr>
          <w:noProof/>
        </w:rPr>
        <w:t>ī ir būtiska saskaņota metodika un tādu kopīgo rezultātu noteikšana, ko nodrošina dalībvalstis. Tikai Komisija var koordinēt statistikas informācijas nepieciešamo saskaņošanu visās dalībvalstīs un sagatavot uzņēmējdarbības statistiku Eiropas līmenī, pamato</w:t>
      </w:r>
      <w:r>
        <w:rPr>
          <w:noProof/>
        </w:rPr>
        <w:t>joties uz datu apkopošanu, ko veic dalībvalstis. Līdz ar to Eiropas Savienība var pieņemt pasākumus saskaņā ar subsidiaritātes principu, kas noteikts Līguma par Eiropas Savienību (LES) 5. pantā. Tādējādi ierosinātā ES rīcība ir pilnībā pamatota. To var pil</w:t>
      </w:r>
      <w:r>
        <w:rPr>
          <w:noProof/>
        </w:rPr>
        <w:t>nībā sasniegt tikai ar ES līmeņa rīcību.</w:t>
      </w:r>
    </w:p>
    <w:p w:rsidR="00132BAA" w:rsidRDefault="00B31A4A">
      <w:pPr>
        <w:rPr>
          <w:noProof/>
        </w:rPr>
      </w:pPr>
      <w:r>
        <w:rPr>
          <w:noProof/>
        </w:rPr>
        <w:t>Turklāt globalizācijas labāku uzraudzību, kuras pamatā ir labākas zināšanas par starptautiskajām uzņēmumu grupām, var veikt tikai Eiropas līmenī.</w:t>
      </w:r>
    </w:p>
    <w:p w:rsidR="00132BAA" w:rsidRDefault="00B31A4A">
      <w:pPr>
        <w:pStyle w:val="ManualHeading2"/>
        <w:rPr>
          <w:noProof/>
          <w:color w:val="000000"/>
          <w:bdr w:val="none" w:sz="0" w:space="0" w:color="auto" w:frame="1"/>
        </w:rPr>
      </w:pPr>
      <w:r>
        <w:rPr>
          <w:noProof/>
          <w:color w:val="000000"/>
          <w:bdr w:val="none" w:sz="0" w:space="0" w:color="auto" w:frame="1"/>
        </w:rPr>
        <w:lastRenderedPageBreak/>
        <w:t>•</w:t>
      </w:r>
      <w:r>
        <w:rPr>
          <w:noProof/>
        </w:rPr>
        <w:tab/>
      </w:r>
      <w:r>
        <w:rPr>
          <w:noProof/>
          <w:color w:val="000000"/>
          <w:bdr w:val="none" w:sz="0" w:space="0" w:color="auto" w:frame="1"/>
        </w:rPr>
        <w:t>Proporcionalitāte</w:t>
      </w:r>
    </w:p>
    <w:p w:rsidR="00132BAA" w:rsidRDefault="00B31A4A">
      <w:pPr>
        <w:rPr>
          <w:noProof/>
        </w:rPr>
      </w:pPr>
      <w:r>
        <w:rPr>
          <w:noProof/>
        </w:rPr>
        <w:t>Priekšlikums ir saskaņā ar proporcionalitātes pri</w:t>
      </w:r>
      <w:r>
        <w:rPr>
          <w:noProof/>
        </w:rPr>
        <w:t>ncipu šādu iemeslu dēļ.</w:t>
      </w:r>
    </w:p>
    <w:p w:rsidR="00132BAA" w:rsidRDefault="00B31A4A">
      <w:pPr>
        <w:rPr>
          <w:noProof/>
        </w:rPr>
      </w:pPr>
      <w:r>
        <w:rPr>
          <w:noProof/>
        </w:rPr>
        <w:t xml:space="preserve">Tas saskaņotā veidā nodrošinās Eiropas uzņēmējdarbības statistikas kvalitāti, tostarp tās salīdzināmību, lietderību un reaģētspēju visās dalībvalstīs, piemērojot tos pašus principus. Tas radīs lielāku izmaksu lietderību, vienlaikus </w:t>
      </w:r>
      <w:r>
        <w:rPr>
          <w:noProof/>
        </w:rPr>
        <w:t xml:space="preserve">ņemot vērā dalībvalstu sistēmu īpatnības. </w:t>
      </w:r>
    </w:p>
    <w:p w:rsidR="00132BAA" w:rsidRDefault="00B31A4A">
      <w:pPr>
        <w:rPr>
          <w:noProof/>
        </w:rPr>
      </w:pPr>
      <w:r>
        <w:rPr>
          <w:noProof/>
        </w:rPr>
        <w:t xml:space="preserve">Jēdzienu un metožu standartizācijai, dublēšanās novēršanai un iespējai papildus apsekojumiem izmantot plašāku avotu klāstu, būtu jāmazina respondentu finansiālais un administratīvais slogs. </w:t>
      </w:r>
      <w:r>
        <w:rPr>
          <w:i/>
          <w:noProof/>
        </w:rPr>
        <w:t>FRIBS</w:t>
      </w:r>
      <w:r>
        <w:rPr>
          <w:noProof/>
        </w:rPr>
        <w:t xml:space="preserve"> regula lielā mērā</w:t>
      </w:r>
      <w:r>
        <w:rPr>
          <w:noProof/>
        </w:rPr>
        <w:t xml:space="preserve"> ir orientēta uz rezultātiem, tas nozīmē, ka dalībvalstis var brīvi izvēlēties ievaddatus (datu avotus), ja vien tās nodrošina rezultātus (statistiku), kas atbilst saskaņotajām definīcijām un kvalitātes standartiem. Dalībvalstis tiek aicinātas iespēju robe</w:t>
      </w:r>
      <w:r>
        <w:rPr>
          <w:noProof/>
        </w:rPr>
        <w:t xml:space="preserve">žās izmantot esošus administratīvos avotus vai inovatīvus avotus, piemēram, lielos datus, lai reaģētu uz statistikas vajadzībām. Lai demonstrētu jauno datu prasību, kas ieviestas ar </w:t>
      </w:r>
      <w:r>
        <w:rPr>
          <w:i/>
          <w:noProof/>
        </w:rPr>
        <w:t>FRIBS</w:t>
      </w:r>
      <w:r>
        <w:rPr>
          <w:noProof/>
        </w:rPr>
        <w:t xml:space="preserve"> regulu, lietderīgumu, tās tika testētas izmēģinājuma pētījumos.</w:t>
      </w:r>
    </w:p>
    <w:p w:rsidR="00132BAA" w:rsidRDefault="00B31A4A">
      <w:pPr>
        <w:rPr>
          <w:noProof/>
        </w:rPr>
      </w:pPr>
      <w:r>
        <w:rPr>
          <w:noProof/>
        </w:rPr>
        <w:t>Spēk</w:t>
      </w:r>
      <w:r>
        <w:rPr>
          <w:noProof/>
        </w:rPr>
        <w:t>ā esošie ES tiesību akti par uzņēmējdarbības statistiku pēdējo gadu laikā ir vairākkārt grozīti. Tas liecina, ka regula, ar kuru izveido vienotu satvaru uzņēmējdarbības statistikas vākšanai, apstrādei un izplatīšanai, varētu uzlabot šo procesu efektivitāti</w:t>
      </w:r>
      <w:r>
        <w:rPr>
          <w:noProof/>
        </w:rPr>
        <w:t xml:space="preserve"> (izmaksas/ieguvumi) un iedarbīgumu.</w:t>
      </w:r>
    </w:p>
    <w:p w:rsidR="00132BAA" w:rsidRDefault="00B31A4A">
      <w:pPr>
        <w:rPr>
          <w:noProof/>
          <w:color w:val="000000"/>
        </w:rPr>
      </w:pPr>
      <w:r>
        <w:rPr>
          <w:noProof/>
        </w:rPr>
        <w:t xml:space="preserve">Tādējādi saskaņā ar proporcionalitātes principu ierosinātā regula atbilst tās mērķu sasniegšanai vajadzīgajam minimumam un nepārsniedz to, kas vajadzīgs šim nolūkam. </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Juridiskā instrumenta izvēle</w:t>
      </w:r>
    </w:p>
    <w:p w:rsidR="00132BAA" w:rsidRDefault="00B31A4A">
      <w:pPr>
        <w:autoSpaceDE w:val="0"/>
        <w:autoSpaceDN w:val="0"/>
        <w:adjustRightInd w:val="0"/>
        <w:spacing w:after="0"/>
        <w:rPr>
          <w:noProof/>
          <w:color w:val="000000"/>
          <w:szCs w:val="24"/>
        </w:rPr>
      </w:pPr>
      <w:r>
        <w:rPr>
          <w:noProof/>
          <w:color w:val="000000"/>
        </w:rPr>
        <w:t xml:space="preserve">Ierosinātais </w:t>
      </w:r>
      <w:r>
        <w:rPr>
          <w:noProof/>
          <w:color w:val="000000"/>
        </w:rPr>
        <w:t>juridiskais instruments: regula.</w:t>
      </w:r>
    </w:p>
    <w:p w:rsidR="00132BAA" w:rsidRDefault="00B31A4A">
      <w:pPr>
        <w:rPr>
          <w:noProof/>
          <w:color w:val="000000"/>
          <w:szCs w:val="24"/>
        </w:rPr>
      </w:pPr>
      <w:r>
        <w:rPr>
          <w:noProof/>
          <w:color w:val="000000"/>
        </w:rPr>
        <w:t xml:space="preserve">Ņemot vērā priekšlikuma mērķus un saturu, vispiemērotākais instruments ir regula. </w:t>
      </w:r>
    </w:p>
    <w:p w:rsidR="00132BAA" w:rsidRDefault="00B31A4A">
      <w:pPr>
        <w:autoSpaceDE w:val="0"/>
        <w:autoSpaceDN w:val="0"/>
        <w:adjustRightInd w:val="0"/>
        <w:spacing w:after="0"/>
        <w:rPr>
          <w:noProof/>
        </w:rPr>
      </w:pPr>
      <w:r>
        <w:rPr>
          <w:noProof/>
          <w:color w:val="000000"/>
        </w:rPr>
        <w:t>Pienācīga juridiskā instrumenta izvēle ir atkarīga no sasniedzamā mērķa tiesību jomā. Ņemot vērā informācijas vajadzības Eiropas līmenī, Eir</w:t>
      </w:r>
      <w:r>
        <w:rPr>
          <w:noProof/>
          <w:color w:val="000000"/>
        </w:rPr>
        <w:t>opas statistikā šiem pamataktiem visbiežāk izmanto regulas, nevis direktīvas. Prioritāte dodama regulai, jo tajā paredz vienus un tos pašus noteikumus visā Eiropas Savienībā, neļaujot dalībvalstīm piemērot tos nepilnīgi vai izlases veidā. Tā nodrošina datu</w:t>
      </w:r>
      <w:r>
        <w:rPr>
          <w:noProof/>
          <w:color w:val="000000"/>
        </w:rPr>
        <w:t xml:space="preserve"> salīdzināmību Eiropas Savienībā, kas nepieciešama, lai sagatavotu kvalitatīvu Eiropas statistiku. Tā ir tieši piemērojama, proti, tas nozīmē, ka tā nav jātransponē valstu tiesību aktos. Regulas izmantojums ir saskaņā ar pārējiem Eiropas tiesību pamataktie</w:t>
      </w:r>
      <w:r>
        <w:rPr>
          <w:noProof/>
          <w:color w:val="000000"/>
        </w:rPr>
        <w:t>m statistikas jomā, kas ir pieņemti kopš 1997. gada.</w:t>
      </w:r>
    </w:p>
    <w:p w:rsidR="00132BAA" w:rsidRDefault="00B31A4A">
      <w:pPr>
        <w:pStyle w:val="ManualHeading1"/>
        <w:rPr>
          <w:noProof/>
          <w:color w:val="000000"/>
        </w:rPr>
      </w:pPr>
      <w:r>
        <w:rPr>
          <w:noProof/>
          <w:color w:val="000000"/>
        </w:rPr>
        <w:t>3.</w:t>
      </w:r>
      <w:r>
        <w:rPr>
          <w:noProof/>
        </w:rPr>
        <w:tab/>
      </w:r>
      <w:r>
        <w:rPr>
          <w:i/>
          <w:noProof/>
          <w:color w:val="000000"/>
        </w:rPr>
        <w:t>EX POST</w:t>
      </w:r>
      <w:r>
        <w:rPr>
          <w:noProof/>
          <w:color w:val="000000"/>
        </w:rPr>
        <w:t xml:space="preserve"> IZVĒRTĒJUMU, APSPRIEŠANĀS AR IEINTERESĒTAJĀM PERSONĀM UN IETEKMES NOVĒRTĒJUMU REZULTĀTI</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i/>
          <w:noProof/>
          <w:color w:val="000000"/>
          <w:bdr w:val="none" w:sz="0" w:space="0" w:color="auto" w:frame="1"/>
        </w:rPr>
        <w:t>Ex post</w:t>
      </w:r>
      <w:r>
        <w:rPr>
          <w:noProof/>
          <w:color w:val="000000"/>
          <w:bdr w:val="none" w:sz="0" w:space="0" w:color="auto" w:frame="1"/>
        </w:rPr>
        <w:t xml:space="preserve"> izvērtējumi / spēkā esošo tiesību aktu atbilstības pārbaude</w:t>
      </w:r>
    </w:p>
    <w:p w:rsidR="00132BAA" w:rsidRDefault="00B31A4A">
      <w:pPr>
        <w:rPr>
          <w:noProof/>
        </w:rPr>
      </w:pPr>
      <w:r>
        <w:rPr>
          <w:noProof/>
        </w:rPr>
        <w:t xml:space="preserve">Tā kā šī iniciatīva tika uzsākta, </w:t>
      </w:r>
      <w:r>
        <w:rPr>
          <w:noProof/>
        </w:rPr>
        <w:t xml:space="preserve">pirms tika pieņemtas Labāka regulējuma pamatnostādnes, šāda konkrēta pašreizējās situācijas novērtēšana (pēc pieciem novērtēšanas kritērijiem) iniciatīvas atbalstam nav veikta. Pamatojoties uz Komisijas standartiem, tika ievērota </w:t>
      </w:r>
      <w:r>
        <w:rPr>
          <w:i/>
          <w:noProof/>
        </w:rPr>
        <w:t>Eurostat</w:t>
      </w:r>
      <w:r>
        <w:rPr>
          <w:noProof/>
        </w:rPr>
        <w:t xml:space="preserve"> sistēma spēkā eso</w:t>
      </w:r>
      <w:r>
        <w:rPr>
          <w:noProof/>
        </w:rPr>
        <w:t>šā tiesiskā regulējuma, tostarp Eiropas statistikas programmas</w:t>
      </w:r>
      <w:r>
        <w:rPr>
          <w:rStyle w:val="FootnoteReference"/>
          <w:noProof/>
        </w:rPr>
        <w:footnoteReference w:id="3"/>
      </w:r>
      <w:r>
        <w:rPr>
          <w:noProof/>
        </w:rPr>
        <w:t>, novērtēšanai, un šī sistēma veidoja visa procesa centrālo daļu. Turklāt katru gadu tiek veikti lietotāju apsekojumi, lai iegūtu labāku informāciju par lietotājiem, viņu vajadzībām un apmierin</w:t>
      </w:r>
      <w:r>
        <w:rPr>
          <w:noProof/>
        </w:rPr>
        <w:t xml:space="preserve">ātību ar pakalpojumiem, ko sniedz </w:t>
      </w:r>
      <w:r>
        <w:rPr>
          <w:i/>
          <w:noProof/>
        </w:rPr>
        <w:t>Eurostat</w:t>
      </w:r>
      <w:r>
        <w:rPr>
          <w:noProof/>
        </w:rPr>
        <w:t xml:space="preserve">. Novērtēšanas rezultātus </w:t>
      </w:r>
      <w:r>
        <w:rPr>
          <w:i/>
          <w:noProof/>
        </w:rPr>
        <w:t>Eurostat</w:t>
      </w:r>
      <w:r>
        <w:rPr>
          <w:noProof/>
        </w:rPr>
        <w:t xml:space="preserve"> izmanto, lai uzlabotu statistikas informācijas sagatavošanas procesu un statistikas rezultātus. Tos izmanto dažādu stratēģisko plānu, piemēram, darba programmu un vadības plānu iz</w:t>
      </w:r>
      <w:r>
        <w:rPr>
          <w:noProof/>
        </w:rPr>
        <w:t>strādē.</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lastRenderedPageBreak/>
        <w:t>•</w:t>
      </w:r>
      <w:r>
        <w:rPr>
          <w:noProof/>
        </w:rPr>
        <w:tab/>
      </w:r>
      <w:r>
        <w:rPr>
          <w:noProof/>
          <w:color w:val="000000"/>
          <w:bdr w:val="none" w:sz="0" w:space="0" w:color="auto" w:frame="1"/>
        </w:rPr>
        <w:t>Apspriešanās ar ieinteresētajām personām</w:t>
      </w:r>
    </w:p>
    <w:p w:rsidR="00132BAA" w:rsidRDefault="00B31A4A">
      <w:pPr>
        <w:rPr>
          <w:noProof/>
        </w:rPr>
      </w:pPr>
      <w:r>
        <w:rPr>
          <w:noProof/>
        </w:rPr>
        <w:t>Eiropas uzņēmējdarbības statistikas jomā galvenās ieinteresēto personu kategorijas ir datu lietotāji (citi Komisijas dienesti, valstu statistikas iestādes, kas uzrauga uzņēmējdarbības nozari, valstu centrā</w:t>
      </w:r>
      <w:r>
        <w:rPr>
          <w:noProof/>
        </w:rPr>
        <w:t>lās bankas un Eiropas Centrālā banka, profesionālās apvienības un pētnieki), datu apkopotāji (valstu statistikas iestādes (VSI), kā arī citi apkopotāji, piemēram, valstu centrālās bankas) un datu sniedzēji (uzņēmumi (tostarp MVU)).</w:t>
      </w:r>
    </w:p>
    <w:p w:rsidR="00132BAA" w:rsidRDefault="00B31A4A">
      <w:pPr>
        <w:rPr>
          <w:noProof/>
        </w:rPr>
      </w:pPr>
      <w:r>
        <w:rPr>
          <w:noProof/>
        </w:rPr>
        <w:t>Pirmajā apspriešanās kār</w:t>
      </w:r>
      <w:r>
        <w:rPr>
          <w:noProof/>
        </w:rPr>
        <w:t xml:space="preserve">tā ar ieinteresētajām personām iekļāva jautājumus par </w:t>
      </w:r>
      <w:r>
        <w:rPr>
          <w:i/>
          <w:noProof/>
        </w:rPr>
        <w:t>FRIBS</w:t>
      </w:r>
      <w:r>
        <w:rPr>
          <w:noProof/>
        </w:rPr>
        <w:t xml:space="preserve"> infrastruktūras elementiem (piemēram, uzņēmumu reģistriem, mikrodatu apmaiņu, kvalitāti un konfidencialitāti), un tā notika no 2014. gada oktobra līdz decembrim. Otrais posms tika uzsākts 2015. ga</w:t>
      </w:r>
      <w:r>
        <w:rPr>
          <w:noProof/>
        </w:rPr>
        <w:t xml:space="preserve">da otrajā pusē, un uzmanība tika pievērsta tādām izmaiņām datu prasībās, kas ieviešamas ar </w:t>
      </w:r>
      <w:r>
        <w:rPr>
          <w:i/>
          <w:noProof/>
        </w:rPr>
        <w:t>FRIBS</w:t>
      </w:r>
      <w:r>
        <w:rPr>
          <w:noProof/>
        </w:rPr>
        <w:t>. Visbeidzot, trešajā kārtā tika apkopoti ieinteresēto personu viedokļi par Savienības preču tirdzniecības statistikas (</w:t>
      </w:r>
      <w:r>
        <w:rPr>
          <w:i/>
          <w:noProof/>
        </w:rPr>
        <w:t>Intrastat</w:t>
      </w:r>
      <w:r>
        <w:rPr>
          <w:noProof/>
        </w:rPr>
        <w:t>) modernizāciju, un tā notika 2</w:t>
      </w:r>
      <w:r>
        <w:rPr>
          <w:noProof/>
        </w:rPr>
        <w:t>015. gada rudenī un 2016. gada pirmajā ceturksnī. Katru kārtu veidoja mērķtiecīga apspriešanās ar datu apkopotājiem (valstu statistikas iestādes) un sabiedriskā apspriešana, kurā piedalījās datu sniedzēji (uzņēmumi). Pirmās divas kārtas ietvēra arī sabiedr</w:t>
      </w:r>
      <w:r>
        <w:rPr>
          <w:noProof/>
        </w:rPr>
        <w:t>isko apspriešanu, kurā piedalījās datu lietotāji. Sabiedriskās apspriešanas rezultāti ir sīki izklāstīti divos ziņojumos</w:t>
      </w:r>
      <w:r>
        <w:rPr>
          <w:rStyle w:val="FootnoteReference"/>
          <w:noProof/>
        </w:rPr>
        <w:footnoteReference w:id="4"/>
      </w:r>
      <w:r>
        <w:rPr>
          <w:noProof/>
        </w:rPr>
        <w:t>.</w:t>
      </w:r>
    </w:p>
    <w:p w:rsidR="00132BAA" w:rsidRDefault="00B31A4A">
      <w:pPr>
        <w:rPr>
          <w:noProof/>
        </w:rPr>
      </w:pPr>
      <w:r>
        <w:rPr>
          <w:noProof/>
        </w:rPr>
        <w:t>Galvenās attiecīgās apspriešanās rezultātus var apkopot šādi:</w:t>
      </w:r>
    </w:p>
    <w:p w:rsidR="00132BAA" w:rsidRDefault="00B31A4A">
      <w:pPr>
        <w:pStyle w:val="Bullet0"/>
        <w:rPr>
          <w:noProof/>
        </w:rPr>
      </w:pPr>
      <w:r>
        <w:rPr>
          <w:noProof/>
        </w:rPr>
        <w:t>Datu lietotāji norādīja uz problēmām attiecībā uz patlaban pieejamās uz</w:t>
      </w:r>
      <w:r>
        <w:rPr>
          <w:noProof/>
        </w:rPr>
        <w:t>ņēmējdarbības statistikas lietderību un jo īpaši uz grūtībām kombinēt datus no dažādām uzņēmējdarbības statistikas jomām, ņemot vērā nekonsekvenci un informācijas trūkumu par tādiem jautājumiem kā pakalpojumu nozare un globalizācija. Vienota saskaņota regu</w:t>
      </w:r>
      <w:r>
        <w:rPr>
          <w:noProof/>
        </w:rPr>
        <w:t>la, viņuprāt, vairotu uzņēmējdarbības statistikas konsekvenci.</w:t>
      </w:r>
    </w:p>
    <w:p w:rsidR="00132BAA" w:rsidRDefault="00B31A4A">
      <w:pPr>
        <w:pStyle w:val="Bullet0"/>
        <w:rPr>
          <w:noProof/>
        </w:rPr>
      </w:pPr>
      <w:r>
        <w:rPr>
          <w:noProof/>
        </w:rPr>
        <w:t xml:space="preserve">Datu sagatavotāji (VSI) bažījas par sagatavošanas izmaksu pieaugumu saistībā ar jauno datu prasību izpildi, kuras izriet no </w:t>
      </w:r>
      <w:r>
        <w:rPr>
          <w:i/>
          <w:noProof/>
        </w:rPr>
        <w:t>FRIBS</w:t>
      </w:r>
      <w:r>
        <w:rPr>
          <w:noProof/>
        </w:rPr>
        <w:t xml:space="preserve"> un kuras atbilst lietotāju ilglaicīgām vajadzībām. </w:t>
      </w:r>
    </w:p>
    <w:p w:rsidR="00132BAA" w:rsidRDefault="00B31A4A">
      <w:pPr>
        <w:pStyle w:val="Bullet0"/>
        <w:rPr>
          <w:noProof/>
        </w:rPr>
      </w:pPr>
      <w:r>
        <w:rPr>
          <w:noProof/>
        </w:rPr>
        <w:t>Datu sniedz</w:t>
      </w:r>
      <w:r>
        <w:rPr>
          <w:noProof/>
        </w:rPr>
        <w:t xml:space="preserve">ēji bažījas par sloga palielinājumu saistībā ar papildu datu vajadzībām. Mērķtiecīgu apspriežu rezultāti liecina, ka Savienības iekšējās tirdzniecības statistikas modernizācija vairāk nekā kompensētu šo palielinājumu. </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Ekspertu atzinumu pieprasīšana un i</w:t>
      </w:r>
      <w:r>
        <w:rPr>
          <w:noProof/>
          <w:color w:val="000000"/>
          <w:bdr w:val="none" w:sz="0" w:space="0" w:color="auto" w:frame="1"/>
        </w:rPr>
        <w:t>zmantošana</w:t>
      </w:r>
    </w:p>
    <w:p w:rsidR="00132BAA" w:rsidRDefault="00B31A4A">
      <w:pPr>
        <w:rPr>
          <w:noProof/>
        </w:rPr>
      </w:pPr>
      <w:r>
        <w:rPr>
          <w:i/>
          <w:noProof/>
        </w:rPr>
        <w:t>FRIBS</w:t>
      </w:r>
      <w:r>
        <w:rPr>
          <w:noProof/>
        </w:rPr>
        <w:t xml:space="preserve"> projekts tika apspriests vairākās sanāksmēs ar valstu ekspertiem, kas aptver ne tikai uzņēmējdarbības statistiku, bet arī makroekonomikas statistiku, nacionālo kontu un maksājumu bilances statistiku. Projekta progresa ziņojumi tika regulāri iesniegti arī </w:t>
      </w:r>
      <w:r>
        <w:rPr>
          <w:noProof/>
        </w:rPr>
        <w:t>Eiropas Statistikas sistēmas komitejai (</w:t>
      </w:r>
      <w:r>
        <w:rPr>
          <w:i/>
          <w:noProof/>
        </w:rPr>
        <w:t>ESSC</w:t>
      </w:r>
      <w:r>
        <w:rPr>
          <w:noProof/>
        </w:rPr>
        <w:t xml:space="preserve">), kas izveidota ar Regulu (EK) Nr. 223/2009. </w:t>
      </w:r>
    </w:p>
    <w:p w:rsidR="00132BAA" w:rsidRDefault="00B31A4A">
      <w:pPr>
        <w:rPr>
          <w:noProof/>
        </w:rPr>
      </w:pPr>
      <w:r>
        <w:rPr>
          <w:noProof/>
        </w:rPr>
        <w:t xml:space="preserve">Apspriedes ar ieinteresētajām personām, kas aprakstītas iepriekš, tostarp datu lietotājiem un datu sniedzējiem, ir bijis izmantoto ārējo pierādījumu papildu avots. </w:t>
      </w:r>
    </w:p>
    <w:p w:rsidR="00132BAA" w:rsidRDefault="00B31A4A">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Ietekmes novērtējums</w:t>
      </w:r>
    </w:p>
    <w:p w:rsidR="00132BAA" w:rsidRDefault="00B31A4A">
      <w:pPr>
        <w:rPr>
          <w:noProof/>
        </w:rPr>
      </w:pPr>
      <w:r>
        <w:rPr>
          <w:noProof/>
        </w:rPr>
        <w:t>Šim priekšlikumam ir pievienots ietekmes novērtējuma ziņojums, kurā identificētas problēmas, apskatīti dažādi politikas risinājumi un, visbeidzot, novērtēta politikas risinājumu ietekme.</w:t>
      </w:r>
    </w:p>
    <w:p w:rsidR="00132BAA" w:rsidRDefault="00B31A4A">
      <w:pPr>
        <w:rPr>
          <w:noProof/>
        </w:rPr>
      </w:pPr>
      <w:r>
        <w:rPr>
          <w:noProof/>
        </w:rPr>
        <w:lastRenderedPageBreak/>
        <w:t xml:space="preserve">Regulējuma kontroles padome 2016. gada jūnijā </w:t>
      </w:r>
      <w:r>
        <w:rPr>
          <w:noProof/>
        </w:rPr>
        <w:t>sniedza labvēlīgu atzinumu par šo ietekmes novērtējuma ziņojumu (</w:t>
      </w:r>
      <w:hyperlink r:id="rId11" w:anchor="estat">
        <w:r>
          <w:rPr>
            <w:rStyle w:val="Hyperlink"/>
            <w:noProof/>
          </w:rPr>
          <w:t>http://ec.europa.eu/smart-regulation/impact/ia_carried_out/cia_2016_en.htm#estat</w:t>
        </w:r>
      </w:hyperlink>
      <w:r>
        <w:rPr>
          <w:noProof/>
        </w:rPr>
        <w:t>).</w:t>
      </w:r>
    </w:p>
    <w:p w:rsidR="00132BAA" w:rsidRDefault="00B31A4A">
      <w:pPr>
        <w:rPr>
          <w:noProof/>
        </w:rPr>
      </w:pPr>
      <w:r>
        <w:rPr>
          <w:noProof/>
        </w:rPr>
        <w:t>Iet</w:t>
      </w:r>
      <w:r>
        <w:rPr>
          <w:noProof/>
        </w:rPr>
        <w:t>ekmes novērtējumā konstatēja to, ka pastāv divas problēmas:</w:t>
      </w:r>
    </w:p>
    <w:p w:rsidR="00132BAA" w:rsidRDefault="00B31A4A">
      <w:pPr>
        <w:rPr>
          <w:noProof/>
        </w:rPr>
      </w:pPr>
      <w:r>
        <w:rPr>
          <w:noProof/>
        </w:rPr>
        <w:t>1.</w:t>
      </w:r>
      <w:r>
        <w:rPr>
          <w:noProof/>
        </w:rPr>
        <w:tab/>
        <w:t>Eiropas uzņēmējdarbības statistikas lietderības un reaģētspējas samazināšanās;</w:t>
      </w:r>
    </w:p>
    <w:p w:rsidR="00132BAA" w:rsidRDefault="00B31A4A">
      <w:pPr>
        <w:rPr>
          <w:noProof/>
        </w:rPr>
      </w:pPr>
      <w:r>
        <w:rPr>
          <w:noProof/>
        </w:rPr>
        <w:t>2.</w:t>
      </w:r>
      <w:r>
        <w:rPr>
          <w:noProof/>
        </w:rPr>
        <w:tab/>
        <w:t xml:space="preserve">uzņēmējdarbības statistikas juridiskā sadrumstalotība. </w:t>
      </w:r>
    </w:p>
    <w:p w:rsidR="00132BAA" w:rsidRDefault="00B31A4A">
      <w:pPr>
        <w:rPr>
          <w:noProof/>
        </w:rPr>
      </w:pPr>
      <w:r>
        <w:rPr>
          <w:noProof/>
        </w:rPr>
        <w:t>Lai risinātu šīs problēmas, tika apsvērti šādi risināju</w:t>
      </w:r>
      <w:r>
        <w:rPr>
          <w:noProof/>
        </w:rPr>
        <w:t>mi:</w:t>
      </w:r>
    </w:p>
    <w:p w:rsidR="00132BAA" w:rsidRDefault="00B31A4A">
      <w:pPr>
        <w:pStyle w:val="Bullet0"/>
        <w:rPr>
          <w:noProof/>
        </w:rPr>
      </w:pPr>
      <w:r>
        <w:rPr>
          <w:noProof/>
        </w:rPr>
        <w:t>risinājums A – pamata scenārijs – neveikt ES politikas pārmaiņas;</w:t>
      </w:r>
    </w:p>
    <w:p w:rsidR="00132BAA" w:rsidRDefault="00B31A4A">
      <w:pPr>
        <w:pStyle w:val="Bullet0"/>
        <w:rPr>
          <w:noProof/>
        </w:rPr>
      </w:pPr>
      <w:r>
        <w:rPr>
          <w:noProof/>
        </w:rPr>
        <w:t xml:space="preserve">risinājums B – īstenot likumdošanas pasākumus tikai attiecībā uz atsevišķām uzņēmējdarbības statistikas jomām, tostarp alternatīvi risinājumi </w:t>
      </w:r>
      <w:r>
        <w:rPr>
          <w:i/>
          <w:noProof/>
        </w:rPr>
        <w:t>Intrastat</w:t>
      </w:r>
      <w:r>
        <w:rPr>
          <w:noProof/>
        </w:rPr>
        <w:t xml:space="preserve"> modernizācijai;</w:t>
      </w:r>
    </w:p>
    <w:p w:rsidR="00132BAA" w:rsidRDefault="00B31A4A">
      <w:pPr>
        <w:pStyle w:val="Bullet0"/>
        <w:rPr>
          <w:noProof/>
        </w:rPr>
      </w:pPr>
      <w:r>
        <w:rPr>
          <w:noProof/>
        </w:rPr>
        <w:t>risinājums C – uzņ</w:t>
      </w:r>
      <w:r>
        <w:rPr>
          <w:noProof/>
        </w:rPr>
        <w:t>ēmējdarbības statistikas modernizācija vienotā regulējumā (</w:t>
      </w:r>
      <w:r>
        <w:rPr>
          <w:i/>
          <w:noProof/>
        </w:rPr>
        <w:t>FRIBS</w:t>
      </w:r>
      <w:r>
        <w:rPr>
          <w:noProof/>
        </w:rPr>
        <w:t xml:space="preserve">), izmantojot dažādus pasākumus, tostarp alternatīvi risinājumi </w:t>
      </w:r>
      <w:r>
        <w:rPr>
          <w:i/>
          <w:noProof/>
        </w:rPr>
        <w:t>Intrastat</w:t>
      </w:r>
      <w:r>
        <w:rPr>
          <w:noProof/>
        </w:rPr>
        <w:t xml:space="preserve"> modernizācijai.</w:t>
      </w:r>
    </w:p>
    <w:p w:rsidR="00132BAA" w:rsidRDefault="00B31A4A">
      <w:pPr>
        <w:rPr>
          <w:noProof/>
        </w:rPr>
      </w:pPr>
      <w:r>
        <w:rPr>
          <w:noProof/>
        </w:rPr>
        <w:t>Pamatojoties uz ietekmes novērtējumu, risinājums A nešķiet pieņemams, jo politikas veidotāji un datu l</w:t>
      </w:r>
      <w:r>
        <w:rPr>
          <w:noProof/>
        </w:rPr>
        <w:t>ietotāji kļūtu arvien neapmierinātāki ar izplatītajiem datiem un tiem nāktos izmantot citus datu avotus.</w:t>
      </w:r>
    </w:p>
    <w:p w:rsidR="00132BAA" w:rsidRDefault="00B31A4A">
      <w:pPr>
        <w:rPr>
          <w:noProof/>
        </w:rPr>
      </w:pPr>
      <w:r>
        <w:rPr>
          <w:noProof/>
        </w:rPr>
        <w:t>Risinājums B zināmā mērā ietver pašreizējās Eiropas uzņēmējdarbības statistikas sistēmas modernizāciju, jo īpaši attiecībā uz datu sagatavošanas paplaš</w:t>
      </w:r>
      <w:r>
        <w:rPr>
          <w:noProof/>
        </w:rPr>
        <w:t xml:space="preserve">ināšanu un datu rezultātiem politikas izstrādes un citu lietotāju vajadzībām. Tas attiecas arī uz </w:t>
      </w:r>
      <w:r>
        <w:rPr>
          <w:i/>
          <w:noProof/>
        </w:rPr>
        <w:t>Intrastat</w:t>
      </w:r>
      <w:r>
        <w:rPr>
          <w:noProof/>
        </w:rPr>
        <w:t xml:space="preserve"> sistēmas modernizāciju, kas mazinātu datu sniedzēju slogu. Tomēr šis risinājums neatrisina virkni pašreizējo trūkumu. Pirmkārt, ja tiek saglabāti 10</w:t>
      </w:r>
      <w:r>
        <w:rPr>
          <w:noProof/>
        </w:rPr>
        <w:t xml:space="preserve"> atsevišķi uzņēmējdarbības statistikas tiesību akti, ir jāpieliek lielākas pūles, lai mazinātu nekonsekvenci un saglabātu sagatavoto datu un rādītāju saskaņotību politikas sagatavotājiem nākotnē, un tas arī rada lielu darba slodzi, lai pārvaldītu un atjaun</w:t>
      </w:r>
      <w:r>
        <w:rPr>
          <w:noProof/>
        </w:rPr>
        <w:t xml:space="preserve">inātu informāciju par šiem tiesību aktiem. Šajā risinājumā ierosinātie uzlabojumi īsti nerada lielāku elastīgumu un reaģētspēju uz mainīgo politiku un citām lietotāju vajadzībām. </w:t>
      </w:r>
    </w:p>
    <w:p w:rsidR="00132BAA" w:rsidRDefault="00B31A4A">
      <w:pPr>
        <w:rPr>
          <w:noProof/>
        </w:rPr>
      </w:pPr>
      <w:r>
        <w:rPr>
          <w:noProof/>
        </w:rPr>
        <w:t>Risinājums C ir visprogresīvākais un visvairāk uz nākotni vērsts, jo tas par</w:t>
      </w:r>
      <w:r>
        <w:rPr>
          <w:noProof/>
        </w:rPr>
        <w:t xml:space="preserve">edz modernizēt Eiropas uzņēmumu statistikas sistēmu, to pielāgojot nākotnei. Eiropas uzņēmējdarbības statistika tiks apvienota vienā tiesiskajā regulējumā </w:t>
      </w:r>
      <w:r>
        <w:rPr>
          <w:i/>
          <w:noProof/>
        </w:rPr>
        <w:t>FRIBS</w:t>
      </w:r>
      <w:r>
        <w:rPr>
          <w:noProof/>
        </w:rPr>
        <w:t>, kas tādējādi netieši garantēs uzņēmējdarbības statistikas daudz lielāku konsekvenci (piemēram,</w:t>
      </w:r>
      <w:r>
        <w:rPr>
          <w:noProof/>
        </w:rPr>
        <w:t xml:space="preserve"> izmaiņu savlaicīguma un definīciju saskaņošanas ziņā utt.). Tas vairos ieguvumus no ESS sistēmas kopumā un tajā pašā laikā palielinās ES pievienoto vērtību. Robežas starp dažādām statistikas jomām mazināsies vai pat pilnībā izzudīs. Šī saskaņošana ļaus da</w:t>
      </w:r>
      <w:r>
        <w:rPr>
          <w:noProof/>
        </w:rPr>
        <w:t>udz labāk nodrošināt politikas vajadzības, jo varēs izplatīt integrētākus rādītājus un rādītāju kombinācijas. Tā arī palielinās sistēmas elastīgumu, kas nebūtu sasniedzams abu iepriekšējo risinājumu ietvaros. Jaunās politikas vajadzības var apmierināt īsāk</w:t>
      </w:r>
      <w:r>
        <w:rPr>
          <w:noProof/>
        </w:rPr>
        <w:t>os termiņos un integrēt funkcionējošā un labi veidotā sistēmā. Turklāt pretstatā risinājumam B risinājuma C ietvaros ir līdz minimumam samazinātas izplatītās statistikas pielāgošanas un pamatā esošā tiesiskā regulējuma izmaksas, jo visas nepieciešamās kore</w:t>
      </w:r>
      <w:r>
        <w:rPr>
          <w:noProof/>
        </w:rPr>
        <w:t xml:space="preserve">kcijas ir vieglāk ieviest vienā piegājienā. Vissvarīgākais ir tas, ka risinājumam C ir lielākais potenciāls samazināt slogu uzņēmumiem. </w:t>
      </w:r>
    </w:p>
    <w:p w:rsidR="00132BAA" w:rsidRDefault="00B31A4A">
      <w:pPr>
        <w:rPr>
          <w:noProof/>
        </w:rPr>
      </w:pPr>
      <w:r>
        <w:rPr>
          <w:noProof/>
        </w:rPr>
        <w:t xml:space="preserve">Visbeidzot, visas minētās priekšrocības norāda, ka risinājums C ir labākais variants. Tas vislabāk atbilst </w:t>
      </w:r>
      <w:r>
        <w:rPr>
          <w:i/>
          <w:noProof/>
        </w:rPr>
        <w:t>REFIT</w:t>
      </w:r>
      <w:r>
        <w:rPr>
          <w:noProof/>
        </w:rPr>
        <w:t xml:space="preserve"> progra</w:t>
      </w:r>
      <w:r>
        <w:rPr>
          <w:noProof/>
        </w:rPr>
        <w:t>mmas mērķiem, vienkāršojot un samazinot nevajadzīgo administratīvo slogu un racionalizējot nesaskaņotus un nekonsekventus tiesību aktu tekstus, kuri pašlaik reglamentē uzņēmējdarbības statistiku, vienā saskanīgā tiesiskajā regulējumā.</w:t>
      </w:r>
    </w:p>
    <w:p w:rsidR="00132BAA" w:rsidRDefault="00B31A4A">
      <w:pPr>
        <w:rPr>
          <w:noProof/>
        </w:rPr>
      </w:pPr>
      <w:r>
        <w:rPr>
          <w:noProof/>
        </w:rPr>
        <w:lastRenderedPageBreak/>
        <w:t>Lai gan Regulējuma ko</w:t>
      </w:r>
      <w:r>
        <w:rPr>
          <w:noProof/>
        </w:rPr>
        <w:t>ntroles padome ietekmes novērtējuma ziņojumu novērtēja atzinīgi, tā pauda trīs galvenos ieteikumus tā uzlabošanai, proti:</w:t>
      </w:r>
    </w:p>
    <w:p w:rsidR="00132BAA" w:rsidRDefault="00B31A4A">
      <w:pPr>
        <w:pStyle w:val="ManualNumPar1"/>
        <w:rPr>
          <w:noProof/>
        </w:rPr>
      </w:pPr>
      <w:r>
        <w:rPr>
          <w:noProof/>
        </w:rPr>
        <w:t xml:space="preserve">1) </w:t>
      </w:r>
      <w:r>
        <w:rPr>
          <w:noProof/>
        </w:rPr>
        <w:tab/>
        <w:t xml:space="preserve">sākotnēji piedāvāto un analizēto risinājumu klāsts tika uzskatīts par nepilnīgu, jo brīdī, kad ietekmes novērtējuma ziņojums tika </w:t>
      </w:r>
      <w:r>
        <w:rPr>
          <w:noProof/>
        </w:rPr>
        <w:t xml:space="preserve">iesniegts pārbaudei RKP, apspriešanās process par iespējamiem apakšrisinājumiem attiecībā uz Savienības iekšējās tirdzniecības statistikas modernizāciju turpinājās. </w:t>
      </w:r>
      <w:r>
        <w:rPr>
          <w:i/>
          <w:noProof/>
        </w:rPr>
        <w:t>Eurostat</w:t>
      </w:r>
      <w:r>
        <w:rPr>
          <w:noProof/>
        </w:rPr>
        <w:t xml:space="preserve"> atjaunināja sarakstu ar ierosinātajiem politikas risinājumiem, kuros atspoguļoti E</w:t>
      </w:r>
      <w:r>
        <w:rPr>
          <w:noProof/>
        </w:rPr>
        <w:t xml:space="preserve">SSK secinājumi attiecībā uz Savienības iekšējās tirdzniecības statistikas modernizāciju; </w:t>
      </w:r>
    </w:p>
    <w:p w:rsidR="00132BAA" w:rsidRDefault="00B31A4A">
      <w:pPr>
        <w:pStyle w:val="ManualNumPar1"/>
        <w:rPr>
          <w:noProof/>
        </w:rPr>
      </w:pPr>
      <w:r>
        <w:rPr>
          <w:noProof/>
        </w:rPr>
        <w:t xml:space="preserve">2) </w:t>
      </w:r>
      <w:r>
        <w:rPr>
          <w:noProof/>
        </w:rPr>
        <w:tab/>
        <w:t>tika lūgts veikt pastiprinātu analīzi par iespējamo ietekmi uz atsevišķu dalībvalstu budžetu, lai noteiktu, vai, īstenojot regulu, dažas no tām saskartos ar lielā</w:t>
      </w:r>
      <w:r>
        <w:rPr>
          <w:noProof/>
        </w:rPr>
        <w:t xml:space="preserve">kām grūtībām, un vai ir plānoti pasākumi grūtību mazināšanai attiecībā uz minētajām dalībvalstīm; </w:t>
      </w:r>
      <w:r>
        <w:rPr>
          <w:i/>
          <w:noProof/>
        </w:rPr>
        <w:t>Eurostat</w:t>
      </w:r>
      <w:r>
        <w:rPr>
          <w:noProof/>
        </w:rPr>
        <w:t xml:space="preserve"> iekļāva papildu precizējumus attiecībā uz valstīm, kuras izmaiņas skar visvairāk. Turklāt tika sniegti vairāki piemēri saistībā ar mazākām valstīm pa</w:t>
      </w:r>
      <w:r>
        <w:rPr>
          <w:noProof/>
        </w:rPr>
        <w:t xml:space="preserve">redzētiem vienkāršojumiem un racionalizācijas un modernizācijas iespējām, ko piedāvā </w:t>
      </w:r>
      <w:r>
        <w:rPr>
          <w:i/>
          <w:noProof/>
        </w:rPr>
        <w:t>FRIBS</w:t>
      </w:r>
      <w:r>
        <w:rPr>
          <w:noProof/>
        </w:rPr>
        <w:t xml:space="preserve">, radot izmaksu samazināšanas iespējas nākotnē. Tika arī paskaidrots, ka ir paredzēts finansējums (atbilstīgi budžeta iespējām) nolūkā izstrādāt jaunus datu vākšanas </w:t>
      </w:r>
      <w:r>
        <w:rPr>
          <w:noProof/>
        </w:rPr>
        <w:t xml:space="preserve">pasākumus; </w:t>
      </w:r>
    </w:p>
    <w:p w:rsidR="00132BAA" w:rsidRDefault="00B31A4A">
      <w:pPr>
        <w:pStyle w:val="ManualNumPar1"/>
        <w:rPr>
          <w:noProof/>
        </w:rPr>
      </w:pPr>
      <w:r>
        <w:rPr>
          <w:noProof/>
        </w:rPr>
        <w:t xml:space="preserve">3) </w:t>
      </w:r>
      <w:r>
        <w:rPr>
          <w:noProof/>
        </w:rPr>
        <w:tab/>
        <w:t xml:space="preserve">tika lūgts pastiprināt analīzi par administratīvā sloga ietekmi uz datu sniedzējiem un niansētāk pievērsties MVU, vienlaikus norādot, kādi pasākumi tiks veikti, lai aizsargātu MVU no sloga pieauguma. </w:t>
      </w:r>
      <w:r>
        <w:rPr>
          <w:i/>
          <w:noProof/>
        </w:rPr>
        <w:t>Eurostat</w:t>
      </w:r>
      <w:r>
        <w:rPr>
          <w:noProof/>
        </w:rPr>
        <w:t xml:space="preserve"> precizēja administratīvā sloga </w:t>
      </w:r>
      <w:r>
        <w:rPr>
          <w:noProof/>
        </w:rPr>
        <w:t>ietekmi uz datu sniedzējiem. Dažas papildu datu prasības, ar kurām reaģē uz lietotāju ilglaicīgu īpašu vajadzību uzraudzīt politikas pasākumus attiecībā uz MVU, patiešām varētu palielināt MVU administratīvo slogu. Tika sniegti vairāki piemēri, lai parādītu</w:t>
      </w:r>
      <w:r>
        <w:rPr>
          <w:noProof/>
        </w:rPr>
        <w:t>, ka daudzās uzņēmējdarbības statistikas jomās pastāv īpaši pasākumi, kas ir ieviesti, lai nodrošinātu, ka MVU ir aizsargāti no pārmērīga sloga, un datu apkopotāji pastiprinās pūles, lai samazinātu MVU slogu saistībā ar minētajām jaunajām datu prasībām.</w:t>
      </w:r>
    </w:p>
    <w:p w:rsidR="00132BAA" w:rsidRDefault="00B31A4A">
      <w:pPr>
        <w:rPr>
          <w:noProof/>
        </w:rPr>
      </w:pPr>
      <w:r>
        <w:rPr>
          <w:noProof/>
        </w:rPr>
        <w:t>Ņe</w:t>
      </w:r>
      <w:r>
        <w:rPr>
          <w:noProof/>
        </w:rPr>
        <w:t>mot vērā Monetārās, finanšu un maksājumu bilances statistikas komitejas 2016. gada septembra atzinumu, kopš ietekmes novērtējuma ziņojuma apstiprināšanas tika pieņemts lēmums izņemt ārvalstu tiešo ieguldījumu statistiku (</w:t>
      </w:r>
      <w:r>
        <w:rPr>
          <w:i/>
          <w:noProof/>
        </w:rPr>
        <w:t>FDI</w:t>
      </w:r>
      <w:r>
        <w:rPr>
          <w:noProof/>
        </w:rPr>
        <w:t xml:space="preserve">) no </w:t>
      </w:r>
      <w:r>
        <w:rPr>
          <w:i/>
          <w:noProof/>
        </w:rPr>
        <w:t>FRIBS</w:t>
      </w:r>
      <w:r>
        <w:rPr>
          <w:noProof/>
        </w:rPr>
        <w:t xml:space="preserve"> regulas tvēruma, jo </w:t>
      </w:r>
      <w:r>
        <w:rPr>
          <w:i/>
          <w:noProof/>
        </w:rPr>
        <w:t>F</w:t>
      </w:r>
      <w:r>
        <w:rPr>
          <w:i/>
          <w:noProof/>
        </w:rPr>
        <w:t>DI</w:t>
      </w:r>
      <w:r>
        <w:rPr>
          <w:noProof/>
        </w:rPr>
        <w:t xml:space="preserve"> uzņēmējdarbības statistikas dimensija nav tik skaidra kā attiecībā uz starptautisko pakalpojumu tirdzniecības statistiku, kas pašlaik ir ietverta arī regulā par maksājumu bilanci</w:t>
      </w:r>
      <w:r>
        <w:rPr>
          <w:rStyle w:val="FootnoteReference"/>
          <w:noProof/>
        </w:rPr>
        <w:footnoteReference w:id="5"/>
      </w:r>
      <w:r>
        <w:rPr>
          <w:noProof/>
        </w:rPr>
        <w:t xml:space="preserve">. </w:t>
      </w:r>
      <w:r>
        <w:rPr>
          <w:i/>
          <w:noProof/>
        </w:rPr>
        <w:t>FDI</w:t>
      </w:r>
      <w:r>
        <w:rPr>
          <w:noProof/>
        </w:rPr>
        <w:t xml:space="preserve"> prasības tādējādi arī turpmāk ietilps minētās regulas tvērumā.</w:t>
      </w:r>
      <w:r>
        <w:rPr>
          <w:rStyle w:val="CommentReference"/>
          <w:noProof/>
        </w:rPr>
        <w:t xml:space="preserve"> </w:t>
      </w:r>
      <w:r>
        <w:rPr>
          <w:noProof/>
        </w:rPr>
        <w:t>Tomēr</w:t>
      </w:r>
      <w:r>
        <w:rPr>
          <w:noProof/>
        </w:rPr>
        <w:t xml:space="preserve"> tas nemaina ietekmes novērtējuma ziņojuma secinājumus.</w:t>
      </w:r>
    </w:p>
    <w:p w:rsidR="00132BAA" w:rsidRDefault="00B31A4A">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Normatīvā atbilstība un vienkāršošana</w:t>
      </w:r>
    </w:p>
    <w:p w:rsidR="00132BAA" w:rsidRDefault="00B31A4A">
      <w:pPr>
        <w:rPr>
          <w:noProof/>
        </w:rPr>
      </w:pPr>
      <w:r>
        <w:rPr>
          <w:noProof/>
        </w:rPr>
        <w:t xml:space="preserve">Priekšlikums atbilst </w:t>
      </w:r>
      <w:r>
        <w:rPr>
          <w:i/>
          <w:noProof/>
        </w:rPr>
        <w:t>REFIT</w:t>
      </w:r>
      <w:r>
        <w:rPr>
          <w:noProof/>
        </w:rPr>
        <w:t xml:space="preserve"> programmas vienkāršošanas mērķiem, jo īpaši tāpēc, ka ar to desmit Regulas tiek apkopotas vienā vienotā tiesiskajā regulējumā un tiek</w:t>
      </w:r>
      <w:r>
        <w:rPr>
          <w:noProof/>
        </w:rPr>
        <w:t xml:space="preserve"> mazināts slogs uzņēmumiem, jo īpaši MVU. Īstenošanas izmaksas tika pilnībā ņemtas vērā un kontrolētas.</w:t>
      </w:r>
    </w:p>
    <w:p w:rsidR="00132BAA" w:rsidRDefault="00B31A4A">
      <w:pPr>
        <w:rPr>
          <w:noProof/>
        </w:rPr>
      </w:pPr>
      <w:r>
        <w:rPr>
          <w:noProof/>
        </w:rPr>
        <w:t>Lai gan dalībvalstis tiek aicinātas iespējami plaši papildus apsekojumiem izmantot administratīvos un inovatīvos avotus, tostarp jaunas metodes vai inov</w:t>
      </w:r>
      <w:r>
        <w:rPr>
          <w:noProof/>
        </w:rPr>
        <w:t xml:space="preserve">atīvas pieejas, jauno lietotāju vajadzību apmierināšana palielina respondentu slogu. Tomēr šo papildu slogu pārliecinoši atsver vienkāršojumi, jo īpaši Savienības iekšējās tirdzniecības statistikas jomā. Kopumā paredzams, ka </w:t>
      </w:r>
      <w:r>
        <w:rPr>
          <w:i/>
          <w:noProof/>
        </w:rPr>
        <w:t>FRIBS</w:t>
      </w:r>
      <w:r>
        <w:rPr>
          <w:noProof/>
        </w:rPr>
        <w:t xml:space="preserve"> regula samazinās uzņēmumu</w:t>
      </w:r>
      <w:r>
        <w:rPr>
          <w:noProof/>
        </w:rPr>
        <w:t xml:space="preserve"> administratīvo slogu par vismaz 13,5 % gadā.</w:t>
      </w:r>
    </w:p>
    <w:p w:rsidR="00132BAA" w:rsidRDefault="00B31A4A">
      <w:pPr>
        <w:rPr>
          <w:noProof/>
        </w:rPr>
      </w:pPr>
      <w:r>
        <w:rPr>
          <w:noProof/>
        </w:rPr>
        <w:lastRenderedPageBreak/>
        <w:t xml:space="preserve">Dažas papildu datu prasības, kas iekļautas </w:t>
      </w:r>
      <w:r>
        <w:rPr>
          <w:i/>
          <w:noProof/>
        </w:rPr>
        <w:t>FRIBS</w:t>
      </w:r>
      <w:r>
        <w:rPr>
          <w:noProof/>
        </w:rPr>
        <w:t xml:space="preserve"> regulā, varētu palielināt MVU slogu, jo īpaši attiecībā uz uzņēmējdarbības statistikas tvēruma paplašināšanu, lai ietvertu pakalpojumus, kas iepriekš nebija iekļ</w:t>
      </w:r>
      <w:r>
        <w:rPr>
          <w:noProof/>
        </w:rPr>
        <w:t>auti. Tomēr tas daļēji izriet no prasībām, kas ieviestas, reaģējot uz lietotāju ilglaicīgu īpašu vajadzību uzraudzīt Eiropas un valsts līmeņa politikas pasākumus attiecībā uz MVU, par kuriem šobrīd trūkst pietiekamas informācijas, jo dažas pakalpojumu darb</w:t>
      </w:r>
      <w:r>
        <w:rPr>
          <w:noProof/>
        </w:rPr>
        <w:t xml:space="preserve">ības, kuras īsteno arī MVU, vēl nav aptvertas. Lai samazinātu papildu slogu, datu apkopotāji tiek aicināti pēc iespējas izmantot esošus administratīvos datus (piemēram, no nodokļu iestādēm), lai reaģētu uz šo datu pieprasījumu un lai samazinātu apsekojumu </w:t>
      </w:r>
      <w:r>
        <w:rPr>
          <w:noProof/>
        </w:rPr>
        <w:t xml:space="preserve">izmantošanu, jo īpaši attiecībā uz MVU. </w:t>
      </w:r>
    </w:p>
    <w:p w:rsidR="00132BAA" w:rsidRDefault="00B31A4A">
      <w:pPr>
        <w:rPr>
          <w:noProof/>
        </w:rPr>
      </w:pPr>
      <w:r>
        <w:rPr>
          <w:i/>
          <w:noProof/>
        </w:rPr>
        <w:t>FRIBS</w:t>
      </w:r>
      <w:r>
        <w:rPr>
          <w:noProof/>
        </w:rPr>
        <w:t xml:space="preserve"> paredzētā vienkāršošana Savienības iekšējās tirdzniecības statistikas jomā varētu samazināt MVU slogu. Tomēr vienmēr būs atsevišķi MVU, kuri negūs labumu no administratīvā sloga samazinājuma un, iespējams, pat</w:t>
      </w:r>
      <w:r>
        <w:rPr>
          <w:noProof/>
        </w:rPr>
        <w:t xml:space="preserve"> saskarsies ar sloga palielinājumu. Lai gan parasti ir zināma saikne starp uzņēmuma lielumu un tā tirdzniecības apjomiem, tomēr arī maziem uzņēmumiem var būt lieli tirdzniecības apjomi, bet lieliem uzņēmumiem – mazs vai tā vispār var nebūt. </w:t>
      </w:r>
    </w:p>
    <w:p w:rsidR="00132BAA" w:rsidRDefault="00B31A4A">
      <w:pPr>
        <w:rPr>
          <w:noProof/>
        </w:rPr>
      </w:pPr>
      <w:r>
        <w:rPr>
          <w:noProof/>
        </w:rPr>
        <w:t>Priekšlikums i</w:t>
      </w:r>
      <w:r>
        <w:rPr>
          <w:noProof/>
        </w:rPr>
        <w:t xml:space="preserve">r saskaņā ar atzinumu, ko sniegusi </w:t>
      </w:r>
      <w:r>
        <w:rPr>
          <w:i/>
          <w:noProof/>
        </w:rPr>
        <w:t>REFIT</w:t>
      </w:r>
      <w:r>
        <w:rPr>
          <w:noProof/>
        </w:rPr>
        <w:t xml:space="preserve"> platforma par vides aizsardzības ieguldījumu statistiku, kas ietver valdību pārstāvju grupas vairākuma un dažu ieinteresēto personu grupas locekļu ieteikumu, proti, ka Komisija turpina savu novērtējumu par ziņošanas</w:t>
      </w:r>
      <w:r>
        <w:rPr>
          <w:noProof/>
        </w:rPr>
        <w:t xml:space="preserve"> prasībām, kas pārklājas, saskaņā ar Komisijas Regulu (EK) Nr. 250/2009 (par uzņēmējdarbības strukturālo statistiku (USS)) un Regulu (ES) Nr. 691/2011 par vides kontiem, un regulu par uzņēmējdarbības strukturālo statistiku aizstāj ar jauno pamatregulu, ar </w:t>
      </w:r>
      <w:r>
        <w:rPr>
          <w:noProof/>
        </w:rPr>
        <w:t>ko integrē uzņēmējdarbības statistiku (</w:t>
      </w:r>
      <w:r>
        <w:rPr>
          <w:i/>
          <w:noProof/>
        </w:rPr>
        <w:t>FRIBS</w:t>
      </w:r>
      <w:r>
        <w:rPr>
          <w:noProof/>
        </w:rPr>
        <w:t xml:space="preserve">). </w:t>
      </w:r>
    </w:p>
    <w:p w:rsidR="00132BAA" w:rsidRDefault="00B31A4A">
      <w:pPr>
        <w:rPr>
          <w:noProof/>
        </w:rPr>
      </w:pPr>
      <w:r>
        <w:rPr>
          <w:noProof/>
        </w:rPr>
        <w:t xml:space="preserve">Platformas atzinums apstiprina Komisijas konstatējumus, ka pastāv datu dubulta sniegšana. Lai risinātu šo problēmu, </w:t>
      </w:r>
      <w:r>
        <w:rPr>
          <w:i/>
          <w:noProof/>
        </w:rPr>
        <w:t>FRIBS</w:t>
      </w:r>
      <w:r>
        <w:rPr>
          <w:noProof/>
        </w:rPr>
        <w:t xml:space="preserve"> priekšlikumā nav iekļauti vides aizsardzības izdevumu kontu aspekti, kas tādējādi ieti</w:t>
      </w:r>
      <w:r>
        <w:rPr>
          <w:noProof/>
        </w:rPr>
        <w:t>lpst vienīgi regulas par vides kontiem (Reg. 691/2011) tvērumā. Tādēļ neradīsies pārklāšanās vai datu dubulta sniegšana.</w:t>
      </w:r>
    </w:p>
    <w:p w:rsidR="00132BAA" w:rsidRDefault="00B31A4A">
      <w:pPr>
        <w:rPr>
          <w:noProof/>
        </w:rPr>
      </w:pPr>
      <w:r>
        <w:rPr>
          <w:noProof/>
        </w:rPr>
        <w:t>Šis priekšlikums ir arī saskaņā ar “digitālo pārbaudi”, jo tas paredz veicināt savietojamību un atkārtotu izmantošanu, izmantojot tās p</w:t>
      </w:r>
      <w:r>
        <w:rPr>
          <w:noProof/>
        </w:rPr>
        <w:t xml:space="preserve">ašas datu kopu tehniskās specifikācijas un piemērojot tos pašus standartus datu un metadatu nosūtīšanai un informācijas apmaiņai starp </w:t>
      </w:r>
      <w:r>
        <w:rPr>
          <w:i/>
          <w:noProof/>
        </w:rPr>
        <w:t>Eurostat</w:t>
      </w:r>
      <w:r>
        <w:rPr>
          <w:noProof/>
        </w:rPr>
        <w:t xml:space="preserve"> un dalībvalstīm. </w:t>
      </w:r>
    </w:p>
    <w:p w:rsidR="00132BAA" w:rsidRDefault="00B31A4A">
      <w:pPr>
        <w:pStyle w:val="ManualHeading2"/>
        <w:rPr>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Pamattiesības</w:t>
      </w:r>
    </w:p>
    <w:p w:rsidR="00132BAA" w:rsidRDefault="00B31A4A">
      <w:pPr>
        <w:rPr>
          <w:noProof/>
        </w:rPr>
      </w:pPr>
      <w:r>
        <w:rPr>
          <w:noProof/>
        </w:rPr>
        <w:t xml:space="preserve">Šim priekšlikumam nav ietekmes uz pamattiesību aizsardzību. </w:t>
      </w:r>
    </w:p>
    <w:p w:rsidR="00132BAA" w:rsidRDefault="00B31A4A">
      <w:pPr>
        <w:pStyle w:val="ManualHeading1"/>
        <w:rPr>
          <w:noProof/>
          <w:color w:val="000000"/>
        </w:rPr>
      </w:pPr>
      <w:r>
        <w:rPr>
          <w:noProof/>
          <w:color w:val="000000"/>
        </w:rPr>
        <w:t>4.</w:t>
      </w:r>
      <w:r>
        <w:rPr>
          <w:noProof/>
        </w:rPr>
        <w:tab/>
      </w:r>
      <w:r>
        <w:rPr>
          <w:noProof/>
          <w:color w:val="000000"/>
        </w:rPr>
        <w:t xml:space="preserve">IETEKME UZ </w:t>
      </w:r>
      <w:r>
        <w:rPr>
          <w:noProof/>
          <w:color w:val="000000"/>
        </w:rPr>
        <w:t>BUDŽETU</w:t>
      </w:r>
    </w:p>
    <w:p w:rsidR="00132BAA" w:rsidRDefault="00B31A4A">
      <w:pPr>
        <w:rPr>
          <w:noProof/>
        </w:rPr>
      </w:pPr>
      <w:r>
        <w:rPr>
          <w:noProof/>
        </w:rPr>
        <w:t>Priekšlikuma finansiālā ietekme ir uz nenoteiktu laiku ar trīs gadu uzsākšanas periodu (no 2019. gada līdz 2021. gadam). Tiesību akta priekšlikuma finanšu pārskatā tika apskatīta tikai pašreizējā daudzgadu finanšu shēma (DFS). Finansējuma turpināša</w:t>
      </w:r>
      <w:r>
        <w:rPr>
          <w:noProof/>
        </w:rPr>
        <w:t>na būs atkarīga no vienošanās, kas tiks panākta par nākamo DFS, kā arī no to konkrēto programmu turpināšanas, kuru ietvaros ir paredzēts piešķirt finansējumu.</w:t>
      </w:r>
    </w:p>
    <w:p w:rsidR="00132BAA" w:rsidRDefault="00B31A4A">
      <w:pPr>
        <w:rPr>
          <w:noProof/>
        </w:rPr>
      </w:pPr>
      <w:r>
        <w:rPr>
          <w:noProof/>
        </w:rPr>
        <w:t xml:space="preserve">Finansējums 2019. un 2020. gadam tiks piešķirts no pašreizējiem piešķīrumiem programmām, tostarp </w:t>
      </w:r>
      <w:r>
        <w:rPr>
          <w:noProof/>
        </w:rPr>
        <w:t>19,5 miljoni EUR no Eiropas Statistikas programmas pagarināšanas uz 2019. un 2020. gadu, un papildu finansējums nav vajadzīgs.</w:t>
      </w:r>
    </w:p>
    <w:p w:rsidR="00132BAA" w:rsidRDefault="00B31A4A">
      <w:pPr>
        <w:rPr>
          <w:noProof/>
        </w:rPr>
      </w:pPr>
      <w:r>
        <w:rPr>
          <w:noProof/>
        </w:rPr>
        <w:t>Apropriāciju kopsumma 2019. un 2020. gadam aplēsta EUR 46,453 miljonu apmērā. Sīkāka informācija par ietekmi uz budžetu ir sniegt</w:t>
      </w:r>
      <w:r>
        <w:rPr>
          <w:noProof/>
        </w:rPr>
        <w:t xml:space="preserve">a tiesību akta finanšu pārskatā. </w:t>
      </w:r>
    </w:p>
    <w:p w:rsidR="00132BAA" w:rsidRDefault="00B31A4A">
      <w:pPr>
        <w:pStyle w:val="ManualHeading1"/>
        <w:rPr>
          <w:noProof/>
          <w:color w:val="000000"/>
        </w:rPr>
      </w:pPr>
      <w:r>
        <w:rPr>
          <w:noProof/>
          <w:color w:val="000000"/>
        </w:rPr>
        <w:lastRenderedPageBreak/>
        <w:t>5.</w:t>
      </w:r>
      <w:r>
        <w:rPr>
          <w:noProof/>
        </w:rPr>
        <w:tab/>
      </w:r>
      <w:r>
        <w:rPr>
          <w:noProof/>
          <w:color w:val="000000"/>
        </w:rPr>
        <w:t>CITI ELEMENTI</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Īstenošanas plāni un uzraudzības, novērtēšanas un ziņošanas kārtība</w:t>
      </w:r>
    </w:p>
    <w:p w:rsidR="00132BAA" w:rsidRDefault="00B31A4A">
      <w:pPr>
        <w:rPr>
          <w:noProof/>
        </w:rPr>
      </w:pPr>
      <w:r>
        <w:rPr>
          <w:noProof/>
        </w:rPr>
        <w:t>Paredzams, ka Eiropas Parlaments un Padome pieņems ierosināto regulu 2017. vai 2018. gadā un Komisija nedaudz vēlāk pieņems īstenošanas</w:t>
      </w:r>
      <w:r>
        <w:rPr>
          <w:noProof/>
        </w:rPr>
        <w:t xml:space="preserve"> pasākumus. Pirmā datu nosūtīšana saskaņā ar jauno regulu ir paredzēta 2019. gadā.</w:t>
      </w:r>
    </w:p>
    <w:p w:rsidR="00132BAA" w:rsidRDefault="00B31A4A">
      <w:pPr>
        <w:rPr>
          <w:noProof/>
        </w:rPr>
      </w:pPr>
      <w:r>
        <w:rPr>
          <w:noProof/>
        </w:rPr>
        <w:t>Ierosinātais likumdošanas instruments tiks pilnīgi izvērtēts saskaņā ar Labāka regulējuma pamatnostādņu pieciem novērtējuma kritērijiem, lai cita starpā novērtētu tā lietder</w:t>
      </w:r>
      <w:r>
        <w:rPr>
          <w:noProof/>
        </w:rPr>
        <w:t>īgumu un efektivitāti noteikto mērķu sasniegšanas ziņā un pieņemtu lēmumu par to, vai ir vajadzīgi jauni pasākumi vai grozījumi. Šajā sakarā tiks uzraudzīti uzņēmējdarbības statistikas galvenie rezultatīvie rādītāji.</w:t>
      </w:r>
    </w:p>
    <w:p w:rsidR="00132BAA" w:rsidRDefault="00B31A4A">
      <w:pPr>
        <w:rPr>
          <w:noProof/>
        </w:rPr>
      </w:pPr>
      <w:r>
        <w:rPr>
          <w:noProof/>
        </w:rPr>
        <w:t>Ir svarīgi atsaukties uz šobrīd spēkā e</w:t>
      </w:r>
      <w:r>
        <w:rPr>
          <w:noProof/>
        </w:rPr>
        <w:t xml:space="preserve">sošajiem uzraudzības un novērtēšanas instrumentiem, kuri ietver visu </w:t>
      </w:r>
      <w:r>
        <w:rPr>
          <w:i/>
          <w:noProof/>
        </w:rPr>
        <w:t>Eurostat</w:t>
      </w:r>
      <w:r>
        <w:rPr>
          <w:noProof/>
        </w:rPr>
        <w:t xml:space="preserve"> statistikas sagatavošanas procesu un jau tagad ļauj veiksmīgi analizēt jaunās statistikas iniciatīvas efektivitātes un iedarbīguma attīstību un iegūto datu kvalitāti. Tos veido E</w:t>
      </w:r>
      <w:r>
        <w:rPr>
          <w:noProof/>
        </w:rPr>
        <w:t xml:space="preserve">iropas Statistikas programmas sistemātisks starpposma un galīgais novērtējums saskaņā ar Labāka regulējuma pamatnostādņu pieciem novērtējuma kritērijiem. Uzņēmējdarbības statistika ir minēto ziņošanas mehānismu, </w:t>
      </w:r>
      <w:r>
        <w:rPr>
          <w:i/>
          <w:noProof/>
        </w:rPr>
        <w:t>Eurostat</w:t>
      </w:r>
      <w:r>
        <w:rPr>
          <w:noProof/>
        </w:rPr>
        <w:t xml:space="preserve"> pārvaldības plāna galveno rezultatī</w:t>
      </w:r>
      <w:r>
        <w:rPr>
          <w:noProof/>
        </w:rPr>
        <w:t>vo rādītāju turpmāko pasākumu un regulāro lietotāju apmierinātības apsekojumu neatņemama sastāvdaļa.</w:t>
      </w:r>
    </w:p>
    <w:p w:rsidR="00132BAA" w:rsidRDefault="00B31A4A">
      <w:pPr>
        <w:rPr>
          <w:noProof/>
        </w:rPr>
      </w:pPr>
      <w:r>
        <w:rPr>
          <w:noProof/>
        </w:rPr>
        <w:t>Katra statistikas joma tiek uzraudzīta arī statistikas kvalitātes nodrošināšanas sistēmas ietvaros, saskaņā ar kuru dalībvalstis regulāri sagatavo kvalitāt</w:t>
      </w:r>
      <w:r>
        <w:rPr>
          <w:noProof/>
        </w:rPr>
        <w:t xml:space="preserve">es ziņojumus un </w:t>
      </w:r>
      <w:r>
        <w:rPr>
          <w:i/>
          <w:noProof/>
        </w:rPr>
        <w:t>Eurostat</w:t>
      </w:r>
      <w:r>
        <w:rPr>
          <w:noProof/>
        </w:rPr>
        <w:t xml:space="preserve"> tos analizē. </w:t>
      </w:r>
    </w:p>
    <w:p w:rsidR="00132BAA" w:rsidRDefault="00B31A4A">
      <w:pPr>
        <w:rPr>
          <w:noProof/>
        </w:rPr>
      </w:pPr>
      <w:r>
        <w:rPr>
          <w:noProof/>
        </w:rPr>
        <w:t>Turklāt tiks uzraudzīti izmaksu elementi. Tam būs nepieciešama labāka un saskaņotāka izmaksu ziņošanas sistēma, kas aptver visu ESS un kas ir iedalīta statistikas sagatavošanas posmos. Šajā sakarā notiek darbs, ko par</w:t>
      </w:r>
      <w:r>
        <w:rPr>
          <w:noProof/>
        </w:rPr>
        <w:t xml:space="preserve">edzēts pabeigt laikus, lai varētu veikt to izmaksu uzraudzību, kas radīsies pēc </w:t>
      </w:r>
      <w:r>
        <w:rPr>
          <w:i/>
          <w:noProof/>
        </w:rPr>
        <w:t>FRIBS</w:t>
      </w:r>
      <w:r>
        <w:rPr>
          <w:noProof/>
        </w:rPr>
        <w:t xml:space="preserve"> regulas stāšanās spēkā.</w:t>
      </w:r>
    </w:p>
    <w:p w:rsidR="00132BAA" w:rsidRDefault="00B31A4A">
      <w:pPr>
        <w:pStyle w:val="ManualHeading2"/>
        <w:rPr>
          <w:rFonts w:eastAsia="Arial Unicode MS"/>
          <w:noProof/>
          <w:color w:val="000000"/>
          <w:bdr w:val="none" w:sz="0" w:space="0" w:color="auto" w:frame="1"/>
        </w:rPr>
      </w:pPr>
      <w:r>
        <w:rPr>
          <w:noProof/>
          <w:color w:val="000000"/>
          <w:bdr w:val="none" w:sz="0" w:space="0" w:color="auto" w:frame="1"/>
        </w:rPr>
        <w:t>•</w:t>
      </w:r>
      <w:r>
        <w:rPr>
          <w:noProof/>
        </w:rPr>
        <w:tab/>
      </w:r>
      <w:r>
        <w:rPr>
          <w:noProof/>
          <w:color w:val="000000"/>
          <w:bdr w:val="none" w:sz="0" w:space="0" w:color="auto" w:frame="1"/>
        </w:rPr>
        <w:t>Konkrēto priekšlikuma noteikumu sīks skaidrojums</w:t>
      </w:r>
    </w:p>
    <w:p w:rsidR="00132BAA" w:rsidRDefault="00B31A4A">
      <w:pPr>
        <w:rPr>
          <w:noProof/>
        </w:rPr>
      </w:pPr>
      <w:r>
        <w:rPr>
          <w:noProof/>
        </w:rPr>
        <w:t>Regulas priekšlikumu veido 23 panti un trīs pielikumi.</w:t>
      </w:r>
    </w:p>
    <w:p w:rsidR="00132BAA" w:rsidRDefault="00B31A4A">
      <w:pPr>
        <w:rPr>
          <w:noProof/>
        </w:rPr>
      </w:pPr>
      <w:r>
        <w:rPr>
          <w:noProof/>
        </w:rPr>
        <w:t>I nodaļa, 1.–3. pants, ir vispārīgie not</w:t>
      </w:r>
      <w:r>
        <w:rPr>
          <w:noProof/>
        </w:rPr>
        <w:t xml:space="preserve">eikumi. Šīs regulas priekšmets ir noteikts 1. pantā. Galvenie regulā lietotie jēdzieni ir definēti 2. pantā. 3. pantā ir turpmāk definēta gan uzņēmējdarbības statistikas, gan Eiropas statistisko uzņēmumu reģistru tīkla darbības joma. </w:t>
      </w:r>
    </w:p>
    <w:p w:rsidR="00132BAA" w:rsidRDefault="00B31A4A">
      <w:pPr>
        <w:rPr>
          <w:noProof/>
        </w:rPr>
      </w:pPr>
      <w:r>
        <w:rPr>
          <w:noProof/>
        </w:rPr>
        <w:t>II nodaļu veido 5. un</w:t>
      </w:r>
      <w:r>
        <w:rPr>
          <w:noProof/>
        </w:rPr>
        <w:t xml:space="preserve"> 6. pants, kas attiecas uz datu avotiem, kurus izmanto uzņēmējdarbības statistikas un statistisko uzņēmumu reģistru vajadzībām. Priekšlikums paredz un veicina jaunu datu vākšanas veidu un alternatīvu datu avotu izmantošanu, kas ietver administratīvos datus</w:t>
      </w:r>
      <w:r>
        <w:rPr>
          <w:noProof/>
        </w:rPr>
        <w:t xml:space="preserve"> un citus avotus, piemēram, aplēses, pamatojoties uz modeļiem vai lielajiem datiem. Lielo datu nozīme ir turpmāk definēta 4. pantā. </w:t>
      </w:r>
    </w:p>
    <w:p w:rsidR="00132BAA" w:rsidRDefault="00B31A4A">
      <w:pPr>
        <w:rPr>
          <w:noProof/>
        </w:rPr>
      </w:pPr>
      <w:r>
        <w:rPr>
          <w:noProof/>
        </w:rPr>
        <w:t>III nodaļa attiecas uz uzņēmējdarbības statistiku. Regulas 6. pantā izklāstītas uzņēmējdarbības statistikas tematiskās joma</w:t>
      </w:r>
      <w:r>
        <w:rPr>
          <w:noProof/>
        </w:rPr>
        <w:t>s un temati, attiecībā uz kuriem Komisija saskaņā ar 7. pantu ir pilnvarota pieņemt īstenošanas pasākumus saistībā ar datu kopu noteiktajām tehniskajām specifikācijām. Iesniedzamo datu tematiskās jomas, temati un sīki izstrādāti temati ir uzskaitīti I piel</w:t>
      </w:r>
      <w:r>
        <w:rPr>
          <w:noProof/>
        </w:rPr>
        <w:t>ikumā. II pielikumā noteikts periodiskums, kādā iesniedzami attiecīgo tematu dati. Komisija, izmantojot deleģētos aktus, varēs sīkāk izklāstīt dinamisko tematu “IKT izmantojums un e-komercija”, “Inovācija” un “Globālās vērtību ķēdes” priekšmetus un rakstur</w:t>
      </w:r>
      <w:r>
        <w:rPr>
          <w:noProof/>
        </w:rPr>
        <w:t xml:space="preserve">lielumus. I pielikumā iekļautos sīki izstrādātos tematus arī var grozīt ar deleģētu aktu saskaņā ar drošības klauzulās paredzētajiem ierobežojumiem. </w:t>
      </w:r>
    </w:p>
    <w:p w:rsidR="00132BAA" w:rsidRDefault="00B31A4A">
      <w:pPr>
        <w:rPr>
          <w:noProof/>
        </w:rPr>
      </w:pPr>
      <w:r>
        <w:rPr>
          <w:noProof/>
        </w:rPr>
        <w:lastRenderedPageBreak/>
        <w:t>IV nodaļā ir 3 panti, kas attiecas uz uzņēmumu reģistriem. Regulas 8. pants paredz Eiropas statistisko uzņ</w:t>
      </w:r>
      <w:r>
        <w:rPr>
          <w:noProof/>
        </w:rPr>
        <w:t xml:space="preserve">ēmumu reģistru tīkla izveidi. 9. pantā ir izklāstītas Eiropas statistisko uzņēmumu reģistru tīkla prasības. III pielikumā turpmāk precizēti Eiropas statistisko uzņēmumu reģistru tīkla elementi (reģistra raksturlielumi, unikālais identifikators, grafiks un </w:t>
      </w:r>
      <w:r>
        <w:rPr>
          <w:noProof/>
        </w:rPr>
        <w:t>periodiskums). Īstenošanas aktos reģistra raksturlielumus var iedalīt vēl sīkāk. 10. pantā iekļauti noteikumi attiecībā uz apmaiņu ar konfidenciāliem datiem un piekļuvi tiem Eiropas statistisko uzņēmumu reģistru tīkla nolūkiem. Komisija ir pilnvarota pieņe</w:t>
      </w:r>
      <w:r>
        <w:rPr>
          <w:noProof/>
        </w:rPr>
        <w:t>mt īstenošanas pasākumus attiecībā uz konfidenciālu datu apmaiņu Eiropas statistisko uzņēmumu reģistru tīkla nolūkiem.</w:t>
      </w:r>
    </w:p>
    <w:p w:rsidR="00132BAA" w:rsidRDefault="00B31A4A">
      <w:pPr>
        <w:rPr>
          <w:noProof/>
        </w:rPr>
      </w:pPr>
      <w:r>
        <w:rPr>
          <w:noProof/>
        </w:rPr>
        <w:t>V nodaļā iekļauti 5 panti par konfidenciālu datu apmaiņu Savienības iekšējās preču tirdzniecības nolūkiem. Minētās statistikas datu un me</w:t>
      </w:r>
      <w:r>
        <w:rPr>
          <w:noProof/>
        </w:rPr>
        <w:t>tadatu apmaiņas princips noteikts 11. pantā. Regulas 12. pantā precizēts, ar kādu statistikas informāciju apmainās, un 13. pantā sniegti statistikas datu elementi. Regulas 14. pantā izklāstīti noteikumi par nosūtīto konfidenciālo datu aizsardzību 15. pantā</w:t>
      </w:r>
      <w:r>
        <w:rPr>
          <w:noProof/>
        </w:rPr>
        <w:t xml:space="preserve"> nosūtīto konfidenciālo datu pieejamību zinātniskās izpētes nolūkiem. </w:t>
      </w:r>
    </w:p>
    <w:p w:rsidR="00132BAA" w:rsidRDefault="00B31A4A">
      <w:pPr>
        <w:rPr>
          <w:noProof/>
        </w:rPr>
      </w:pPr>
      <w:r>
        <w:rPr>
          <w:noProof/>
        </w:rPr>
        <w:t xml:space="preserve">VI nodaļā pārgrupēti trīs panti par kvalitāti, nosūtīšanu un izplatīšanu: datu kvalitāte un metadatu ziņošana (16. pants), datu un metadatu nosūtīšana (17. pants) un konfidencialitāte, </w:t>
      </w:r>
      <w:r>
        <w:rPr>
          <w:noProof/>
        </w:rPr>
        <w:t xml:space="preserve">izplatot statistikas datus par starptautisko preču tirdzniecību (19. pants). </w:t>
      </w:r>
    </w:p>
    <w:p w:rsidR="00132BAA" w:rsidRDefault="00B31A4A">
      <w:pPr>
        <w:rPr>
          <w:noProof/>
        </w:rPr>
      </w:pPr>
      <w:r>
        <w:rPr>
          <w:noProof/>
        </w:rPr>
        <w:t>Priekšlikuma VII nodaļa ietver citus svarīgus Eiropas uzņēmējdarbības statistikas modernizācijas elementus:</w:t>
      </w:r>
    </w:p>
    <w:p w:rsidR="00132BAA" w:rsidRDefault="00B31A4A">
      <w:pPr>
        <w:pStyle w:val="Bullet0"/>
        <w:rPr>
          <w:noProof/>
        </w:rPr>
      </w:pPr>
      <w:r>
        <w:rPr>
          <w:noProof/>
        </w:rPr>
        <w:t>izmēģinājuma pētījumu paredzēšana nolūkā novērtēt jaunas datu vākšanas</w:t>
      </w:r>
      <w:r>
        <w:rPr>
          <w:noProof/>
        </w:rPr>
        <w:t xml:space="preserve"> lietderību un iespējamību un uzlabot datu kopas (19. punktā),</w:t>
      </w:r>
    </w:p>
    <w:p w:rsidR="00132BAA" w:rsidRDefault="00B31A4A">
      <w:pPr>
        <w:pStyle w:val="Bullet0"/>
        <w:rPr>
          <w:noProof/>
        </w:rPr>
      </w:pPr>
      <w:r>
        <w:rPr>
          <w:noProof/>
        </w:rPr>
        <w:t>noteikumi par finansiālu atbalstu dalībvalstīm saskaņā ar nosacījumiem (20. pants).</w:t>
      </w:r>
    </w:p>
    <w:p w:rsidR="00132BAA" w:rsidRDefault="00B31A4A">
      <w:pPr>
        <w:rPr>
          <w:noProof/>
        </w:rPr>
      </w:pPr>
      <w:r>
        <w:rPr>
          <w:noProof/>
        </w:rPr>
        <w:t>Regulas pēdējā nodaļā ir ietverti noteikumi par deleģēšanas īstenošanu (21. pants) saskaņā ar 2016. gada aprī</w:t>
      </w:r>
      <w:r>
        <w:rPr>
          <w:noProof/>
        </w:rPr>
        <w:t>ļa Iestāžu nolīgumu par labāku likumdošanas procesu, komiteju procedūru (22. pants), sadarbību ar citām komitejām (23. pants), noteikumiem par atkāpēm nolūkā atsevišķām dalībvalstīm dot vairāk laika, lai pielāgotos jaunajām prasībām (24. pants). Turklāt ša</w:t>
      </w:r>
      <w:r>
        <w:rPr>
          <w:noProof/>
        </w:rPr>
        <w:t>jā nodaļā grozīta viena regula (25. pants), par kuru informācija ir iekļauta IV pielikumā, un atceltas desmit spēkā esošus tiesību aktus, kas aizstātas ar ierosināto pamatregulu (26. pants).</w:t>
      </w:r>
    </w:p>
    <w:p w:rsidR="00132BAA" w:rsidRDefault="00132BAA">
      <w:pPr>
        <w:rPr>
          <w:noProof/>
        </w:rPr>
        <w:sectPr w:rsidR="00132BAA">
          <w:footerReference w:type="default" r:id="rId12"/>
          <w:footerReference w:type="first" r:id="rId13"/>
          <w:pgSz w:w="11907" w:h="16839"/>
          <w:pgMar w:top="1134" w:right="1417" w:bottom="1134" w:left="1417" w:header="709" w:footer="709" w:gutter="0"/>
          <w:cols w:space="708"/>
          <w:docGrid w:linePitch="360"/>
        </w:sectPr>
      </w:pPr>
    </w:p>
    <w:p w:rsidR="00132BAA" w:rsidRDefault="00B31A4A">
      <w:pPr>
        <w:pStyle w:val="Rfrenceinterinstitutionnelle"/>
        <w:rPr>
          <w:noProof/>
        </w:rPr>
      </w:pPr>
      <w:r>
        <w:rPr>
          <w:noProof/>
        </w:rPr>
        <w:lastRenderedPageBreak/>
        <w:t>2017/0048 (COD)</w:t>
      </w:r>
    </w:p>
    <w:p w:rsidR="00132BAA" w:rsidRDefault="00B31A4A">
      <w:pPr>
        <w:pStyle w:val="Statut"/>
        <w:rPr>
          <w:noProof/>
        </w:rPr>
      </w:pPr>
      <w:r>
        <w:rPr>
          <w:noProof/>
        </w:rPr>
        <w:t>Priekšlikums</w:t>
      </w:r>
    </w:p>
    <w:p w:rsidR="00132BAA" w:rsidRDefault="00B31A4A">
      <w:pPr>
        <w:pStyle w:val="Typedudocument"/>
      </w:pPr>
      <w:r>
        <w:rPr>
          <w:noProof/>
        </w:rPr>
        <w:t>EIROPAS PARLAMENTA UN PADOMES REGULA</w:t>
      </w:r>
    </w:p>
    <w:p w:rsidR="00132BAA" w:rsidRDefault="00B31A4A">
      <w:pPr>
        <w:pStyle w:val="Titreobjet"/>
        <w:rPr>
          <w:noProof/>
        </w:rPr>
      </w:pPr>
      <w:r>
        <w:rPr>
          <w:noProof/>
        </w:rPr>
        <w:t>par Eiropas uzņēmējdarbības statistiku,</w:t>
      </w:r>
      <w:r>
        <w:rPr>
          <w:noProof/>
        </w:rPr>
        <w:br/>
        <w:t>ar ko groza Regulu (EK) Nr. 184/2005 un atceļ 10 tiesību aktus uzņēmējdarbības statistikas jomā</w:t>
      </w:r>
    </w:p>
    <w:p w:rsidR="00132BAA" w:rsidRDefault="00B31A4A">
      <w:pPr>
        <w:pStyle w:val="IntrtEEE"/>
        <w:rPr>
          <w:noProof/>
        </w:rPr>
      </w:pPr>
      <w:r>
        <w:rPr>
          <w:noProof/>
        </w:rPr>
        <w:t xml:space="preserve"> (Dokuments attiecas uz EEZ)</w:t>
      </w:r>
    </w:p>
    <w:p w:rsidR="00132BAA" w:rsidRDefault="00B31A4A">
      <w:pPr>
        <w:pStyle w:val="Institutionquiagit"/>
        <w:rPr>
          <w:noProof/>
        </w:rPr>
      </w:pPr>
      <w:r>
        <w:rPr>
          <w:noProof/>
        </w:rPr>
        <w:t>EIROPAS PARLAMENTS UN EIROPAS SAVIENĪBAS PADOME,</w:t>
      </w:r>
    </w:p>
    <w:p w:rsidR="00132BAA" w:rsidRDefault="00B31A4A">
      <w:pPr>
        <w:rPr>
          <w:noProof/>
        </w:rPr>
      </w:pPr>
      <w:r>
        <w:rPr>
          <w:noProof/>
        </w:rPr>
        <w:t>ņemot vērā Līgumu par Eiropas Savienības darbību un jo īpaši tā 338. panta 1. punktu,</w:t>
      </w:r>
    </w:p>
    <w:p w:rsidR="00132BAA" w:rsidRDefault="00B31A4A">
      <w:pPr>
        <w:rPr>
          <w:noProof/>
        </w:rPr>
      </w:pPr>
      <w:r>
        <w:rPr>
          <w:noProof/>
        </w:rPr>
        <w:t>ņemot vērā Eiropas Komisijas priekšlikumu,</w:t>
      </w:r>
    </w:p>
    <w:p w:rsidR="00132BAA" w:rsidRDefault="00B31A4A">
      <w:pPr>
        <w:rPr>
          <w:noProof/>
        </w:rPr>
      </w:pPr>
      <w:r>
        <w:rPr>
          <w:noProof/>
        </w:rPr>
        <w:t>ņemot vērā Eiropas Centrālās bankas atzinumu,</w:t>
      </w:r>
    </w:p>
    <w:p w:rsidR="00132BAA" w:rsidRDefault="00B31A4A">
      <w:pPr>
        <w:rPr>
          <w:noProof/>
        </w:rPr>
      </w:pPr>
      <w:r>
        <w:rPr>
          <w:noProof/>
        </w:rPr>
        <w:t>pēc</w:t>
      </w:r>
      <w:r>
        <w:rPr>
          <w:noProof/>
        </w:rPr>
        <w:t xml:space="preserve"> leģislatīvā akta projekta nosūtīšanas valstu parlamentiem,</w:t>
      </w:r>
    </w:p>
    <w:p w:rsidR="00132BAA" w:rsidRDefault="00B31A4A">
      <w:pPr>
        <w:rPr>
          <w:noProof/>
        </w:rPr>
      </w:pPr>
      <w:r>
        <w:rPr>
          <w:noProof/>
        </w:rPr>
        <w:t xml:space="preserve">saskaņā ar parasto likumdošanas procedūru, </w:t>
      </w:r>
    </w:p>
    <w:p w:rsidR="00132BAA" w:rsidRDefault="00B31A4A">
      <w:pPr>
        <w:rPr>
          <w:noProof/>
        </w:rPr>
      </w:pPr>
      <w:r>
        <w:rPr>
          <w:noProof/>
        </w:rPr>
        <w:t>tā kā:</w:t>
      </w:r>
    </w:p>
    <w:p w:rsidR="00132BAA" w:rsidRDefault="00B31A4A">
      <w:pPr>
        <w:pStyle w:val="ManualConsidrant"/>
        <w:rPr>
          <w:noProof/>
        </w:rPr>
      </w:pPr>
      <w:r>
        <w:t>(1)</w:t>
      </w:r>
      <w:r>
        <w:tab/>
      </w:r>
      <w:r>
        <w:rPr>
          <w:noProof/>
        </w:rPr>
        <w:t>Statistikas informācijas par dalībvalstu uzņēmumu saimniecisko darbību izstrāde, sagatavošana un izplatīšana līdz šim ir bijusi balstīta vair</w:t>
      </w:r>
      <w:r>
        <w:rPr>
          <w:noProof/>
        </w:rPr>
        <w:t>ākos atsevišķos tiesību aktos. Šie tiesību akti attiecas uz īstermiņa statistiku un uzņēmējdarbības strukturālo statistiku, ražošanas statistiku, starptautisko (Savienības iekšējo un ārējo) preču un pakalpojumu tirdzniecību, statistiku par ārvalstu saistīt</w:t>
      </w:r>
      <w:r>
        <w:rPr>
          <w:noProof/>
        </w:rPr>
        <w:t>iem uzņēmumiem, pētniecību un izstrādi, inovāciju, IKT izmantojumu un tirdzniecību. Turklāt ar Eiropas Parlamenta un Padomes Regulu (EK) Nr. 177/2008 tika izveidota kopēja uzņēmumu reģistru sistēma statistikas vajadzībām</w:t>
      </w:r>
      <w:r>
        <w:rPr>
          <w:rStyle w:val="FootnoteReference"/>
          <w:noProof/>
        </w:rPr>
        <w:footnoteReference w:id="6"/>
      </w:r>
      <w:r>
        <w:rPr>
          <w:noProof/>
        </w:rPr>
        <w:t xml:space="preserve">. </w:t>
      </w:r>
    </w:p>
    <w:p w:rsidR="00132BAA" w:rsidRDefault="00B31A4A">
      <w:pPr>
        <w:pStyle w:val="ManualConsidrant"/>
        <w:rPr>
          <w:noProof/>
        </w:rPr>
      </w:pPr>
      <w:r>
        <w:t>(2)</w:t>
      </w:r>
      <w:r>
        <w:tab/>
      </w:r>
      <w:r>
        <w:rPr>
          <w:noProof/>
        </w:rPr>
        <w:t>Šī struktūra, kas balstīta u</w:t>
      </w:r>
      <w:r>
        <w:rPr>
          <w:noProof/>
        </w:rPr>
        <w:t>z atsevišķiem tiesību aktiem, nevar nodrošināt vajadzīgo saskaņotību starp atsevišķām statistikas jomām, tā arī neveicina integrētu pieeju uzņēmējdarbības statistikas izstrādei, sagatavošanai un izplatīšanai. Lai nodrošinātu saskaņotību starp Eiropas uzņēm</w:t>
      </w:r>
      <w:r>
        <w:rPr>
          <w:noProof/>
        </w:rPr>
        <w:t>ējdarbības statistiku un atvieglotu attiecīgo statistikas procesu integrāciju, būtu jāizstrādā kopīgs tiesiskais regulējums.</w:t>
      </w:r>
    </w:p>
    <w:p w:rsidR="00132BAA" w:rsidRDefault="00B31A4A">
      <w:pPr>
        <w:pStyle w:val="ManualConsidrant"/>
        <w:rPr>
          <w:noProof/>
        </w:rPr>
      </w:pPr>
      <w:r>
        <w:t>(3)</w:t>
      </w:r>
      <w:r>
        <w:tab/>
      </w:r>
      <w:r>
        <w:rPr>
          <w:noProof/>
        </w:rPr>
        <w:t>Integrētākiem statistikas procesiem, kuru pamatā ir kopīgi metodoloģiskie principi, definīcijas un kvalitātes kritēriji, būtu j</w:t>
      </w:r>
      <w:r>
        <w:rPr>
          <w:noProof/>
        </w:rPr>
        <w:t>āpanāk Savienības uzņēmējdarbības nozares saskaņotu struktūras, saimnieciskās darbības, darījumu un snieguma statistiku, kas atbilst lietderības un detalizācijas pakāpei, kuru sagaida lietotāji.</w:t>
      </w:r>
    </w:p>
    <w:p w:rsidR="00132BAA" w:rsidRDefault="00B31A4A">
      <w:pPr>
        <w:pStyle w:val="ManualConsidrant"/>
        <w:rPr>
          <w:noProof/>
        </w:rPr>
      </w:pPr>
      <w:r>
        <w:t>(4)</w:t>
      </w:r>
      <w:r>
        <w:tab/>
      </w:r>
      <w:r>
        <w:rPr>
          <w:noProof/>
        </w:rPr>
        <w:t>Eiropas uzņēmējdarbības statistika ir saistīta ar starpta</w:t>
      </w:r>
      <w:r>
        <w:rPr>
          <w:noProof/>
        </w:rPr>
        <w:t xml:space="preserve">utiskajām vadlīnijām, piemēram, </w:t>
      </w:r>
      <w:r>
        <w:rPr>
          <w:i/>
          <w:noProof/>
        </w:rPr>
        <w:t>Frascati</w:t>
      </w:r>
      <w:r>
        <w:rPr>
          <w:noProof/>
        </w:rPr>
        <w:t xml:space="preserve"> rokasgrāmatu par pētniecības un izstrādes statistiku un Oslo rokasgrāmatu par inovācijas datiem, un starptautiskajiem nolīgumiem, ko pieņēmusi Apvienoto Nāciju Organizācija, ESAO, Starptautiskais Valūtas fonds un ci</w:t>
      </w:r>
      <w:r>
        <w:rPr>
          <w:noProof/>
        </w:rPr>
        <w:t xml:space="preserve">tas </w:t>
      </w:r>
      <w:r>
        <w:rPr>
          <w:noProof/>
        </w:rPr>
        <w:lastRenderedPageBreak/>
        <w:t>starptautiskās un pārvalstiskās organizācijas. Eiropas statistisko uzņēmumu reģistru tīklam izstrādājot, sagatavojot un izplatot Savienības statistiku, būtu pēc iespējas jāievēro minētās vadlīnijas, lai nodrošinātu, ka Savienības statistikas dati ir sa</w:t>
      </w:r>
      <w:r>
        <w:rPr>
          <w:noProof/>
        </w:rPr>
        <w:t>līdzināmi ar Savienības galveno starptautisko partneru apkopotajiem statistikas datiem. Tomēr, vācot Eiropas uzņēmējdarbības statistiku par tēmām “Pētniecības un izstrādes ielaide” un “Inovācija”, būtu konsekventi jāpiemēro Savienības standarti, nolīgumi u</w:t>
      </w:r>
      <w:r>
        <w:rPr>
          <w:noProof/>
        </w:rPr>
        <w:t>n pamatnostādnes.</w:t>
      </w:r>
    </w:p>
    <w:p w:rsidR="00132BAA" w:rsidRDefault="00B31A4A">
      <w:pPr>
        <w:pStyle w:val="ManualConsidrant"/>
        <w:rPr>
          <w:noProof/>
        </w:rPr>
      </w:pPr>
      <w:r>
        <w:t>(5)</w:t>
      </w:r>
      <w:r>
        <w:tab/>
      </w:r>
      <w:r>
        <w:rPr>
          <w:noProof/>
        </w:rPr>
        <w:t>Mazo un vidējo uzņēmumu administratīvais slogs būtu pēc iespējas jāsamazina, papildus apsekojumiem iespējami plaši ņemot vērā citus datu avotus. Lai mazinātu uzņēmumu slogu, vajadzētu būt iespējai noteikt atšķirīgas datu prasības atka</w:t>
      </w:r>
      <w:r>
        <w:rPr>
          <w:noProof/>
        </w:rPr>
        <w:t>rībā no uzņēmuma lieluma un nozīmes dalībvalstu ekonomikās.</w:t>
      </w:r>
    </w:p>
    <w:p w:rsidR="00132BAA" w:rsidRDefault="00B31A4A">
      <w:pPr>
        <w:pStyle w:val="ManualConsidrant"/>
        <w:rPr>
          <w:noProof/>
        </w:rPr>
      </w:pPr>
      <w:r>
        <w:t>(6)</w:t>
      </w:r>
      <w:r>
        <w:tab/>
      </w:r>
      <w:r>
        <w:rPr>
          <w:noProof/>
        </w:rPr>
        <w:t>Eiropas Statistikas sistēmas (ESS) redzējumā 2020. gadam norādīts, ka dati būtu jāizmanto visās statistikas jomās, lai varētu labāk analizēt jaunās tendences (piemēram, globalizāciju) un tie l</w:t>
      </w:r>
      <w:r>
        <w:rPr>
          <w:noProof/>
        </w:rPr>
        <w:t>abāk kalpotu nozīmīgas ietekmes ES politikas izstrādē. Datu rezultāti būtu jābalsta uz ESS efektīviem un stabiliem statistikas procesiem. Uzņēmējdarbības statistikas kopīgā tiesiskā regulējuma plašākam tvērumam vajadzētu sekmēt savstarpēji atkarīgu no dažā</w:t>
      </w:r>
      <w:r>
        <w:rPr>
          <w:noProof/>
        </w:rPr>
        <w:t>diem avotiem iegūtu datu sagatavošanas procesu integrāciju.</w:t>
      </w:r>
    </w:p>
    <w:p w:rsidR="00132BAA" w:rsidRDefault="00B31A4A">
      <w:pPr>
        <w:pStyle w:val="ManualConsidrant"/>
        <w:rPr>
          <w:noProof/>
        </w:rPr>
      </w:pPr>
      <w:r>
        <w:t>(7)</w:t>
      </w:r>
      <w:r>
        <w:tab/>
      </w:r>
      <w:r>
        <w:rPr>
          <w:noProof/>
        </w:rPr>
        <w:t>Eiropas uzņēmumu un tirdzniecības statistikas modernizācijas (</w:t>
      </w:r>
      <w:r>
        <w:rPr>
          <w:i/>
          <w:noProof/>
        </w:rPr>
        <w:t>MEETS</w:t>
      </w:r>
      <w:r>
        <w:rPr>
          <w:noProof/>
        </w:rPr>
        <w:t>) programma, kas pieņemta ar Eiropas Parlamenta un Padomes Lēmumu 1297/2008/EK</w:t>
      </w:r>
      <w:r>
        <w:rPr>
          <w:rStyle w:val="FootnoteReference"/>
          <w:noProof/>
        </w:rPr>
        <w:footnoteReference w:id="7"/>
      </w:r>
      <w:r>
        <w:rPr>
          <w:noProof/>
        </w:rPr>
        <w:t xml:space="preserve"> un kas darbojās no 2009. līdz 2013. gadam, bi</w:t>
      </w:r>
      <w:r>
        <w:rPr>
          <w:noProof/>
        </w:rPr>
        <w:t>ja vērsta uz to, lai atbalstītu uzņēmumu un tirdzniecības statistikas pielāgošanu jaunām datu vajadzībām un koriģētu uzņēmējdarbības statistikas sagatavošanas sistēmu. No šīs programmas izrietošie secinājumi un ieteikumi attiecībā uz prioritātēm un jauniem</w:t>
      </w:r>
      <w:r>
        <w:rPr>
          <w:noProof/>
        </w:rPr>
        <w:t xml:space="preserve"> rādītāju mērķkopumiem, ar uzņēmējdarbību saistītas statistikas regulējuma racionalizēšanu, efektīvākas uzņēmējdarbības un tirdzniecības statistikas veicināšanu un </w:t>
      </w:r>
      <w:r>
        <w:rPr>
          <w:i/>
          <w:noProof/>
        </w:rPr>
        <w:t>Intrastat</w:t>
      </w:r>
      <w:r>
        <w:rPr>
          <w:noProof/>
        </w:rPr>
        <w:t xml:space="preserve"> modernizāciju, būtu jāpārvērš juridiski saistošos noteikumus.</w:t>
      </w:r>
    </w:p>
    <w:p w:rsidR="00132BAA" w:rsidRDefault="00B31A4A">
      <w:pPr>
        <w:pStyle w:val="ManualConsidrant"/>
        <w:rPr>
          <w:noProof/>
        </w:rPr>
      </w:pPr>
      <w:r>
        <w:t>(8)</w:t>
      </w:r>
      <w:r>
        <w:tab/>
      </w:r>
      <w:r>
        <w:rPr>
          <w:noProof/>
        </w:rPr>
        <w:t>Eiropas uzņēmējd</w:t>
      </w:r>
      <w:r>
        <w:rPr>
          <w:noProof/>
        </w:rPr>
        <w:t>arbības statistikas satvaram ir vajadzīga elastīgāka pieeja nolūkā veikt pielāgojumus metodoloģiskiem jauninājumiem un savlaicīgi reaģēt uz jaunām un pienācīgi pamatotām lietotāju vajadzībām, kas izriet no ekonomikas vides izmaiņām un pieaugošās globalizāc</w:t>
      </w:r>
      <w:r>
        <w:rPr>
          <w:noProof/>
        </w:rPr>
        <w:t>ijas un uzņēmējdarbības sarežģītības. Šādiem nākotnes pielāgojumiem vajadzētu būt pamatotiem ar atbilstīgu izmaksu un ieguvumu analīzi un attiecīgajām datu prasībām nebūtu jārada dalībvalstīm vai respondentiem būtisku papildu slogu vai izmaksas.</w:t>
      </w:r>
    </w:p>
    <w:p w:rsidR="00132BAA" w:rsidRDefault="00B31A4A">
      <w:pPr>
        <w:pStyle w:val="ManualConsidrant"/>
        <w:rPr>
          <w:noProof/>
        </w:rPr>
      </w:pPr>
      <w:r>
        <w:t>(9)</w:t>
      </w:r>
      <w:r>
        <w:tab/>
      </w:r>
      <w:r>
        <w:rPr>
          <w:noProof/>
        </w:rPr>
        <w:t>Valstu</w:t>
      </w:r>
      <w:r>
        <w:rPr>
          <w:noProof/>
        </w:rPr>
        <w:t xml:space="preserve"> statistisko uzņēmumu reģistru un </w:t>
      </w:r>
      <w:r>
        <w:rPr>
          <w:i/>
          <w:noProof/>
        </w:rPr>
        <w:t>EuroGroups</w:t>
      </w:r>
      <w:r>
        <w:rPr>
          <w:noProof/>
        </w:rPr>
        <w:t xml:space="preserve"> reģistra nozīme būtu jāstiprina kā pamata infrastruktūra Eiropas uzņēmējdarbības statistikas vākšanai un apkopošanai. Valstu statistiskie uzņēmumu reģistri būtu jāizmanto statistikas vajadzībām kā informācijas a</w:t>
      </w:r>
      <w:r>
        <w:rPr>
          <w:noProof/>
        </w:rPr>
        <w:t xml:space="preserve">vots statistikas analīzei par uzņēmumu populāciju un to demogrāfiju, apsekojuma populācijas noteikšanai un saiknes izveidei ar administratīviem datu avotiem. </w:t>
      </w:r>
    </w:p>
    <w:p w:rsidR="00132BAA" w:rsidRDefault="00B31A4A">
      <w:pPr>
        <w:pStyle w:val="ManualConsidrant"/>
        <w:rPr>
          <w:noProof/>
        </w:rPr>
      </w:pPr>
      <w:r>
        <w:t>(10)</w:t>
      </w:r>
      <w:r>
        <w:tab/>
      </w:r>
      <w:r>
        <w:rPr>
          <w:noProof/>
        </w:rPr>
        <w:t xml:space="preserve">Lai nodrošinātu valstu statistisko uzņēmumu reģistru un </w:t>
      </w:r>
      <w:r>
        <w:rPr>
          <w:i/>
          <w:noProof/>
        </w:rPr>
        <w:t>EuroGroups</w:t>
      </w:r>
      <w:r>
        <w:rPr>
          <w:noProof/>
        </w:rPr>
        <w:t xml:space="preserve"> reģistra lomu, attiecībā </w:t>
      </w:r>
      <w:r>
        <w:rPr>
          <w:noProof/>
        </w:rPr>
        <w:t xml:space="preserve">uz visām attiecīgajām vienībām būtu jānosaka un jāievieš vienots identifikators. </w:t>
      </w:r>
    </w:p>
    <w:p w:rsidR="00132BAA" w:rsidRDefault="00B31A4A">
      <w:pPr>
        <w:pStyle w:val="ManualConsidrant"/>
        <w:rPr>
          <w:noProof/>
        </w:rPr>
      </w:pPr>
      <w:r>
        <w:lastRenderedPageBreak/>
        <w:t>(11)</w:t>
      </w:r>
      <w:r>
        <w:tab/>
      </w:r>
      <w:r>
        <w:rPr>
          <w:i/>
          <w:noProof/>
        </w:rPr>
        <w:t>EuroGroups</w:t>
      </w:r>
      <w:r>
        <w:rPr>
          <w:noProof/>
        </w:rPr>
        <w:t xml:space="preserve"> reģistrā, izmantojot saskaņotus kritērijus un regulāri atjauninātu informāciju par kontroles saitēm starp uzņēmumu grupas juridiskajām vienībām, būtu jānodroš</w:t>
      </w:r>
      <w:r>
        <w:rPr>
          <w:noProof/>
        </w:rPr>
        <w:t>ina kārtīgs uzņēmumu grupu iedalījums ar savlaicīgiem un ticamiem datiem.</w:t>
      </w:r>
    </w:p>
    <w:p w:rsidR="00132BAA" w:rsidRDefault="00B31A4A">
      <w:pPr>
        <w:pStyle w:val="ManualConsidrant"/>
        <w:rPr>
          <w:noProof/>
        </w:rPr>
      </w:pPr>
      <w:r>
        <w:t>(12)</w:t>
      </w:r>
      <w:r>
        <w:tab/>
      </w:r>
      <w:r>
        <w:rPr>
          <w:noProof/>
        </w:rPr>
        <w:t>Lai uzlabotu ESS statistikas sagatavošanas procesu efektivitāti un lai samazinātu statistikas slogu respondentiem, valstu statistikas iestādēm vajadzētu būt tiesībām nekavējotie</w:t>
      </w:r>
      <w:r>
        <w:rPr>
          <w:noProof/>
        </w:rPr>
        <w:t>s un bez maksas piekļūt visiem administratīvajiem ierakstiem, izmantot tos un integrēt statistikā, ciktāl tas nepieciešams, lai izstrādātu, sagatavotu un izplatītu Eiropas uzņēmējdarbības statistiku saskaņā ar noteikumiem, kas izklāstīti Eiropas Parlamenta</w:t>
      </w:r>
      <w:r>
        <w:rPr>
          <w:noProof/>
        </w:rPr>
        <w:t xml:space="preserve"> un Padomes Regulas (EK) Nr. 223/2009 17.a pantā</w:t>
      </w:r>
      <w:r>
        <w:rPr>
          <w:rStyle w:val="FootnoteReference"/>
          <w:noProof/>
        </w:rPr>
        <w:footnoteReference w:id="8"/>
      </w:r>
      <w:r>
        <w:rPr>
          <w:noProof/>
        </w:rPr>
        <w:t>.</w:t>
      </w:r>
    </w:p>
    <w:p w:rsidR="00132BAA" w:rsidRDefault="00B31A4A">
      <w:pPr>
        <w:pStyle w:val="ManualConsidrant"/>
        <w:rPr>
          <w:noProof/>
        </w:rPr>
      </w:pPr>
      <w:r>
        <w:t>(13)</w:t>
      </w:r>
      <w:r>
        <w:tab/>
      </w:r>
      <w:r>
        <w:rPr>
          <w:noProof/>
        </w:rPr>
        <w:t>Regula (EK) Nr. 223/2009 nodrošina Eiropas statistikas atsauces sistēmu. Jo īpaši tajā prasīta atbilstība profesionālās neatkarības, taisnīguma, objektivitātes, ticamības, statistikas konfidencialitāt</w:t>
      </w:r>
      <w:r>
        <w:rPr>
          <w:noProof/>
        </w:rPr>
        <w:t>es un izmaksu lietderības principiem.</w:t>
      </w:r>
    </w:p>
    <w:p w:rsidR="00132BAA" w:rsidRDefault="00B31A4A">
      <w:pPr>
        <w:pStyle w:val="ManualConsidrant"/>
        <w:rPr>
          <w:noProof/>
        </w:rPr>
      </w:pPr>
      <w:r>
        <w:t>(14)</w:t>
      </w:r>
      <w:r>
        <w:tab/>
      </w:r>
      <w:r>
        <w:rPr>
          <w:noProof/>
        </w:rPr>
        <w:t>Valstu statistikas iestādēm, kuras izstrādā uzņēmējdarbības statistiku un uztur Eiropas statistisko uzņēmumu reģistru tīklu, būtu jāsniedz iespēja piekļūt mikrodatiem un apmainīties ar tiem, lai izstrādātu, sagata</w:t>
      </w:r>
      <w:r>
        <w:rPr>
          <w:noProof/>
        </w:rPr>
        <w:t xml:space="preserve">votu un izplatītu valstu vai Eiropas uzņēmējdarbības statistiku vai uzlabotu tās kvalitāti. Mikrodatu apmaiņa tādējādi būtu jāierobežo tikai uz pienācīgi pamatotiem gadījumiem. </w:t>
      </w:r>
    </w:p>
    <w:p w:rsidR="00132BAA" w:rsidRDefault="00B31A4A">
      <w:pPr>
        <w:pStyle w:val="ManualConsidrant"/>
        <w:rPr>
          <w:noProof/>
        </w:rPr>
      </w:pPr>
      <w:r>
        <w:t>(15)</w:t>
      </w:r>
      <w:r>
        <w:tab/>
      </w:r>
      <w:r>
        <w:rPr>
          <w:noProof/>
        </w:rPr>
        <w:t>Papildu datu avota izveide, balstoties uz mikrodatu par preču eksportu Sa</w:t>
      </w:r>
      <w:r>
        <w:rPr>
          <w:noProof/>
        </w:rPr>
        <w:t>vienības iekšienē apmaiņu, papildus iespējai izmantot inovatīvas metodes, palielina dalībvalstu elastīgumu attiecībā uz Savienības iekšējās preču tirdzniecības statistikas apkopošanu, tādējādi dodot dalībvalstīm iespēju samazināt uzņēmumu informācijas snie</w:t>
      </w:r>
      <w:r>
        <w:rPr>
          <w:noProof/>
        </w:rPr>
        <w:t>gšanas slogu. Apmaiņas mērķim vajadzētu būt Eiropas statistikas par starptautisko preču tirdzniecību efektīva izstrāde, sagatavošana un izplatīšana vai tās kvalitātes uzlabošana.</w:t>
      </w:r>
    </w:p>
    <w:p w:rsidR="00132BAA" w:rsidRDefault="00B31A4A">
      <w:pPr>
        <w:pStyle w:val="ManualConsidrant"/>
        <w:rPr>
          <w:noProof/>
        </w:rPr>
      </w:pPr>
      <w:r>
        <w:t>(16)</w:t>
      </w:r>
      <w:r>
        <w:tab/>
      </w:r>
      <w:r>
        <w:rPr>
          <w:noProof/>
        </w:rPr>
        <w:t>Sarunas par tirdzniecības un ieguldījumu nolīgumiem starp Savienību un trešām valstīm vai daudzpusējiem nolīgumiem, to īstenošana un pārskatīšana paredz, ka Komisijai būtu jādara pieejama nepieciešamā statistikas informācija par dalībvalstu tirdzniecības p</w:t>
      </w:r>
      <w:r>
        <w:rPr>
          <w:noProof/>
        </w:rPr>
        <w:t xml:space="preserve">lūsmām ar valstīm, kas nav dalībvalstis. </w:t>
      </w:r>
    </w:p>
    <w:p w:rsidR="00132BAA" w:rsidRDefault="00B31A4A">
      <w:pPr>
        <w:pStyle w:val="ManualConsidrant"/>
        <w:rPr>
          <w:noProof/>
        </w:rPr>
      </w:pPr>
      <w:r>
        <w:t>(17)</w:t>
      </w:r>
      <w:r>
        <w:tab/>
      </w:r>
      <w:r>
        <w:rPr>
          <w:noProof/>
        </w:rPr>
        <w:t>Jāsaglabā cieša saikne starp statistikas informācijas vākšanas sistēmu un ar pievienotās vērtības nodokli saistītām fiskālajām formalitātēm, kas pastāv dalībvalstu savstarpējās preču tirdzniecības jomā. Šī sai</w:t>
      </w:r>
      <w:r>
        <w:rPr>
          <w:noProof/>
        </w:rPr>
        <w:t>kne, jo īpaši Savienības iekšējās preču tirdzniecības statistikas nolūkiem, ļauj noteikt eksportētājus un importētājus un pārbaudīt savāktās informācijas kvalitāti.</w:t>
      </w:r>
    </w:p>
    <w:p w:rsidR="00132BAA" w:rsidRDefault="00B31A4A">
      <w:pPr>
        <w:pStyle w:val="ManualConsidrant"/>
        <w:rPr>
          <w:noProof/>
        </w:rPr>
      </w:pPr>
      <w:r>
        <w:t>(18)</w:t>
      </w:r>
      <w:r>
        <w:tab/>
      </w:r>
      <w:r>
        <w:rPr>
          <w:noProof/>
        </w:rPr>
        <w:t>Preču pārrobežu kustība, jo īpaši uz trešām valstīm vai no tām, ir pakļauta muitas uzr</w:t>
      </w:r>
      <w:r>
        <w:rPr>
          <w:noProof/>
        </w:rPr>
        <w:t>audzībai, kā paredzēts Eiropas Parlamenta un Padomes Regulā (ES) Nr. 952/2013</w:t>
      </w:r>
      <w:r>
        <w:rPr>
          <w:rStyle w:val="FootnoteReference"/>
          <w:noProof/>
        </w:rPr>
        <w:footnoteReference w:id="9"/>
      </w:r>
      <w:r>
        <w:rPr>
          <w:noProof/>
        </w:rPr>
        <w:t>. Muitas dienesti patur tiesības piekļūt informācijai vai ierakstiem, kas attiecas uz šādu kustību. Ar muitas deklarācijām saistīta vai uz tām balstīta informācija vai ieraksti b</w:t>
      </w:r>
      <w:r>
        <w:rPr>
          <w:noProof/>
        </w:rPr>
        <w:t>ūtu jāizmanto statistikas sagatavošanā par preču tirdzniecību Savienībā.</w:t>
      </w:r>
    </w:p>
    <w:p w:rsidR="00132BAA" w:rsidRDefault="00B31A4A">
      <w:pPr>
        <w:pStyle w:val="ManualConsidrant"/>
        <w:rPr>
          <w:noProof/>
        </w:rPr>
      </w:pPr>
      <w:r>
        <w:lastRenderedPageBreak/>
        <w:t>(19)</w:t>
      </w:r>
      <w:r>
        <w:tab/>
      </w:r>
      <w:r>
        <w:rPr>
          <w:noProof/>
        </w:rPr>
        <w:t>Lai sagatavotu statistiku par starptautisko preču tirdzniecību un uzlabotu šādas statistikas kvalitāti, dalībvalstu statistikas iestādēm vajadzētu būt iespējai apmainīties ar dat</w:t>
      </w:r>
      <w:r>
        <w:rPr>
          <w:noProof/>
        </w:rPr>
        <w:t>iem par preču importu un eksportu, kurā iesaistīti vairāku dalībvalstu muitas dienesti.</w:t>
      </w:r>
    </w:p>
    <w:p w:rsidR="00132BAA" w:rsidRDefault="00B31A4A">
      <w:pPr>
        <w:pStyle w:val="ManualConsidrant"/>
        <w:rPr>
          <w:noProof/>
        </w:rPr>
      </w:pPr>
      <w:r>
        <w:t>(20)</w:t>
      </w:r>
      <w:r>
        <w:tab/>
      </w:r>
      <w:r>
        <w:rPr>
          <w:noProof/>
        </w:rPr>
        <w:t>Lai Komisija varētu veikt savus uzdevumus, kas izriet no Līgumiem, jo īpaši tos, kas saistīti ar iekšējā tirgus darbību, tai vajadzētu būt pieejai pilnīgai, jaunāk</w:t>
      </w:r>
      <w:r>
        <w:rPr>
          <w:noProof/>
        </w:rPr>
        <w:t xml:space="preserve">ajai un ticamai informācijai par preču ražošanu un pakalpojumiem Savienībā un par starptautiskās tirdzniecības plūsmām. Šāda informācija ir vajadzīga arī uzņēmumiem, lai uzraudzītu to tirgus un starptautisko dimensiju. </w:t>
      </w:r>
    </w:p>
    <w:p w:rsidR="00132BAA" w:rsidRDefault="00B31A4A">
      <w:pPr>
        <w:pStyle w:val="ManualConsidrant"/>
        <w:rPr>
          <w:noProof/>
        </w:rPr>
      </w:pPr>
      <w:r>
        <w:t>(21)</w:t>
      </w:r>
      <w:r>
        <w:tab/>
      </w:r>
      <w:r>
        <w:rPr>
          <w:noProof/>
        </w:rPr>
        <w:t xml:space="preserve">Lai novērtētu uzņēmumu </w:t>
      </w:r>
      <w:r>
        <w:rPr>
          <w:noProof/>
        </w:rPr>
        <w:t>ražīgumu, ir nepieciešams nodrošināt pa darbības nozarēm strukturētu uzņēmējdarbības statistiku. Jo īpaši – arvien vairāk pieaug pieprasījums pēc statistikas par pakalpojumu nozari, kas ir dinamiskākā nozare mūsdienu ekonomikās, it īpaši attiecībā uz nozar</w:t>
      </w:r>
      <w:r>
        <w:rPr>
          <w:noProof/>
        </w:rPr>
        <w:t>es izaugsmes un darbvietu veidošanas potenciālu un ņemot vērā tās attiecības ar ražošanas nozari. Pakalpojumu tirdzniecības statistikai ir būtiska loma pakalpojumu iekšējā tirgus darbības uzraudzībā un tirdzniecības šķēršļu ietekmes uz pakalpojumiem novērt</w:t>
      </w:r>
      <w:r>
        <w:rPr>
          <w:noProof/>
        </w:rPr>
        <w:t>ēšanā.</w:t>
      </w:r>
    </w:p>
    <w:p w:rsidR="00132BAA" w:rsidRDefault="00B31A4A">
      <w:pPr>
        <w:pStyle w:val="ManualConsidrant"/>
        <w:rPr>
          <w:noProof/>
        </w:rPr>
      </w:pPr>
      <w:r>
        <w:t>(22)</w:t>
      </w:r>
      <w:r>
        <w:tab/>
      </w:r>
      <w:r>
        <w:rPr>
          <w:noProof/>
        </w:rPr>
        <w:t>Lai novērtētu virzību uz stratēģijā “Eiropa 2020” izvirzītajiem mērķiem gan dalībvalstu, gan Savienības līmenī, ir vajadzīga saskaņota statistika par Savienības ekonomiku attiecībā uz pētniecību un izstrādi, inovāciju, informācijas sabiedrību g</w:t>
      </w:r>
      <w:r>
        <w:rPr>
          <w:noProof/>
        </w:rPr>
        <w:t>an tirgus, gan ārpustirgus griezumā un uzņēmējdarbības vidi kopumā, jo īpaši attiecībā uz uzņēmējdarbības demogrāfiju un ar tirgus darbībām saistīto nodarbinātību. Šāda informācija ļauj lēmumu pieņēmējiem pieņemt kompetentus politikas lēmumus nolūkā attīst</w:t>
      </w:r>
      <w:r>
        <w:rPr>
          <w:noProof/>
        </w:rPr>
        <w:t xml:space="preserve">īt ekonomiku, kuras pamatā ir zināšanas un inovācija, uzlabot mazo un vidējo uzņēmumu piekļuvi vienotajam tirgum, attīstīt uzņēmējdarbības garu un uzlabot konkurētspēju. </w:t>
      </w:r>
    </w:p>
    <w:p w:rsidR="00132BAA" w:rsidRDefault="00B31A4A">
      <w:pPr>
        <w:pStyle w:val="ManualConsidrant"/>
        <w:rPr>
          <w:noProof/>
        </w:rPr>
      </w:pPr>
      <w:r>
        <w:t>(23)</w:t>
      </w:r>
      <w:r>
        <w:tab/>
      </w:r>
      <w:r>
        <w:rPr>
          <w:noProof/>
        </w:rPr>
        <w:t>Lai koordinētu ekonomikas politiku Savienībā un eurozonā un nodrošinātu informāc</w:t>
      </w:r>
      <w:r>
        <w:rPr>
          <w:noProof/>
        </w:rPr>
        <w:t>iju ekonomikas dalībniekiem vienotajā tirgū, ir vajadzīgi salīdzināmi dati par darba tirgus tendencēm, tostarp statistiku par darbaspēka izmaksām, izpeļņu un aizņemto un brīvo darbvietu skaitu. Turklāt ļoti svarīgs prasmīga, labi apmācīta un pielāgota darb</w:t>
      </w:r>
      <w:r>
        <w:rPr>
          <w:noProof/>
        </w:rPr>
        <w:t>aspēka attīstības elements ir mūžizglītība, un īpaša uzmanība būtu jāpievērš profesionālajai apmācībai uzņēmumos kā būtiskam ieguldījumam mūžizglītībā. Šādi dati tiek galvenokārt ievākti no uzņēmumiem, un turpmāk šo jomu būtu jāregulē un labāk jāintegrē ci</w:t>
      </w:r>
      <w:r>
        <w:rPr>
          <w:noProof/>
        </w:rPr>
        <w:t>tās uzņēmējdarbības statistikas jomās. Lai izvērtētu Savienības ekonomiku vidēja termiņa tendencēm, ir nepieciešami dati par darbaspēka izmaksu līmeni un sastāvu un par izpeļņas struktūru un sadalījumu. Dati par darbaspēka izmaksu tendencēm un brīvajām dar</w:t>
      </w:r>
      <w:r>
        <w:rPr>
          <w:noProof/>
        </w:rPr>
        <w:t xml:space="preserve">bvietām ir nepieciešami Savienības ekonomiku īstermiņa uzraudzībai, tostarp monetārās politikas vajadzībām. Lai pārraudzītu to, kā tiek īstenota Savienības stratēģija ciešākai sadarbībai profesionālās izglītības un apmācības jomā, ir nepieciešami dati par </w:t>
      </w:r>
      <w:r>
        <w:rPr>
          <w:noProof/>
        </w:rPr>
        <w:t>uzņēmumu ieguldījumiem profesionālajā tālākizglītībā, minētās apmācības raksturlielumi un apjoms, kā arī informācija par uzņēmumu stratēģiju profesionālās tālākizglītības jomā.</w:t>
      </w:r>
    </w:p>
    <w:p w:rsidR="00132BAA" w:rsidRDefault="00B31A4A">
      <w:pPr>
        <w:pStyle w:val="ManualConsidrant"/>
        <w:rPr>
          <w:noProof/>
        </w:rPr>
      </w:pPr>
      <w:r>
        <w:t>(24)</w:t>
      </w:r>
      <w:r>
        <w:tab/>
      </w:r>
      <w:r>
        <w:rPr>
          <w:noProof/>
        </w:rPr>
        <w:t>Statistika par inovācijas, pētniecības un izstrādes darbībām ir nepiecieša</w:t>
      </w:r>
      <w:r>
        <w:rPr>
          <w:noProof/>
        </w:rPr>
        <w:t>ma tādas politikas izstrādei un uzraudzībai, kuras mērķis ir uzlabot dalībvalstu konkurētspēju un vairot to vidējā termiņa un ilgtermiņa gudras izaugsmes un nodarbinātības potenciālu. Digitālās ekonomikas paplašināšanās un informācijas un komunikāciju tehn</w:t>
      </w:r>
      <w:r>
        <w:rPr>
          <w:noProof/>
        </w:rPr>
        <w:t>oloģiju izmantojuma pieaugums ir starp tiem faktoriem, kas veicina konkurētspēju un izaugsmi Savienībā, un attiecīgo stratēģiju un politikas atbalstam ir nepieciešami statistikas dati.</w:t>
      </w:r>
    </w:p>
    <w:p w:rsidR="00132BAA" w:rsidRDefault="00B31A4A">
      <w:pPr>
        <w:pStyle w:val="ManualConsidrant"/>
        <w:rPr>
          <w:noProof/>
        </w:rPr>
      </w:pPr>
      <w:r>
        <w:lastRenderedPageBreak/>
        <w:t>(25)</w:t>
      </w:r>
      <w:r>
        <w:tab/>
      </w:r>
      <w:r>
        <w:rPr>
          <w:noProof/>
        </w:rPr>
        <w:t>Saskaņā ar Eiropas Parlamenta un Padomes Regulu (ES) Nr. 549/2013</w:t>
      </w:r>
      <w:r>
        <w:rPr>
          <w:rStyle w:val="FootnoteReference"/>
          <w:noProof/>
        </w:rPr>
        <w:footnoteReference w:id="10"/>
      </w:r>
      <w:r>
        <w:rPr>
          <w:noProof/>
        </w:rPr>
        <w:t xml:space="preserve"> uzņēmējdarbības statistika ir nepieciešama arī nacionālo un reģionālo kontu apkopošanai. </w:t>
      </w:r>
    </w:p>
    <w:p w:rsidR="00132BAA" w:rsidRDefault="00B31A4A">
      <w:pPr>
        <w:pStyle w:val="ManualConsidrant"/>
        <w:rPr>
          <w:noProof/>
        </w:rPr>
      </w:pPr>
      <w:r>
        <w:t>(26)</w:t>
      </w:r>
      <w:r>
        <w:tab/>
      </w:r>
      <w:r>
        <w:rPr>
          <w:noProof/>
        </w:rPr>
        <w:t>Komisija (</w:t>
      </w:r>
      <w:r>
        <w:rPr>
          <w:i/>
          <w:noProof/>
        </w:rPr>
        <w:t>Eurostat</w:t>
      </w:r>
      <w:r>
        <w:rPr>
          <w:noProof/>
        </w:rPr>
        <w:t>) ciešā sadarbībā ar Eiropas Centrālo banku nosaka starptautiskās pakalpojumu tirdzniecības statistiku, kas nepieciešama Savienības un eurozon</w:t>
      </w:r>
      <w:r>
        <w:rPr>
          <w:noProof/>
        </w:rPr>
        <w:t xml:space="preserve">as maksājumu bilances apkopošanai. </w:t>
      </w:r>
    </w:p>
    <w:p w:rsidR="00132BAA" w:rsidRDefault="00B31A4A">
      <w:pPr>
        <w:pStyle w:val="ManualConsidrant"/>
        <w:rPr>
          <w:noProof/>
        </w:rPr>
      </w:pPr>
      <w:r>
        <w:t>(27)</w:t>
      </w:r>
      <w:r>
        <w:tab/>
      </w:r>
      <w:r>
        <w:rPr>
          <w:noProof/>
        </w:rPr>
        <w:t>Lai ziņotu par ekonomikas attīstību katrā dalībvalstī saskaņā ar Savienības ekonomikas politiku, ir nepieciešama ticama un ātra statistika. Lai izvērtētu ekonomikas attīstību dalībvalstīs saistībā ar vienotu monetār</w:t>
      </w:r>
      <w:r>
        <w:rPr>
          <w:noProof/>
        </w:rPr>
        <w:t>o politiku, Eiropas Centrālajai bankai nepieciešama ātra īstermiņa statistika.</w:t>
      </w:r>
    </w:p>
    <w:p w:rsidR="00132BAA" w:rsidRDefault="00B31A4A">
      <w:pPr>
        <w:pStyle w:val="ManualConsidrant"/>
        <w:rPr>
          <w:noProof/>
        </w:rPr>
      </w:pPr>
      <w:r>
        <w:t>(28)</w:t>
      </w:r>
      <w:r>
        <w:tab/>
      </w:r>
      <w:r>
        <w:rPr>
          <w:noProof/>
        </w:rPr>
        <w:t>Pieturoties pie principa par uzņēmējdarbības statistikas nodrošināšanu par visu ekonomiku, saskaņā ar proporcionalitātes principu datu prasībās ciktāl iespējams būtu jāietv</w:t>
      </w:r>
      <w:r>
        <w:rPr>
          <w:noProof/>
        </w:rPr>
        <w:t xml:space="preserve">er vienkāršošanas pasākumi nolūkā mazināt slogu uz uzņēmējdarbības ekonomikām salīdzinoši mazās dalībvalstīs. </w:t>
      </w:r>
    </w:p>
    <w:p w:rsidR="00132BAA" w:rsidRDefault="00B31A4A">
      <w:pPr>
        <w:pStyle w:val="ManualConsidrant"/>
        <w:rPr>
          <w:noProof/>
        </w:rPr>
      </w:pPr>
      <w:r>
        <w:t>(29)</w:t>
      </w:r>
      <w:r>
        <w:tab/>
      </w:r>
      <w:r>
        <w:rPr>
          <w:noProof/>
        </w:rPr>
        <w:t>Starptautiskie standarti, piemēram, Statistikas datu un metadatu apmaiņas (</w:t>
      </w:r>
      <w:r>
        <w:rPr>
          <w:i/>
          <w:noProof/>
        </w:rPr>
        <w:t>SDMX</w:t>
      </w:r>
      <w:r>
        <w:rPr>
          <w:noProof/>
        </w:rPr>
        <w:t>) iniciatīva un statistikas vai tehniskie standarti, kas izst</w:t>
      </w:r>
      <w:r>
        <w:rPr>
          <w:noProof/>
        </w:rPr>
        <w:t>rādāti ESS, piemēram, metadatu un validācijas standarti, būtu jāizmanto, ciktāl tie attiecas arī uz Eiropas uzņēmējdarbības statistiku. Eiropas Statistikas sistēmas komiteja (ESSK) ir apstiprinājusi ESS standartu kvalitātes ziņojumu atbilstīgi Regulas (EK)</w:t>
      </w:r>
      <w:r>
        <w:rPr>
          <w:noProof/>
        </w:rPr>
        <w:t xml:space="preserve"> Nr. 223/2009 12. pantam. Šiem standartiem būtu jāpalīdz saskaņot kvalitātes nodrošināšanu un ziņošanu par kvalitāti šīs regulas ietvaros.</w:t>
      </w:r>
    </w:p>
    <w:p w:rsidR="00132BAA" w:rsidRDefault="00B31A4A">
      <w:pPr>
        <w:pStyle w:val="ManualConsidrant"/>
        <w:rPr>
          <w:noProof/>
        </w:rPr>
      </w:pPr>
      <w:r>
        <w:t>(30)</w:t>
      </w:r>
      <w:r>
        <w:tab/>
      </w:r>
      <w:r>
        <w:rPr>
          <w:noProof/>
        </w:rPr>
        <w:t>Lai ņemtu vērā ekonomiskās un tehniskās tendences, Komisijai vajadzētu būt pilnvarotai saskaņā ar Līguma 290. pa</w:t>
      </w:r>
      <w:r>
        <w:rPr>
          <w:noProof/>
        </w:rPr>
        <w:t>ntu pieņemt tiesību aktus attiecībā uz I un II pielikumā sīki izstrādātajiem tematiem, kā arī Savienības iekšējā preču eksporta tvēruma rādītājiem. Komisijai vajadzētu arī būt pilnvarotai papildināt sīki izstrādātos tematus ar dinamiskās uzņēmējdarbības st</w:t>
      </w:r>
      <w:r>
        <w:rPr>
          <w:noProof/>
        </w:rPr>
        <w:t xml:space="preserve">atistikas priekšmetiem un raksturlielumiem attiecībā uz IKT, inovāciju un globālajām vērtību ķēdēm un precīzu informāciju, kas iesniedzama nodokļu iestādēm un muitas iestādēm. Ir īpaši būtiski, lai Komisija, veicot sagatavošanas darbus, rīkotu atbilstīgas </w:t>
      </w:r>
      <w:r>
        <w:rPr>
          <w:noProof/>
        </w:rPr>
        <w:t>apspriešanās, tostarp ekspertu līmenī, un lai minētās apspriešanās tiktu rīkotas saskaņā ar principiem, kas noteikti 2016. gada 13. aprīļa Iestāžu nolīgumā par labāku likumdošanas procesu</w:t>
      </w:r>
      <w:r>
        <w:rPr>
          <w:rStyle w:val="FootnoteReference"/>
          <w:noProof/>
        </w:rPr>
        <w:footnoteReference w:id="11"/>
      </w:r>
      <w:r>
        <w:rPr>
          <w:noProof/>
        </w:rPr>
        <w:t>. Jo īpaši, lai deleģēto aktu sagatavošanā nodrošinātu vienādu dalīb</w:t>
      </w:r>
      <w:r>
        <w:rPr>
          <w:noProof/>
        </w:rPr>
        <w:t xml:space="preserve">u, Eiropas Parlaments un Padome visus dokumentus saņem vienlaicīgi ar dalībvalstu ekspertiem, un minēto iestāžu ekspertiem ir sistemātiska piekļuve Komisijas ekspertu grupu sanāksmēm, kurās notiek deleģēto aktu sagatavošana. </w:t>
      </w:r>
    </w:p>
    <w:p w:rsidR="00132BAA" w:rsidRDefault="00B31A4A">
      <w:pPr>
        <w:pStyle w:val="ManualConsidrant"/>
        <w:rPr>
          <w:noProof/>
        </w:rPr>
      </w:pPr>
      <w:r>
        <w:t>(31)</w:t>
      </w:r>
      <w:r>
        <w:tab/>
      </w:r>
      <w:r>
        <w:rPr>
          <w:noProof/>
        </w:rPr>
        <w:t xml:space="preserve">Komisijai būtu jāpiešķir </w:t>
      </w:r>
      <w:r>
        <w:rPr>
          <w:noProof/>
        </w:rPr>
        <w:t>īstenošanas pilnvaras, lai nodrošinātu vienotus nosacījumus tehniskajai īstenošanai attiecībā uz prasību atsevišķiem elementiem, tostarp par uzņēmumu reģistriem, formātu, drošības un konfidencialitātes pasākumiem un procedūru konfidenciālu datu apmaiņai Ei</w:t>
      </w:r>
      <w:r>
        <w:rPr>
          <w:noProof/>
        </w:rPr>
        <w:t>ropas statistisko uzņēmumu reģistru tīkla nolūkiem, datu un metadatu nosūtīšanu, datu kvalitāti un metadatu ziņojumiem un atkāpēm. Šim pašam nolūkam Komisijai būtu jāpiešķir papildu īstenošanas pilnvaras attiecībā uz kārtību un formātu, drošības un konfide</w:t>
      </w:r>
      <w:r>
        <w:rPr>
          <w:noProof/>
        </w:rPr>
        <w:t xml:space="preserve">ncialitātes pasākumiem un procedūru konfidenciālu datu apmaiņai Savienības iekšējās preču tirdzniecības statistikas nolūkiem, attiecīgo metadatu specifikācijām, grafiku, kārtību, kādā vāc un </w:t>
      </w:r>
      <w:r>
        <w:rPr>
          <w:noProof/>
        </w:rPr>
        <w:lastRenderedPageBreak/>
        <w:t>apkopo Savienības iekšējā preču eksporta statistiku, ko sniedz im</w:t>
      </w:r>
      <w:r>
        <w:rPr>
          <w:noProof/>
        </w:rPr>
        <w:t>porta dalībvalstij, kārtību, kādā piemēro kopējā Savienības iekšējā preču eksporta tvēruma rādītāju, Savienības iekšējās preču tirdzniecības apsekojumos ievākto mikrodatu statistikas datu elementiem, ko sniedz importa dalībvalstij, un saistītajiem vienkārš</w:t>
      </w:r>
      <w:r>
        <w:rPr>
          <w:noProof/>
        </w:rPr>
        <w:t>ojumiem. Minētās pilnvaras būtu jāizmanto saskaņā ar Eiropas Parlamenta un Padomes Regulu (ES) Nr. 182/2011</w:t>
      </w:r>
      <w:r>
        <w:rPr>
          <w:rStyle w:val="FootnoteReference"/>
          <w:noProof/>
        </w:rPr>
        <w:footnoteReference w:id="12"/>
      </w:r>
      <w:r>
        <w:rPr>
          <w:noProof/>
        </w:rPr>
        <w:t xml:space="preserve">. </w:t>
      </w:r>
    </w:p>
    <w:p w:rsidR="00132BAA" w:rsidRDefault="00B31A4A">
      <w:pPr>
        <w:pStyle w:val="ManualConsidrant"/>
        <w:rPr>
          <w:noProof/>
        </w:rPr>
      </w:pPr>
      <w:r>
        <w:t>(32)</w:t>
      </w:r>
      <w:r>
        <w:tab/>
      </w:r>
      <w:r>
        <w:rPr>
          <w:noProof/>
        </w:rPr>
        <w:t>Attiecīgā gadījumā Komisijai būtu jāveic izmaksu un ieguvumu analīze un jānodrošina, ka jebkura tās ierosinātā darbība neuzliek būtisku papi</w:t>
      </w:r>
      <w:r>
        <w:rPr>
          <w:noProof/>
        </w:rPr>
        <w:t>ldu slogu dalībvalstīm vai respondentiem, ņemot vērā paredzamos lietotāju ieguvumus.</w:t>
      </w:r>
    </w:p>
    <w:p w:rsidR="00132BAA" w:rsidRDefault="00B31A4A">
      <w:pPr>
        <w:pStyle w:val="ManualConsidrant"/>
        <w:rPr>
          <w:noProof/>
        </w:rPr>
      </w:pPr>
      <w:r>
        <w:t>(33)</w:t>
      </w:r>
      <w:r>
        <w:tab/>
      </w:r>
      <w:r>
        <w:rPr>
          <w:noProof/>
        </w:rPr>
        <w:t>Komisija var piešķirt atkāpes attiecībā uz šīs regulas vai deleģēto un īstenošanas aktu, kas pieņemti tās kontekstā, piemērošanu, ja šādai piemērošanai ir nepieciešam</w:t>
      </w:r>
      <w:r>
        <w:rPr>
          <w:noProof/>
        </w:rPr>
        <w:t xml:space="preserve">i būtiski dalībvalsts statistikas sistēmas pielāgojumi, kas izpaužas kā papildu apsekojumu organizēšana vai apjomīgu pielāgojumu īstenošana statistikas veidošanas sistēmā, lai paredzētu jaunu datu avotu izmantošanu vai padarītu iespējamu dažādu datu avotu </w:t>
      </w:r>
      <w:r>
        <w:rPr>
          <w:noProof/>
        </w:rPr>
        <w:t>kombinēšanu.</w:t>
      </w:r>
    </w:p>
    <w:p w:rsidR="00132BAA" w:rsidRDefault="00B31A4A">
      <w:pPr>
        <w:pStyle w:val="ManualConsidrant"/>
        <w:rPr>
          <w:noProof/>
        </w:rPr>
      </w:pPr>
      <w:r>
        <w:t>(34)</w:t>
      </w:r>
      <w:r>
        <w:tab/>
      </w:r>
      <w:r>
        <w:rPr>
          <w:noProof/>
        </w:rPr>
        <w:t>Ņemot vērā to, ka šīs regulas mērķi – proti, izstrādāt vienotu satvaru Eiropas uzņēmējdarbības statistikai, – nevar pietiekami labi sasniegt atsevišķās dalībvalstīs, bet saskaņošanas un salīdzināmības dēļ minēto mērķi var labāk sasniegt S</w:t>
      </w:r>
      <w:r>
        <w:rPr>
          <w:noProof/>
        </w:rPr>
        <w:t xml:space="preserve">avienības līmenī, Savienība var pieņemt pasākumus saskaņā ar Līguma par Eiropas Savienību 5. pantā noteikto subsidiaritātes principu. Saskaņā ar minētajā pantā noteikto proporcionalitātes principu šajā regulā paredz vienīgi tos pasākumus, kas ir vajadzīgi </w:t>
      </w:r>
      <w:r>
        <w:rPr>
          <w:noProof/>
        </w:rPr>
        <w:t>minētā mērķa sasniegšanai.</w:t>
      </w:r>
    </w:p>
    <w:p w:rsidR="00132BAA" w:rsidRDefault="00B31A4A">
      <w:pPr>
        <w:pStyle w:val="ManualConsidrant"/>
        <w:rPr>
          <w:noProof/>
        </w:rPr>
      </w:pPr>
      <w:r>
        <w:t>(35)</w:t>
      </w:r>
      <w:r>
        <w:tab/>
      </w:r>
      <w:r>
        <w:rPr>
          <w:noProof/>
        </w:rPr>
        <w:t>Būtu jāgroza Eiropas Parlamenta un Padomes Regulas (EK) Nr. 184/2005</w:t>
      </w:r>
      <w:r>
        <w:rPr>
          <w:rStyle w:val="FootnoteReference"/>
          <w:noProof/>
        </w:rPr>
        <w:footnoteReference w:id="13"/>
      </w:r>
      <w:r>
        <w:rPr>
          <w:noProof/>
        </w:rPr>
        <w:t xml:space="preserve"> pasākumi ar atsauci uz starptautisko pakalpojumu tirdzniecību.</w:t>
      </w:r>
    </w:p>
    <w:p w:rsidR="00132BAA" w:rsidRDefault="00B31A4A">
      <w:pPr>
        <w:pStyle w:val="ManualConsidrant"/>
        <w:rPr>
          <w:noProof/>
        </w:rPr>
      </w:pPr>
      <w:r>
        <w:t>(36)</w:t>
      </w:r>
      <w:r>
        <w:tab/>
      </w:r>
      <w:r>
        <w:rPr>
          <w:noProof/>
        </w:rPr>
        <w:t>Šajā regulā izklāstītajiem pasākumiem būtu jāaizstāj pasākumi, kas paredzēti Padomes R</w:t>
      </w:r>
      <w:r>
        <w:rPr>
          <w:noProof/>
        </w:rPr>
        <w:t>egulā (EEK) Nr. 3924/91</w:t>
      </w:r>
      <w:r>
        <w:rPr>
          <w:rStyle w:val="FootnoteReference"/>
          <w:noProof/>
        </w:rPr>
        <w:footnoteReference w:id="14"/>
      </w:r>
      <w:r>
        <w:rPr>
          <w:noProof/>
        </w:rPr>
        <w:t>, Padomes Regulā (EK) Nr. 1165/98</w:t>
      </w:r>
      <w:r>
        <w:rPr>
          <w:rStyle w:val="FootnoteReference"/>
          <w:noProof/>
        </w:rPr>
        <w:footnoteReference w:id="15"/>
      </w:r>
      <w:r>
        <w:rPr>
          <w:noProof/>
        </w:rPr>
        <w:t>, Eiropas Parlamenta un Padomes Lēmumā (EK) Nr. 1608/2003</w:t>
      </w:r>
      <w:r>
        <w:rPr>
          <w:rStyle w:val="FootnoteReference"/>
          <w:noProof/>
        </w:rPr>
        <w:footnoteReference w:id="16"/>
      </w:r>
      <w:r>
        <w:rPr>
          <w:noProof/>
        </w:rPr>
        <w:t>, Eiropas Parlamenta un Padomes Regulā (EK) Nr. 48/2004</w:t>
      </w:r>
      <w:r>
        <w:rPr>
          <w:rStyle w:val="FootnoteReference"/>
          <w:noProof/>
        </w:rPr>
        <w:footnoteReference w:id="17"/>
      </w:r>
      <w:r>
        <w:rPr>
          <w:noProof/>
        </w:rPr>
        <w:t>, Eiropas Parlamenta un Padomes Regulā (EK) Nr. 638/2004</w:t>
      </w:r>
      <w:r>
        <w:rPr>
          <w:rStyle w:val="FootnoteReference"/>
          <w:noProof/>
        </w:rPr>
        <w:footnoteReference w:id="18"/>
      </w:r>
      <w:r>
        <w:rPr>
          <w:noProof/>
        </w:rPr>
        <w:t>, Eiropas Parlamenta un Pad</w:t>
      </w:r>
      <w:r>
        <w:rPr>
          <w:noProof/>
        </w:rPr>
        <w:t>omes Regulā (EK) Nr. 808/2004</w:t>
      </w:r>
      <w:r>
        <w:rPr>
          <w:rStyle w:val="FootnoteReference"/>
          <w:noProof/>
        </w:rPr>
        <w:footnoteReference w:id="19"/>
      </w:r>
      <w:r>
        <w:rPr>
          <w:noProof/>
        </w:rPr>
        <w:t xml:space="preserve">, Eiropas </w:t>
      </w:r>
      <w:r>
        <w:rPr>
          <w:noProof/>
        </w:rPr>
        <w:lastRenderedPageBreak/>
        <w:t>Parlamenta un Padomes Regulā (EK) Nr. 716/2007</w:t>
      </w:r>
      <w:r>
        <w:rPr>
          <w:rStyle w:val="FootnoteReference"/>
          <w:noProof/>
        </w:rPr>
        <w:footnoteReference w:id="20"/>
      </w:r>
      <w:r>
        <w:rPr>
          <w:noProof/>
        </w:rPr>
        <w:t>, Eiropas Parlamenta un Padomes Regulā (EK) Nr. 177/2008</w:t>
      </w:r>
      <w:r>
        <w:rPr>
          <w:rStyle w:val="FootnoteReference"/>
          <w:noProof/>
        </w:rPr>
        <w:footnoteReference w:id="21"/>
      </w:r>
      <w:r>
        <w:rPr>
          <w:noProof/>
        </w:rPr>
        <w:t>, Eiropas Parlamenta un Padomes Regulā (EK) Nr. 295/2008</w:t>
      </w:r>
      <w:r>
        <w:rPr>
          <w:rStyle w:val="FootnoteReference"/>
          <w:noProof/>
        </w:rPr>
        <w:footnoteReference w:id="22"/>
      </w:r>
      <w:r>
        <w:rPr>
          <w:noProof/>
        </w:rPr>
        <w:t xml:space="preserve"> un Eiropas Parlamenta un Padomes Regulā (EK) Nr. 471/2</w:t>
      </w:r>
      <w:r>
        <w:rPr>
          <w:noProof/>
        </w:rPr>
        <w:t>009</w:t>
      </w:r>
      <w:r>
        <w:rPr>
          <w:rStyle w:val="FootnoteReference"/>
          <w:noProof/>
        </w:rPr>
        <w:footnoteReference w:id="23"/>
      </w:r>
      <w:r>
        <w:rPr>
          <w:noProof/>
        </w:rPr>
        <w:t xml:space="preserve">. Šie tiesību akti tādējādi būtu jāatceļ. </w:t>
      </w:r>
    </w:p>
    <w:p w:rsidR="00132BAA" w:rsidRDefault="00B31A4A">
      <w:pPr>
        <w:pStyle w:val="ManualConsidrant"/>
        <w:rPr>
          <w:noProof/>
        </w:rPr>
      </w:pPr>
      <w:r>
        <w:t>(37)</w:t>
      </w:r>
      <w:r>
        <w:tab/>
      </w:r>
      <w:r>
        <w:rPr>
          <w:noProof/>
        </w:rPr>
        <w:t>Ir notikusi apspriešanās ar Eiropas Datu aizsardzības uzraudzītāju.</w:t>
      </w:r>
    </w:p>
    <w:p w:rsidR="00132BAA" w:rsidRDefault="00B31A4A">
      <w:pPr>
        <w:pStyle w:val="ManualConsidrant"/>
        <w:rPr>
          <w:noProof/>
        </w:rPr>
      </w:pPr>
      <w:r>
        <w:t>(38)</w:t>
      </w:r>
      <w:r>
        <w:tab/>
      </w:r>
      <w:r>
        <w:rPr>
          <w:noProof/>
        </w:rPr>
        <w:t>Ir notikusi apspriešanās ar Eiropas Statistikas sistēmas komiteju,</w:t>
      </w:r>
    </w:p>
    <w:p w:rsidR="00132BAA" w:rsidRDefault="00B31A4A">
      <w:pPr>
        <w:pStyle w:val="Formuledadoption"/>
        <w:rPr>
          <w:noProof/>
        </w:rPr>
      </w:pPr>
      <w:r>
        <w:rPr>
          <w:noProof/>
        </w:rPr>
        <w:t>IR PIEŅĒMUŠI ŠO REGULU.</w:t>
      </w:r>
    </w:p>
    <w:p w:rsidR="00132BAA" w:rsidRDefault="00B31A4A">
      <w:pPr>
        <w:pStyle w:val="ChapterTitle"/>
        <w:rPr>
          <w:noProof/>
        </w:rPr>
      </w:pPr>
      <w:r>
        <w:rPr>
          <w:noProof/>
        </w:rPr>
        <w:t xml:space="preserve">I NODAĻA </w:t>
      </w:r>
    </w:p>
    <w:p w:rsidR="00132BAA" w:rsidRDefault="00B31A4A">
      <w:pPr>
        <w:pStyle w:val="ChapterTitle"/>
        <w:rPr>
          <w:noProof/>
        </w:rPr>
      </w:pPr>
      <w:r>
        <w:rPr>
          <w:noProof/>
        </w:rPr>
        <w:t>VISPĀRĪGI NOTEIKUMI</w:t>
      </w:r>
    </w:p>
    <w:p w:rsidR="00132BAA" w:rsidRDefault="00B31A4A">
      <w:pPr>
        <w:pStyle w:val="Titrearticle"/>
        <w:rPr>
          <w:noProof/>
        </w:rPr>
      </w:pPr>
      <w:r>
        <w:rPr>
          <w:noProof/>
        </w:rPr>
        <w:t>1. pants</w:t>
      </w:r>
    </w:p>
    <w:p w:rsidR="00132BAA" w:rsidRDefault="00B31A4A">
      <w:pPr>
        <w:pStyle w:val="Titrearticle"/>
        <w:rPr>
          <w:noProof/>
        </w:rPr>
      </w:pPr>
      <w:r>
        <w:rPr>
          <w:noProof/>
        </w:rPr>
        <w:t>Priekšmets</w:t>
      </w:r>
    </w:p>
    <w:p w:rsidR="00132BAA" w:rsidRDefault="00B31A4A">
      <w:pPr>
        <w:rPr>
          <w:noProof/>
        </w:rPr>
      </w:pPr>
      <w:r>
        <w:rPr>
          <w:noProof/>
        </w:rPr>
        <w:t xml:space="preserve">Ar šo regulu tiek izveidots vienots tiesiskais regulējums attiecībā uz: </w:t>
      </w:r>
    </w:p>
    <w:p w:rsidR="00132BAA" w:rsidRDefault="00B31A4A">
      <w:pPr>
        <w:pStyle w:val="Point1letter"/>
        <w:numPr>
          <w:ilvl w:val="3"/>
          <w:numId w:val="61"/>
        </w:numPr>
        <w:rPr>
          <w:noProof/>
        </w:rPr>
      </w:pPr>
      <w:r>
        <w:rPr>
          <w:noProof/>
        </w:rPr>
        <w:t xml:space="preserve">Eiropas statistikas, kas saistīta ar uzņēmumu struktūru, saimniecisko darbību un sniegumu, kā arī ar Savienības ekonomikas starptautiskajiem darījumiem un pētniecības un </w:t>
      </w:r>
      <w:r>
        <w:rPr>
          <w:noProof/>
        </w:rPr>
        <w:t>izstrādes pasākumiem (Eiropas uzņēmējdarbības statistika) izstrādi, sagatavošanu un izplatīšanu;</w:t>
      </w:r>
    </w:p>
    <w:p w:rsidR="00132BAA" w:rsidRDefault="00B31A4A">
      <w:pPr>
        <w:pStyle w:val="Point1letter"/>
        <w:rPr>
          <w:noProof/>
        </w:rPr>
      </w:pPr>
      <w:r>
        <w:rPr>
          <w:noProof/>
        </w:rPr>
        <w:t xml:space="preserve">Eiropas statistisko uzņēmumu reģistru tīklu un </w:t>
      </w:r>
      <w:r>
        <w:rPr>
          <w:i/>
          <w:noProof/>
        </w:rPr>
        <w:t>EuroGroups</w:t>
      </w:r>
      <w:r>
        <w:rPr>
          <w:noProof/>
        </w:rPr>
        <w:t xml:space="preserve"> reģistru.</w:t>
      </w:r>
    </w:p>
    <w:p w:rsidR="00132BAA" w:rsidRDefault="00B31A4A">
      <w:pPr>
        <w:pStyle w:val="Titrearticle"/>
        <w:rPr>
          <w:noProof/>
        </w:rPr>
      </w:pPr>
      <w:r>
        <w:rPr>
          <w:noProof/>
        </w:rPr>
        <w:t>2. pants</w:t>
      </w:r>
    </w:p>
    <w:p w:rsidR="00132BAA" w:rsidRDefault="00B31A4A">
      <w:pPr>
        <w:pStyle w:val="Titrearticle"/>
        <w:rPr>
          <w:noProof/>
        </w:rPr>
      </w:pPr>
      <w:r>
        <w:rPr>
          <w:noProof/>
        </w:rPr>
        <w:t>Definīcijas</w:t>
      </w:r>
    </w:p>
    <w:p w:rsidR="00132BAA" w:rsidRDefault="00B31A4A">
      <w:pPr>
        <w:pStyle w:val="ManualNumPar1"/>
        <w:rPr>
          <w:noProof/>
        </w:rPr>
      </w:pPr>
      <w:r>
        <w:t>1.</w:t>
      </w:r>
      <w:r>
        <w:tab/>
      </w:r>
      <w:r>
        <w:rPr>
          <w:noProof/>
        </w:rPr>
        <w:t>Šajā regulā piemēro šādas definīcijas:</w:t>
      </w:r>
    </w:p>
    <w:p w:rsidR="00132BAA" w:rsidRDefault="00B31A4A">
      <w:pPr>
        <w:pStyle w:val="Point1letter"/>
        <w:numPr>
          <w:ilvl w:val="3"/>
          <w:numId w:val="63"/>
        </w:numPr>
        <w:rPr>
          <w:noProof/>
        </w:rPr>
      </w:pPr>
      <w:r>
        <w:rPr>
          <w:noProof/>
        </w:rPr>
        <w:t>“statistikas vienība” ir sta</w:t>
      </w:r>
      <w:r>
        <w:rPr>
          <w:noProof/>
        </w:rPr>
        <w:t>tistikas vienības, kā definēts Padomes Regulas (EEK) Nr. 696/93</w:t>
      </w:r>
      <w:r>
        <w:rPr>
          <w:rStyle w:val="FootnoteReference"/>
          <w:noProof/>
        </w:rPr>
        <w:footnoteReference w:id="24"/>
      </w:r>
      <w:r>
        <w:rPr>
          <w:noProof/>
        </w:rPr>
        <w:t xml:space="preserve"> pielikumā; </w:t>
      </w:r>
    </w:p>
    <w:p w:rsidR="00132BAA" w:rsidRDefault="00B31A4A">
      <w:pPr>
        <w:pStyle w:val="Point1letter"/>
        <w:rPr>
          <w:noProof/>
        </w:rPr>
      </w:pPr>
      <w:r>
        <w:rPr>
          <w:noProof/>
        </w:rPr>
        <w:t>“ziņošanas vienība” ir vienība, kas sniedz datus;</w:t>
      </w:r>
    </w:p>
    <w:p w:rsidR="00132BAA" w:rsidRDefault="00B31A4A">
      <w:pPr>
        <w:pStyle w:val="Point1letter"/>
        <w:rPr>
          <w:noProof/>
        </w:rPr>
      </w:pPr>
      <w:r>
        <w:rPr>
          <w:noProof/>
        </w:rPr>
        <w:t>“tematiskā joma” ir viena vai vairākas datu kopas, kas sakārtotas tā, lai aptvertu konkrētus tematus;</w:t>
      </w:r>
    </w:p>
    <w:p w:rsidR="00132BAA" w:rsidRDefault="00B31A4A">
      <w:pPr>
        <w:pStyle w:val="Point1letter"/>
        <w:rPr>
          <w:noProof/>
        </w:rPr>
      </w:pPr>
      <w:r>
        <w:rPr>
          <w:noProof/>
        </w:rPr>
        <w:lastRenderedPageBreak/>
        <w:t>“temats” un “sīki izstrādāt</w:t>
      </w:r>
      <w:r>
        <w:rPr>
          <w:noProof/>
        </w:rPr>
        <w:t xml:space="preserve">s temats” ir informācijas saturs, kas apkopojama par statistikas vienībām. Sīki izstrādāti temati ietver sīkāku detalizācijas pakāpi nekā temati. Temats aptver vairākus sīki izstrādātus tematus. </w:t>
      </w:r>
    </w:p>
    <w:p w:rsidR="00132BAA" w:rsidRDefault="00B31A4A">
      <w:pPr>
        <w:pStyle w:val="Point1letter"/>
        <w:rPr>
          <w:noProof/>
        </w:rPr>
      </w:pPr>
      <w:r>
        <w:rPr>
          <w:noProof/>
        </w:rPr>
        <w:t>“mainīgais lielums” ir novērotās vienības raksturlielums, ka</w:t>
      </w:r>
      <w:r>
        <w:rPr>
          <w:noProof/>
        </w:rPr>
        <w:t>s var uzrādīt vairāk nekā vienu vērtību no vērtību kopas;</w:t>
      </w:r>
    </w:p>
    <w:p w:rsidR="00132BAA" w:rsidRDefault="00B31A4A">
      <w:pPr>
        <w:pStyle w:val="Point1letter"/>
        <w:rPr>
          <w:noProof/>
        </w:rPr>
      </w:pPr>
      <w:r>
        <w:rPr>
          <w:noProof/>
        </w:rPr>
        <w:t>“raksturlielums” ir objekta vai objektu kopuma abstrakcija;</w:t>
      </w:r>
    </w:p>
    <w:p w:rsidR="00132BAA" w:rsidRDefault="00B31A4A">
      <w:pPr>
        <w:pStyle w:val="Point1letter"/>
        <w:rPr>
          <w:noProof/>
        </w:rPr>
      </w:pPr>
      <w:r>
        <w:rPr>
          <w:noProof/>
        </w:rPr>
        <w:t>“tirgus darbība” un “ārpustirgus darbība” ir darbības, kā definēts Regulā (ES) Nr. 549/2013;</w:t>
      </w:r>
    </w:p>
    <w:p w:rsidR="00132BAA" w:rsidRDefault="00B31A4A">
      <w:pPr>
        <w:pStyle w:val="Point1letter"/>
        <w:rPr>
          <w:noProof/>
        </w:rPr>
      </w:pPr>
      <w:r>
        <w:rPr>
          <w:noProof/>
        </w:rPr>
        <w:t>“tirgus ražotājs” un “ārpustirgus ražotājs” i</w:t>
      </w:r>
      <w:r>
        <w:rPr>
          <w:noProof/>
        </w:rPr>
        <w:t>r ražotāji, kā definēts Regulā (ES) Nr. 549/2013;</w:t>
      </w:r>
    </w:p>
    <w:p w:rsidR="00132BAA" w:rsidRDefault="00B31A4A">
      <w:pPr>
        <w:pStyle w:val="Point1letter"/>
        <w:rPr>
          <w:noProof/>
        </w:rPr>
      </w:pPr>
      <w:r>
        <w:rPr>
          <w:noProof/>
        </w:rPr>
        <w:t>“valstu statistikas iestādes” ir dalībvalstu nozīmētas valstu statistikas iestādes un citas valstu iestādes, kuras ir atbildīgas par Eiropas statistikas izstrādi, sagatavošanu un izplatīšanu, kā minēts Regu</w:t>
      </w:r>
      <w:r>
        <w:rPr>
          <w:noProof/>
        </w:rPr>
        <w:t xml:space="preserve">las (EK) Nr. 223/2009 5. panta 1. un 2. punktā; </w:t>
      </w:r>
    </w:p>
    <w:p w:rsidR="00132BAA" w:rsidRDefault="00B31A4A">
      <w:pPr>
        <w:pStyle w:val="Point1letter"/>
        <w:rPr>
          <w:noProof/>
        </w:rPr>
      </w:pPr>
      <w:r>
        <w:rPr>
          <w:noProof/>
        </w:rPr>
        <w:t xml:space="preserve">“autoritatīvs avots” ir vienīgais tādu datu ierakstu sniedzējs, kuri satur valsts statistiskā uzņēmumu reģistra un </w:t>
      </w:r>
      <w:r>
        <w:rPr>
          <w:i/>
          <w:noProof/>
        </w:rPr>
        <w:t>EuroGroups</w:t>
      </w:r>
      <w:r>
        <w:rPr>
          <w:noProof/>
        </w:rPr>
        <w:t xml:space="preserve"> reģistra datus saskaņā ar kvalitātes standartiem, kas minēti 16. pantā;</w:t>
      </w:r>
    </w:p>
    <w:p w:rsidR="00132BAA" w:rsidRDefault="00B31A4A">
      <w:pPr>
        <w:pStyle w:val="Point1letter"/>
        <w:rPr>
          <w:noProof/>
        </w:rPr>
      </w:pPr>
      <w:r>
        <w:rPr>
          <w:noProof/>
        </w:rPr>
        <w:t>“mikrodat</w:t>
      </w:r>
      <w:r>
        <w:rPr>
          <w:noProof/>
        </w:rPr>
        <w:t>i” ir identificējamu ziņošanas vienību vai statistikas vienību raksturlielumu individuālie novērojumi vai mērījumi;</w:t>
      </w:r>
    </w:p>
    <w:p w:rsidR="00132BAA" w:rsidRDefault="00B31A4A">
      <w:pPr>
        <w:pStyle w:val="Point1letter"/>
        <w:rPr>
          <w:noProof/>
        </w:rPr>
      </w:pPr>
      <w:r>
        <w:rPr>
          <w:noProof/>
        </w:rPr>
        <w:t>“izmantošana statistiskiem mērķiem” ir datu izmantošana vienīgi statistisku rezultātu un analīžu izstrādei un sagatavošanai, kā definēts Reg</w:t>
      </w:r>
      <w:r>
        <w:rPr>
          <w:noProof/>
        </w:rPr>
        <w:t>ulas (EK) Nr. 223/2009 3. panta 8. punktā;</w:t>
      </w:r>
    </w:p>
    <w:p w:rsidR="00132BAA" w:rsidRDefault="00B31A4A">
      <w:pPr>
        <w:pStyle w:val="Point1letter"/>
        <w:rPr>
          <w:noProof/>
        </w:rPr>
      </w:pPr>
      <w:r>
        <w:rPr>
          <w:noProof/>
        </w:rPr>
        <w:t>“konfidenciāli dati” ir dati, kā definēts Regulas (EK) Nr. 223/2009 3. panta 7. punktā;</w:t>
      </w:r>
    </w:p>
    <w:p w:rsidR="00132BAA" w:rsidRDefault="00B31A4A">
      <w:pPr>
        <w:pStyle w:val="Point1letter"/>
        <w:rPr>
          <w:noProof/>
        </w:rPr>
      </w:pPr>
      <w:r>
        <w:rPr>
          <w:noProof/>
        </w:rPr>
        <w:t>“nodokļu dienests” ir dalībvalsts iestāde, kura atbild par Padomes Direktīvas 2006/112/EK</w:t>
      </w:r>
      <w:r>
        <w:rPr>
          <w:rStyle w:val="FootnoteReference"/>
          <w:noProof/>
        </w:rPr>
        <w:footnoteReference w:id="25"/>
      </w:r>
      <w:r>
        <w:rPr>
          <w:noProof/>
        </w:rPr>
        <w:t xml:space="preserve"> piemērošanu;</w:t>
      </w:r>
    </w:p>
    <w:p w:rsidR="00132BAA" w:rsidRDefault="00B31A4A">
      <w:pPr>
        <w:pStyle w:val="Point1letter"/>
        <w:rPr>
          <w:noProof/>
        </w:rPr>
      </w:pPr>
      <w:r>
        <w:rPr>
          <w:noProof/>
        </w:rPr>
        <w:t xml:space="preserve">“muitas dienesti” ir </w:t>
      </w:r>
      <w:r>
        <w:rPr>
          <w:noProof/>
        </w:rPr>
        <w:t>muitas dienesti, kā minēts (ES) Regulas Nr. 952/2013 5. panta 1. punktā.</w:t>
      </w:r>
    </w:p>
    <w:p w:rsidR="00132BAA" w:rsidRDefault="00B31A4A">
      <w:pPr>
        <w:pStyle w:val="ManualNumPar1"/>
        <w:rPr>
          <w:noProof/>
        </w:rPr>
      </w:pPr>
      <w:r>
        <w:t>2.</w:t>
      </w:r>
      <w:r>
        <w:tab/>
      </w:r>
      <w:r>
        <w:rPr>
          <w:noProof/>
        </w:rPr>
        <w:t>Regulas 11.–15. panta nolūkā piemēro šādas definīcijas:</w:t>
      </w:r>
    </w:p>
    <w:p w:rsidR="00132BAA" w:rsidRDefault="00B31A4A">
      <w:pPr>
        <w:pStyle w:val="Point1letter"/>
        <w:numPr>
          <w:ilvl w:val="3"/>
          <w:numId w:val="64"/>
        </w:numPr>
        <w:rPr>
          <w:noProof/>
        </w:rPr>
      </w:pPr>
      <w:r>
        <w:rPr>
          <w:noProof/>
        </w:rPr>
        <w:t>“eksporta dalībvalsts” ir dalībvalsts, no kuras statistikas teritorijas preces eksportē uz to galamērķi importa dalībvalstī;</w:t>
      </w:r>
    </w:p>
    <w:p w:rsidR="00132BAA" w:rsidRDefault="00B31A4A">
      <w:pPr>
        <w:pStyle w:val="Point1letter"/>
        <w:rPr>
          <w:noProof/>
        </w:rPr>
      </w:pPr>
      <w:r>
        <w:rPr>
          <w:noProof/>
        </w:rPr>
        <w:t>“importa dalībvalsts” ir dalībvalsts, kuras statistikas teritorijā preces ieved no eksporta dalībvalsts;</w:t>
      </w:r>
    </w:p>
    <w:p w:rsidR="00132BAA" w:rsidRDefault="00B31A4A">
      <w:pPr>
        <w:pStyle w:val="Point1letter"/>
        <w:rPr>
          <w:noProof/>
        </w:rPr>
      </w:pPr>
      <w:r>
        <w:rPr>
          <w:noProof/>
        </w:rPr>
        <w:t>“preces” ir jebkāds kustams īpašums, ieskaitot elektroenerģiju un dabasgāzi.</w:t>
      </w:r>
    </w:p>
    <w:p w:rsidR="00132BAA" w:rsidRDefault="00B31A4A">
      <w:pPr>
        <w:pStyle w:val="Titrearticle"/>
        <w:rPr>
          <w:noProof/>
        </w:rPr>
      </w:pPr>
      <w:r>
        <w:rPr>
          <w:noProof/>
        </w:rPr>
        <w:t>3. pants</w:t>
      </w:r>
    </w:p>
    <w:p w:rsidR="00132BAA" w:rsidRDefault="00B31A4A">
      <w:pPr>
        <w:pStyle w:val="Titrearticle"/>
        <w:rPr>
          <w:noProof/>
        </w:rPr>
      </w:pPr>
      <w:r>
        <w:rPr>
          <w:noProof/>
        </w:rPr>
        <w:t>Darbības joma</w:t>
      </w:r>
    </w:p>
    <w:p w:rsidR="00132BAA" w:rsidRDefault="00B31A4A">
      <w:pPr>
        <w:pStyle w:val="ManualNumPar1"/>
        <w:rPr>
          <w:noProof/>
        </w:rPr>
      </w:pPr>
      <w:r>
        <w:t>1.</w:t>
      </w:r>
      <w:r>
        <w:tab/>
      </w:r>
      <w:r>
        <w:rPr>
          <w:noProof/>
        </w:rPr>
        <w:t xml:space="preserve">Eiropas uzņēmējdarbības statistikas darbības </w:t>
      </w:r>
      <w:r>
        <w:rPr>
          <w:noProof/>
        </w:rPr>
        <w:t>joma ietver:</w:t>
      </w:r>
    </w:p>
    <w:p w:rsidR="00132BAA" w:rsidRDefault="00B31A4A">
      <w:pPr>
        <w:pStyle w:val="Point1letter"/>
        <w:numPr>
          <w:ilvl w:val="3"/>
          <w:numId w:val="29"/>
        </w:numPr>
        <w:rPr>
          <w:noProof/>
        </w:rPr>
      </w:pPr>
      <w:r>
        <w:rPr>
          <w:noProof/>
        </w:rPr>
        <w:lastRenderedPageBreak/>
        <w:t>statistikas vienību struktūru, saimnieciskās darbības un sniegumu, to pētniecības, izstrādes un inovācijas darbības, to IKT izmantojumu un e-komerciju, kā arī globālās vērtību ķēdes;</w:t>
      </w:r>
    </w:p>
    <w:p w:rsidR="00132BAA" w:rsidRDefault="00B31A4A">
      <w:pPr>
        <w:pStyle w:val="Point1letter"/>
        <w:rPr>
          <w:noProof/>
        </w:rPr>
      </w:pPr>
      <w:r>
        <w:rPr>
          <w:noProof/>
        </w:rPr>
        <w:t>rūpniecības preču ražošanu, pakalpojumus un preču un pakalpo</w:t>
      </w:r>
      <w:r>
        <w:rPr>
          <w:noProof/>
        </w:rPr>
        <w:t>jumu starptautisko tirdzniecību.</w:t>
      </w:r>
    </w:p>
    <w:p w:rsidR="00132BAA" w:rsidRDefault="00B31A4A">
      <w:pPr>
        <w:pStyle w:val="ManualNumPar1"/>
        <w:rPr>
          <w:noProof/>
        </w:rPr>
      </w:pPr>
      <w:r>
        <w:t>2.</w:t>
      </w:r>
      <w:r>
        <w:tab/>
      </w:r>
      <w:r>
        <w:rPr>
          <w:noProof/>
        </w:rPr>
        <w:t xml:space="preserve">Eiropas statistisko uzņēmumu reģistru tīkls ietver valstu uzņēmumu reģistrus un </w:t>
      </w:r>
      <w:r>
        <w:rPr>
          <w:i/>
          <w:noProof/>
        </w:rPr>
        <w:t>EuroGroups</w:t>
      </w:r>
      <w:r>
        <w:rPr>
          <w:noProof/>
        </w:rPr>
        <w:t xml:space="preserve"> reģistru, kā arī datu savstarpējo apmaiņu starp tiem.</w:t>
      </w:r>
    </w:p>
    <w:p w:rsidR="00132BAA" w:rsidRDefault="00B31A4A">
      <w:pPr>
        <w:pStyle w:val="Point1letter"/>
        <w:numPr>
          <w:ilvl w:val="3"/>
          <w:numId w:val="12"/>
        </w:numPr>
        <w:rPr>
          <w:noProof/>
        </w:rPr>
      </w:pPr>
      <w:r>
        <w:rPr>
          <w:noProof/>
        </w:rPr>
        <w:t>Valstu statistisko uzņēmumu reģistru darbības joma ietver:</w:t>
      </w:r>
    </w:p>
    <w:p w:rsidR="00132BAA" w:rsidRDefault="00B31A4A">
      <w:pPr>
        <w:pStyle w:val="Point2"/>
        <w:rPr>
          <w:noProof/>
        </w:rPr>
      </w:pPr>
      <w:r>
        <w:rPr>
          <w:noProof/>
        </w:rPr>
        <w:t xml:space="preserve">i) </w:t>
      </w:r>
      <w:r>
        <w:rPr>
          <w:noProof/>
        </w:rPr>
        <w:tab/>
        <w:t>visus uzņēmu</w:t>
      </w:r>
      <w:r>
        <w:rPr>
          <w:noProof/>
        </w:rPr>
        <w:t>mus, kas veic saimniecisko darbību, kura ietekmē iekšzemes kopproduktu (IKP), un to vietējās vienības;</w:t>
      </w:r>
    </w:p>
    <w:p w:rsidR="00132BAA" w:rsidRDefault="00B31A4A">
      <w:pPr>
        <w:pStyle w:val="Point2"/>
        <w:rPr>
          <w:noProof/>
        </w:rPr>
      </w:pPr>
      <w:r>
        <w:rPr>
          <w:noProof/>
        </w:rPr>
        <w:t>ii)</w:t>
      </w:r>
      <w:r>
        <w:rPr>
          <w:noProof/>
        </w:rPr>
        <w:tab/>
        <w:t>juridiskas vienības, kas ir šajos uzņēmumos;</w:t>
      </w:r>
    </w:p>
    <w:p w:rsidR="00132BAA" w:rsidRDefault="00B31A4A">
      <w:pPr>
        <w:pStyle w:val="Point2"/>
        <w:rPr>
          <w:noProof/>
        </w:rPr>
      </w:pPr>
      <w:r>
        <w:rPr>
          <w:noProof/>
        </w:rPr>
        <w:t>iii)</w:t>
      </w:r>
      <w:r>
        <w:rPr>
          <w:noProof/>
        </w:rPr>
        <w:tab/>
        <w:t xml:space="preserve">darbības veida vienības (DVV) vai </w:t>
      </w:r>
      <w:r>
        <w:rPr>
          <w:i/>
          <w:noProof/>
        </w:rPr>
        <w:t>NACE</w:t>
      </w:r>
      <w:r>
        <w:rPr>
          <w:noProof/>
        </w:rPr>
        <w:t xml:space="preserve"> kodu, kas noteikts Eiropas Parlamenta un Padomes Regulā (EK)</w:t>
      </w:r>
      <w:r>
        <w:rPr>
          <w:noProof/>
        </w:rPr>
        <w:t xml:space="preserve"> Nr. 1893/2006</w:t>
      </w:r>
      <w:r>
        <w:rPr>
          <w:rStyle w:val="FootnoteReference"/>
          <w:noProof/>
        </w:rPr>
        <w:footnoteReference w:id="26"/>
      </w:r>
      <w:r>
        <w:rPr>
          <w:noProof/>
        </w:rPr>
        <w:t>, un katras DVV, kura veido šos uzņēmumus, lielumu, kas attiecas tikai uz tiem uzņēmumiem, kuriem, ņemot vērā to lielumu, ir būtiska ietekme uz agregētiem (valsts līmeņa) datiem;</w:t>
      </w:r>
    </w:p>
    <w:p w:rsidR="00132BAA" w:rsidRDefault="00B31A4A">
      <w:pPr>
        <w:pStyle w:val="Point2"/>
        <w:rPr>
          <w:noProof/>
        </w:rPr>
      </w:pPr>
      <w:r>
        <w:rPr>
          <w:noProof/>
        </w:rPr>
        <w:t>iv)</w:t>
      </w:r>
      <w:r>
        <w:rPr>
          <w:noProof/>
        </w:rPr>
        <w:tab/>
        <w:t>uzņēmumu grupas.</w:t>
      </w:r>
    </w:p>
    <w:p w:rsidR="00132BAA" w:rsidRDefault="00B31A4A">
      <w:pPr>
        <w:pStyle w:val="Point1letter"/>
        <w:numPr>
          <w:ilvl w:val="3"/>
          <w:numId w:val="13"/>
        </w:numPr>
        <w:rPr>
          <w:noProof/>
        </w:rPr>
      </w:pPr>
      <w:r>
        <w:rPr>
          <w:i/>
          <w:noProof/>
        </w:rPr>
        <w:t>EuroGroups</w:t>
      </w:r>
      <w:r>
        <w:rPr>
          <w:noProof/>
        </w:rPr>
        <w:t xml:space="preserve"> reģistra darbības joma ietver:</w:t>
      </w:r>
    </w:p>
    <w:p w:rsidR="00132BAA" w:rsidRDefault="00B31A4A">
      <w:pPr>
        <w:pStyle w:val="Point2"/>
        <w:rPr>
          <w:noProof/>
        </w:rPr>
      </w:pPr>
      <w:r>
        <w:rPr>
          <w:noProof/>
        </w:rPr>
        <w:t>i)</w:t>
      </w:r>
      <w:r>
        <w:rPr>
          <w:noProof/>
        </w:rPr>
        <w:tab/>
        <w:t>visus uzņēmumus, kas veic saimniecisko darbību, kura ietekmē iekšzemes kopproduktu (IKP) un kas veido starptautiskas uzņēmumu grupas daļu;</w:t>
      </w:r>
    </w:p>
    <w:p w:rsidR="00132BAA" w:rsidRDefault="00B31A4A">
      <w:pPr>
        <w:pStyle w:val="Point2"/>
        <w:rPr>
          <w:noProof/>
        </w:rPr>
      </w:pPr>
      <w:r>
        <w:rPr>
          <w:noProof/>
        </w:rPr>
        <w:t>ii)</w:t>
      </w:r>
      <w:r>
        <w:rPr>
          <w:noProof/>
        </w:rPr>
        <w:tab/>
        <w:t>juridiskas vienības, kas ir šajos uzņēmumos;</w:t>
      </w:r>
    </w:p>
    <w:p w:rsidR="00132BAA" w:rsidRDefault="00B31A4A">
      <w:pPr>
        <w:pStyle w:val="Point2"/>
        <w:rPr>
          <w:noProof/>
        </w:rPr>
      </w:pPr>
      <w:r>
        <w:rPr>
          <w:noProof/>
        </w:rPr>
        <w:t>iii)</w:t>
      </w:r>
      <w:r>
        <w:rPr>
          <w:noProof/>
        </w:rPr>
        <w:tab/>
        <w:t>starptautiskas uzņēmumu grupas.</w:t>
      </w:r>
    </w:p>
    <w:p w:rsidR="00132BAA" w:rsidRDefault="00B31A4A">
      <w:pPr>
        <w:pStyle w:val="Point1letter"/>
        <w:rPr>
          <w:noProof/>
        </w:rPr>
      </w:pPr>
      <w:r>
        <w:rPr>
          <w:noProof/>
        </w:rPr>
        <w:t xml:space="preserve">Mājsaimniecības neietilpst </w:t>
      </w:r>
      <w:r>
        <w:rPr>
          <w:noProof/>
        </w:rPr>
        <w:t>Eiropas statistisko uzņēmumu reģistru tīkla darbības jomā, ciktāl tās ražo preces un pakalpojumus pašu patēriņam vai izīrē pašu īpašumu.</w:t>
      </w:r>
    </w:p>
    <w:p w:rsidR="00132BAA" w:rsidRDefault="00B31A4A">
      <w:pPr>
        <w:pStyle w:val="Point1letter"/>
        <w:rPr>
          <w:noProof/>
        </w:rPr>
      </w:pPr>
      <w:r>
        <w:rPr>
          <w:noProof/>
        </w:rPr>
        <w:t>Ārvalstu uzņēmumu vietējās vienības, kas nav atsevišķas juridiskas vienības (filiāles) un ko saskaņā ar Regulu (ES) Nr.</w:t>
      </w:r>
      <w:r>
        <w:rPr>
          <w:noProof/>
        </w:rPr>
        <w:t xml:space="preserve"> 549/2013 klasificē kā kvazisabiedrības, valstu statistisko uzņēmumu reģistru un </w:t>
      </w:r>
      <w:r>
        <w:rPr>
          <w:i/>
          <w:noProof/>
        </w:rPr>
        <w:t>EuroGroups</w:t>
      </w:r>
      <w:r>
        <w:rPr>
          <w:noProof/>
        </w:rPr>
        <w:t xml:space="preserve"> reģistra nolūkiem uzskata par uzņēmumiem.</w:t>
      </w:r>
    </w:p>
    <w:p w:rsidR="00132BAA" w:rsidRDefault="00B31A4A">
      <w:pPr>
        <w:pStyle w:val="Point1letter"/>
        <w:rPr>
          <w:noProof/>
        </w:rPr>
      </w:pPr>
      <w:r>
        <w:rPr>
          <w:noProof/>
        </w:rPr>
        <w:t>Uzņēmumu grupas nosaka, izmantojot kontroles saites starp to juridiskajām vienībām saskaņā ar Regulu (ES) Nr. 549/2013.</w:t>
      </w:r>
    </w:p>
    <w:p w:rsidR="00132BAA" w:rsidRDefault="00B31A4A">
      <w:pPr>
        <w:pStyle w:val="Point1letter"/>
        <w:rPr>
          <w:noProof/>
        </w:rPr>
      </w:pPr>
      <w:r>
        <w:rPr>
          <w:noProof/>
        </w:rPr>
        <w:t>At</w:t>
      </w:r>
      <w:r>
        <w:rPr>
          <w:noProof/>
        </w:rPr>
        <w:t xml:space="preserve">sauces uz valstu statistiskajiem uzņēmumu reģistriem un </w:t>
      </w:r>
      <w:r>
        <w:rPr>
          <w:i/>
          <w:noProof/>
        </w:rPr>
        <w:t>EuroGroups</w:t>
      </w:r>
      <w:r>
        <w:rPr>
          <w:noProof/>
        </w:rPr>
        <w:t xml:space="preserve"> reģistru šajā regulā attiecas vienīgi uz tām vienībām, kas pilnībā vai daļēji veic saimniecisko darbību. Eiropas statistisko uzņēmumu reģistru tīkla nolūkos saimnieciskā darbība ir jebkura </w:t>
      </w:r>
      <w:r>
        <w:rPr>
          <w:noProof/>
        </w:rPr>
        <w:t>darbība, kas ietver preču un pakalpojumu piedāvāšanu konkrētajā tirgū. Aktīvu un/vai saistību turēšanu arī var uzskatīt par saimniecisko darbību. Turklāt ārpustirgus pakalpojumus, kas ietekmē IKP, kā arī tiešu un netiešu aktīvu juridisko vienību turēšanu E</w:t>
      </w:r>
      <w:r>
        <w:rPr>
          <w:noProof/>
        </w:rPr>
        <w:t xml:space="preserve">iropas statistisko uzņēmumu reģistru tīkla nolūkiem uzskata par saimniecisko darbību. </w:t>
      </w:r>
      <w:r>
        <w:rPr>
          <w:noProof/>
        </w:rPr>
        <w:lastRenderedPageBreak/>
        <w:t>Ekonomiski neaktīvas juridiskas vienības ir daļa no uzņēmuma vienīgi kopā ar ekonomiski aktīvām juridiskām vienībām.</w:t>
      </w:r>
    </w:p>
    <w:p w:rsidR="00132BAA" w:rsidRDefault="00B31A4A">
      <w:pPr>
        <w:pStyle w:val="Point1letter"/>
        <w:rPr>
          <w:noProof/>
        </w:rPr>
      </w:pPr>
      <w:r>
        <w:rPr>
          <w:noProof/>
        </w:rPr>
        <w:t>Statistikas vienības, kas ietilpst Eiropas statistisk</w:t>
      </w:r>
      <w:r>
        <w:rPr>
          <w:noProof/>
        </w:rPr>
        <w:t>o uzņēmumu reģistru tīkla darbības jomā, tiek definētas, kā norādīts Padomes Regulas (EEK) Nr. 696/93 pielikumā, ievērojot šajā pantā noteiktos ierobežojumus.</w:t>
      </w:r>
    </w:p>
    <w:p w:rsidR="00132BAA" w:rsidRDefault="00B31A4A">
      <w:pPr>
        <w:pStyle w:val="ChapterTitle"/>
        <w:rPr>
          <w:noProof/>
        </w:rPr>
      </w:pPr>
      <w:r>
        <w:rPr>
          <w:noProof/>
        </w:rPr>
        <w:t>II NODAĻA</w:t>
      </w:r>
    </w:p>
    <w:p w:rsidR="00132BAA" w:rsidRDefault="00B31A4A">
      <w:pPr>
        <w:pStyle w:val="ChapterTitle"/>
        <w:rPr>
          <w:noProof/>
        </w:rPr>
      </w:pPr>
      <w:r>
        <w:rPr>
          <w:noProof/>
        </w:rPr>
        <w:t>DATU AVOTI</w:t>
      </w:r>
    </w:p>
    <w:p w:rsidR="00132BAA" w:rsidRDefault="00B31A4A">
      <w:pPr>
        <w:pStyle w:val="Titrearticle"/>
        <w:rPr>
          <w:noProof/>
        </w:rPr>
      </w:pPr>
      <w:r>
        <w:rPr>
          <w:noProof/>
        </w:rPr>
        <w:t>4. pants</w:t>
      </w:r>
    </w:p>
    <w:p w:rsidR="00132BAA" w:rsidRDefault="00B31A4A">
      <w:pPr>
        <w:pStyle w:val="Titrearticle"/>
        <w:rPr>
          <w:noProof/>
        </w:rPr>
      </w:pPr>
      <w:r>
        <w:rPr>
          <w:noProof/>
        </w:rPr>
        <w:t>Datu avoti un metodes</w:t>
      </w:r>
    </w:p>
    <w:p w:rsidR="00132BAA" w:rsidRDefault="00B31A4A">
      <w:pPr>
        <w:pStyle w:val="ManualNumPar1"/>
        <w:rPr>
          <w:noProof/>
        </w:rPr>
      </w:pPr>
      <w:r>
        <w:t>1.</w:t>
      </w:r>
      <w:r>
        <w:tab/>
      </w:r>
      <w:r>
        <w:rPr>
          <w:noProof/>
        </w:rPr>
        <w:t>Sagatavojot 6. un 7. pantā minētos statist</w:t>
      </w:r>
      <w:r>
        <w:rPr>
          <w:noProof/>
        </w:rPr>
        <w:t>ikas datus, dalībvalstis, kā arī 9. pantā minētie valstu statistiskie uzņēmumu reģistri, izmanto visus attiecīgos datu avotus, vienlaikus izvairoties no pārmērīga sloga respondentiem un pienācīgi ņemot vērā valstu statistikas iestāžu izmaksu lietderību. Va</w:t>
      </w:r>
      <w:r>
        <w:rPr>
          <w:noProof/>
        </w:rPr>
        <w:t>lstu statistikas iestādes statistikas datu sagatavošanai un šajā regulā paredzētajiem valstu statistiskajiem uzņēmumu reģistriem var izmantot šādus datu avotus:</w:t>
      </w:r>
    </w:p>
    <w:p w:rsidR="00132BAA" w:rsidRDefault="00B31A4A">
      <w:pPr>
        <w:pStyle w:val="Point1letter"/>
        <w:numPr>
          <w:ilvl w:val="3"/>
          <w:numId w:val="21"/>
        </w:numPr>
        <w:rPr>
          <w:noProof/>
        </w:rPr>
      </w:pPr>
      <w:r>
        <w:rPr>
          <w:noProof/>
        </w:rPr>
        <w:t>apsekojumus: dalībvalstu nozīmētas ziņošanas vienības, kurām ir pienākums nodrošināt savlaicīgu</w:t>
      </w:r>
      <w:r>
        <w:rPr>
          <w:noProof/>
        </w:rPr>
        <w:t>, precīzu un pilnīgu informāciju, kas nepieciešama statistikas datu sagatavošanai un šajā regulā paredzētajiem valstu statistiskajiem uzņēmumu reģistriem;</w:t>
      </w:r>
    </w:p>
    <w:p w:rsidR="00132BAA" w:rsidRDefault="00B31A4A">
      <w:pPr>
        <w:pStyle w:val="Point1letter"/>
        <w:numPr>
          <w:ilvl w:val="3"/>
          <w:numId w:val="23"/>
        </w:numPr>
        <w:rPr>
          <w:noProof/>
        </w:rPr>
      </w:pPr>
      <w:r>
        <w:rPr>
          <w:noProof/>
        </w:rPr>
        <w:t>administratīvos ierakstus, tostarp informāciju no nodokļu un muitas dienestiem;</w:t>
      </w:r>
    </w:p>
    <w:p w:rsidR="00132BAA" w:rsidRDefault="00B31A4A">
      <w:pPr>
        <w:pStyle w:val="Point1letter"/>
        <w:rPr>
          <w:noProof/>
        </w:rPr>
      </w:pPr>
      <w:r>
        <w:rPr>
          <w:noProof/>
        </w:rPr>
        <w:t xml:space="preserve">datu apmaiņas </w:t>
      </w:r>
      <w:r>
        <w:rPr>
          <w:noProof/>
        </w:rPr>
        <w:t>rezultātā iegūtos mikrodatus;</w:t>
      </w:r>
    </w:p>
    <w:p w:rsidR="00132BAA" w:rsidRDefault="00B31A4A">
      <w:pPr>
        <w:pStyle w:val="Point1letter"/>
        <w:rPr>
          <w:noProof/>
        </w:rPr>
      </w:pPr>
      <w:r>
        <w:rPr>
          <w:noProof/>
        </w:rPr>
        <w:t>citus attiecīgos informācijas avotus, kas atbilst 16. pantā minētajiem kvalitātes kritērijiem, ieskaitot esošo datu avotu kombinācijas.</w:t>
      </w:r>
    </w:p>
    <w:p w:rsidR="00132BAA" w:rsidRDefault="00B31A4A">
      <w:pPr>
        <w:pStyle w:val="ManualNumPar1"/>
        <w:rPr>
          <w:noProof/>
        </w:rPr>
      </w:pPr>
      <w:r>
        <w:t>2.</w:t>
      </w:r>
      <w:r>
        <w:tab/>
      </w:r>
      <w:r>
        <w:rPr>
          <w:noProof/>
        </w:rPr>
        <w:t>Ja nepieciešamo statistiku nav iespējams sagatavot, izmantojot 1. punktā minētos datu a</w:t>
      </w:r>
      <w:r>
        <w:rPr>
          <w:noProof/>
        </w:rPr>
        <w:t>votus, kas atbilst 16. pantā minētajiem kvalitātes kritērijiem, dalībvalstis šādas statistikas sagatavošanai var izmantot zinātniski pamatotas un pienācīgi dokumentētas statistiskā novērtējuma un aprēķināšanas metodes.</w:t>
      </w:r>
    </w:p>
    <w:p w:rsidR="00132BAA" w:rsidRDefault="00B31A4A">
      <w:pPr>
        <w:pStyle w:val="Titrearticle"/>
        <w:rPr>
          <w:noProof/>
        </w:rPr>
      </w:pPr>
      <w:r>
        <w:rPr>
          <w:noProof/>
        </w:rPr>
        <w:t>5. pants</w:t>
      </w:r>
    </w:p>
    <w:p w:rsidR="00132BAA" w:rsidRDefault="00B31A4A">
      <w:pPr>
        <w:pStyle w:val="Titrearticle"/>
        <w:rPr>
          <w:noProof/>
        </w:rPr>
      </w:pPr>
      <w:r>
        <w:rPr>
          <w:noProof/>
        </w:rPr>
        <w:t xml:space="preserve">Piekļuve administratīvajiem </w:t>
      </w:r>
      <w:r>
        <w:rPr>
          <w:noProof/>
        </w:rPr>
        <w:t xml:space="preserve">ierakstiem un informācijas paziņošana </w:t>
      </w:r>
    </w:p>
    <w:p w:rsidR="00132BAA" w:rsidRDefault="00B31A4A">
      <w:pPr>
        <w:pStyle w:val="ManualNumPar1"/>
        <w:rPr>
          <w:noProof/>
        </w:rPr>
      </w:pPr>
      <w:r>
        <w:t>1.</w:t>
      </w:r>
      <w:r>
        <w:tab/>
      </w:r>
      <w:r>
        <w:rPr>
          <w:noProof/>
        </w:rPr>
        <w:t>Saskaņā ar Regulas (EK) Nr. 223/2009 17.a pantā izklāstītajiem principiem, valstu statistikas iestādēm un Komisijai (</w:t>
      </w:r>
      <w:r>
        <w:rPr>
          <w:i/>
          <w:noProof/>
        </w:rPr>
        <w:t>Eurostat</w:t>
      </w:r>
      <w:r>
        <w:rPr>
          <w:noProof/>
        </w:rPr>
        <w:t>) ir tiesības nekavējoties un bez maksas piekļūt visiem administratīvajiem ierakstiem, iz</w:t>
      </w:r>
      <w:r>
        <w:rPr>
          <w:noProof/>
        </w:rPr>
        <w:t xml:space="preserve">mantot tos un integrēt ar citiem datu avotiem, lai izpildītu statistikas prasības, ko paredz šī regula, un atjauninātu valstu statistiskos uzņēmumu reģistrus un </w:t>
      </w:r>
      <w:r>
        <w:rPr>
          <w:i/>
          <w:noProof/>
        </w:rPr>
        <w:t>EuroGroups</w:t>
      </w:r>
      <w:r>
        <w:rPr>
          <w:noProof/>
        </w:rPr>
        <w:t xml:space="preserve"> reģistru. Valstu statistikas iestādēm un Komisijai (</w:t>
      </w:r>
      <w:r>
        <w:rPr>
          <w:i/>
          <w:noProof/>
        </w:rPr>
        <w:t>Eurostat</w:t>
      </w:r>
      <w:r>
        <w:rPr>
          <w:noProof/>
        </w:rPr>
        <w:t>) ir piekļuve tikai tiem</w:t>
      </w:r>
      <w:r>
        <w:rPr>
          <w:noProof/>
        </w:rPr>
        <w:t xml:space="preserve"> administratīvajiem ierakstiem, kas ir šo iestāžu attiecīgajās publiskās administrācijas sistēmās.</w:t>
      </w:r>
    </w:p>
    <w:p w:rsidR="00132BAA" w:rsidRDefault="00B31A4A">
      <w:pPr>
        <w:pStyle w:val="ManualNumPar1"/>
        <w:rPr>
          <w:noProof/>
        </w:rPr>
      </w:pPr>
      <w:r>
        <w:t>2.</w:t>
      </w:r>
      <w:r>
        <w:tab/>
      </w:r>
      <w:r>
        <w:rPr>
          <w:noProof/>
        </w:rPr>
        <w:t>Neskarot 1. punktu, katras dalībvalsts nodokļu dienests sniedz valsts statistikas iestādei informāciju par preču eksportu un importu.</w:t>
      </w:r>
    </w:p>
    <w:p w:rsidR="00132BAA" w:rsidRDefault="00B31A4A">
      <w:pPr>
        <w:pStyle w:val="Text1"/>
        <w:ind w:left="851"/>
        <w:rPr>
          <w:noProof/>
        </w:rPr>
      </w:pPr>
      <w:r>
        <w:rPr>
          <w:noProof/>
        </w:rPr>
        <w:lastRenderedPageBreak/>
        <w:t xml:space="preserve">Komisija saskaņā ar </w:t>
      </w:r>
      <w:r>
        <w:rPr>
          <w:noProof/>
        </w:rPr>
        <w:t>21. pantu tiek pilnvarota pieņemt deleģētos aktus, lai noteiktu precīzu informāciju, kas nodokļu dienestiem ir jāsniedz.</w:t>
      </w:r>
    </w:p>
    <w:p w:rsidR="00132BAA" w:rsidRDefault="00B31A4A">
      <w:pPr>
        <w:pStyle w:val="ManualNumPar1"/>
        <w:rPr>
          <w:noProof/>
        </w:rPr>
      </w:pPr>
      <w:r>
        <w:t>3.</w:t>
      </w:r>
      <w:r>
        <w:tab/>
      </w:r>
      <w:r>
        <w:rPr>
          <w:noProof/>
        </w:rPr>
        <w:t>Neskarot 1. punktu, katras dalībvalsts muitas dienests sniedz valsts statistikas iestādei informāciju par preču eksportu un importu.</w:t>
      </w:r>
    </w:p>
    <w:p w:rsidR="00132BAA" w:rsidRDefault="00B31A4A">
      <w:pPr>
        <w:pStyle w:val="Text1"/>
        <w:ind w:left="851"/>
        <w:rPr>
          <w:noProof/>
        </w:rPr>
      </w:pPr>
      <w:r>
        <w:rPr>
          <w:noProof/>
        </w:rPr>
        <w:t>Komisija saskaņā ar 21. pantu tiek pilnvarota pieņemt deleģētos aktus, lai noteiktu precīzu informāciju, kas muitas dienestiem ir jāsniedz.</w:t>
      </w:r>
    </w:p>
    <w:p w:rsidR="00132BAA" w:rsidRDefault="00B31A4A">
      <w:pPr>
        <w:pStyle w:val="ManualNumPar1"/>
        <w:rPr>
          <w:noProof/>
        </w:rPr>
      </w:pPr>
      <w:r>
        <w:t>4.</w:t>
      </w:r>
      <w:r>
        <w:tab/>
      </w:r>
      <w:r>
        <w:rPr>
          <w:noProof/>
        </w:rPr>
        <w:t>Lai sagatavotu statistiku par starptautisko preču tirdzniecību un uzlabotu šādas statistikas kvalitāti, attiecīg</w:t>
      </w:r>
      <w:r>
        <w:rPr>
          <w:noProof/>
        </w:rPr>
        <w:t>o dalībvalstu statistikas iestādes drīkst apmainīties ar datiem, kas saņemti no muitas dienestiem un kas saistīti ar preču eksportu un importu, jo īpaši, ja šādā eksportā vai importā ir iesaistīti vairāku dalībvalstu muitas dienesti.</w:t>
      </w:r>
    </w:p>
    <w:p w:rsidR="00132BAA" w:rsidRDefault="00B31A4A">
      <w:pPr>
        <w:pStyle w:val="ManualNumPar1"/>
        <w:rPr>
          <w:noProof/>
        </w:rPr>
      </w:pPr>
      <w:r>
        <w:t>5.</w:t>
      </w:r>
      <w:r>
        <w:tab/>
      </w:r>
      <w:r>
        <w:rPr>
          <w:noProof/>
        </w:rPr>
        <w:t>Komisija ir pilnvar</w:t>
      </w:r>
      <w:r>
        <w:rPr>
          <w:noProof/>
        </w:rPr>
        <w:t>ota pieņemt īstenošanas aktus saskaņā ar pārbaudes procedūru, kas minēta 22. panta 2. punktā, lai precizētu šajā pantā paredzētās datu apmaiņas kārtību.</w:t>
      </w:r>
    </w:p>
    <w:p w:rsidR="00132BAA" w:rsidRDefault="00B31A4A">
      <w:pPr>
        <w:pStyle w:val="ChapterTitle"/>
        <w:rPr>
          <w:noProof/>
        </w:rPr>
      </w:pPr>
      <w:r>
        <w:rPr>
          <w:noProof/>
        </w:rPr>
        <w:t>III NODAĻA</w:t>
      </w:r>
    </w:p>
    <w:p w:rsidR="00132BAA" w:rsidRDefault="00B31A4A">
      <w:pPr>
        <w:pStyle w:val="ChapterTitle"/>
        <w:rPr>
          <w:noProof/>
        </w:rPr>
      </w:pPr>
      <w:r>
        <w:rPr>
          <w:noProof/>
        </w:rPr>
        <w:t>UZŅĒMĒJDARBĪBAS STATISTIKA</w:t>
      </w:r>
    </w:p>
    <w:p w:rsidR="00132BAA" w:rsidRDefault="00B31A4A">
      <w:pPr>
        <w:pStyle w:val="Titrearticle"/>
        <w:ind w:left="851" w:hanging="851"/>
        <w:rPr>
          <w:noProof/>
        </w:rPr>
      </w:pPr>
      <w:r>
        <w:rPr>
          <w:noProof/>
        </w:rPr>
        <w:t>6. pants</w:t>
      </w:r>
    </w:p>
    <w:p w:rsidR="00132BAA" w:rsidRDefault="00B31A4A">
      <w:pPr>
        <w:pStyle w:val="Titrearticle"/>
        <w:rPr>
          <w:noProof/>
        </w:rPr>
      </w:pPr>
      <w:r>
        <w:rPr>
          <w:noProof/>
        </w:rPr>
        <w:t xml:space="preserve">Datu prasības </w:t>
      </w:r>
    </w:p>
    <w:p w:rsidR="00132BAA" w:rsidRDefault="00B31A4A">
      <w:pPr>
        <w:pStyle w:val="ManualNumPar1"/>
        <w:rPr>
          <w:noProof/>
        </w:rPr>
      </w:pPr>
      <w:r>
        <w:t>1.</w:t>
      </w:r>
      <w:r>
        <w:tab/>
      </w:r>
      <w:r>
        <w:rPr>
          <w:noProof/>
        </w:rPr>
        <w:t>Eiropas uzņēmējdarbības statistika att</w:t>
      </w:r>
      <w:r>
        <w:rPr>
          <w:noProof/>
        </w:rPr>
        <w:t>iecas uz šādām tematiskajām jomām:</w:t>
      </w:r>
    </w:p>
    <w:p w:rsidR="00132BAA" w:rsidRDefault="00B31A4A">
      <w:pPr>
        <w:pStyle w:val="Point1letter"/>
        <w:numPr>
          <w:ilvl w:val="3"/>
          <w:numId w:val="22"/>
        </w:numPr>
        <w:rPr>
          <w:noProof/>
        </w:rPr>
      </w:pPr>
      <w:r>
        <w:rPr>
          <w:noProof/>
        </w:rPr>
        <w:t>īstermiņa uzņēmējdarbības statistika;</w:t>
      </w:r>
    </w:p>
    <w:p w:rsidR="00132BAA" w:rsidRDefault="00B31A4A">
      <w:pPr>
        <w:pStyle w:val="Point1letter"/>
        <w:numPr>
          <w:ilvl w:val="3"/>
          <w:numId w:val="13"/>
        </w:numPr>
        <w:rPr>
          <w:noProof/>
        </w:rPr>
      </w:pPr>
      <w:r>
        <w:rPr>
          <w:noProof/>
        </w:rPr>
        <w:t>valsts līmeņa uzņēmējdarbības statistika;</w:t>
      </w:r>
    </w:p>
    <w:p w:rsidR="00132BAA" w:rsidRDefault="00B31A4A">
      <w:pPr>
        <w:pStyle w:val="Point1letter"/>
        <w:numPr>
          <w:ilvl w:val="3"/>
          <w:numId w:val="25"/>
        </w:numPr>
        <w:rPr>
          <w:noProof/>
        </w:rPr>
      </w:pPr>
      <w:r>
        <w:rPr>
          <w:noProof/>
        </w:rPr>
        <w:t>reģionālā uzņēmējdarbības statistika;</w:t>
      </w:r>
    </w:p>
    <w:p w:rsidR="00132BAA" w:rsidRDefault="00B31A4A">
      <w:pPr>
        <w:pStyle w:val="Point1letter"/>
        <w:rPr>
          <w:noProof/>
        </w:rPr>
      </w:pPr>
      <w:r>
        <w:rPr>
          <w:noProof/>
        </w:rPr>
        <w:t>statistika par starptautiskām darbībām.</w:t>
      </w:r>
    </w:p>
    <w:p w:rsidR="00132BAA" w:rsidRDefault="00B31A4A">
      <w:pPr>
        <w:pStyle w:val="ManualNumPar1"/>
        <w:rPr>
          <w:noProof/>
        </w:rPr>
      </w:pPr>
      <w:r>
        <w:t>2.</w:t>
      </w:r>
      <w:r>
        <w:tab/>
      </w:r>
      <w:r>
        <w:rPr>
          <w:noProof/>
        </w:rPr>
        <w:t>Tematiskās jomas ietver vienu vai vairākus šādus tematus, kā</w:t>
      </w:r>
      <w:r>
        <w:rPr>
          <w:noProof/>
        </w:rPr>
        <w:t xml:space="preserve"> sīkāk izklāstīts I pielikumā:</w:t>
      </w:r>
    </w:p>
    <w:p w:rsidR="00132BAA" w:rsidRDefault="00B31A4A">
      <w:pPr>
        <w:pStyle w:val="Point1letter"/>
        <w:numPr>
          <w:ilvl w:val="3"/>
          <w:numId w:val="32"/>
        </w:numPr>
        <w:rPr>
          <w:noProof/>
        </w:rPr>
      </w:pPr>
      <w:r>
        <w:rPr>
          <w:noProof/>
        </w:rPr>
        <w:t>uzņēmumu populācija;</w:t>
      </w:r>
    </w:p>
    <w:p w:rsidR="00132BAA" w:rsidRDefault="00B31A4A">
      <w:pPr>
        <w:pStyle w:val="Point1letter"/>
        <w:numPr>
          <w:ilvl w:val="3"/>
          <w:numId w:val="26"/>
        </w:numPr>
        <w:rPr>
          <w:noProof/>
        </w:rPr>
      </w:pPr>
      <w:r>
        <w:rPr>
          <w:noProof/>
        </w:rPr>
        <w:t>globālās vērtību ķēdes;</w:t>
      </w:r>
    </w:p>
    <w:p w:rsidR="00132BAA" w:rsidRDefault="00B31A4A">
      <w:pPr>
        <w:pStyle w:val="Point1letter"/>
        <w:rPr>
          <w:noProof/>
        </w:rPr>
      </w:pPr>
      <w:r>
        <w:rPr>
          <w:noProof/>
        </w:rPr>
        <w:t>IKT izmantojums un e-komercija;</w:t>
      </w:r>
    </w:p>
    <w:p w:rsidR="00132BAA" w:rsidRDefault="00B31A4A">
      <w:pPr>
        <w:pStyle w:val="Point1letter"/>
        <w:rPr>
          <w:noProof/>
        </w:rPr>
      </w:pPr>
      <w:r>
        <w:rPr>
          <w:noProof/>
        </w:rPr>
        <w:t>inovācija;</w:t>
      </w:r>
    </w:p>
    <w:p w:rsidR="00132BAA" w:rsidRDefault="00B31A4A">
      <w:pPr>
        <w:pStyle w:val="Point1letter"/>
        <w:numPr>
          <w:ilvl w:val="3"/>
          <w:numId w:val="13"/>
        </w:numPr>
        <w:rPr>
          <w:noProof/>
        </w:rPr>
      </w:pPr>
      <w:r>
        <w:rPr>
          <w:noProof/>
        </w:rPr>
        <w:t>preču starptautiskā tirdzniecība;</w:t>
      </w:r>
    </w:p>
    <w:p w:rsidR="00132BAA" w:rsidRDefault="00B31A4A">
      <w:pPr>
        <w:pStyle w:val="Point1letter"/>
        <w:rPr>
          <w:noProof/>
        </w:rPr>
      </w:pPr>
      <w:r>
        <w:rPr>
          <w:noProof/>
        </w:rPr>
        <w:t>pakalpojumu starptautiskā tirdzniecība;</w:t>
      </w:r>
    </w:p>
    <w:p w:rsidR="00132BAA" w:rsidRDefault="00B31A4A">
      <w:pPr>
        <w:pStyle w:val="Point1letter"/>
        <w:rPr>
          <w:noProof/>
        </w:rPr>
      </w:pPr>
      <w:r>
        <w:rPr>
          <w:noProof/>
        </w:rPr>
        <w:t>ieguldījumi;</w:t>
      </w:r>
    </w:p>
    <w:p w:rsidR="00132BAA" w:rsidRDefault="00B31A4A">
      <w:pPr>
        <w:pStyle w:val="Point1letter"/>
        <w:rPr>
          <w:noProof/>
        </w:rPr>
      </w:pPr>
      <w:r>
        <w:rPr>
          <w:noProof/>
        </w:rPr>
        <w:t>darbaspēka izlietojums;</w:t>
      </w:r>
    </w:p>
    <w:p w:rsidR="00132BAA" w:rsidRDefault="00B31A4A">
      <w:pPr>
        <w:pStyle w:val="Point1letter"/>
        <w:rPr>
          <w:noProof/>
        </w:rPr>
      </w:pPr>
      <w:r>
        <w:rPr>
          <w:noProof/>
        </w:rPr>
        <w:t>rezultāti un sniegums;</w:t>
      </w:r>
    </w:p>
    <w:p w:rsidR="00132BAA" w:rsidRDefault="00B31A4A">
      <w:pPr>
        <w:pStyle w:val="Point1letter"/>
        <w:rPr>
          <w:noProof/>
        </w:rPr>
      </w:pPr>
      <w:r>
        <w:rPr>
          <w:noProof/>
        </w:rPr>
        <w:t>atļaujas;</w:t>
      </w:r>
    </w:p>
    <w:p w:rsidR="00132BAA" w:rsidRDefault="00B31A4A">
      <w:pPr>
        <w:pStyle w:val="Point1letter"/>
        <w:rPr>
          <w:noProof/>
        </w:rPr>
      </w:pPr>
      <w:r>
        <w:rPr>
          <w:noProof/>
        </w:rPr>
        <w:t>cenas;</w:t>
      </w:r>
    </w:p>
    <w:p w:rsidR="00132BAA" w:rsidRDefault="00B31A4A">
      <w:pPr>
        <w:pStyle w:val="Point1letter"/>
        <w:rPr>
          <w:noProof/>
        </w:rPr>
      </w:pPr>
      <w:r>
        <w:rPr>
          <w:noProof/>
        </w:rPr>
        <w:lastRenderedPageBreak/>
        <w:t>pirkumi;</w:t>
      </w:r>
    </w:p>
    <w:p w:rsidR="00132BAA" w:rsidRDefault="00B31A4A">
      <w:pPr>
        <w:pStyle w:val="Point1letter"/>
        <w:rPr>
          <w:noProof/>
        </w:rPr>
      </w:pPr>
      <w:r>
        <w:rPr>
          <w:noProof/>
        </w:rPr>
        <w:t>pētniecības un izstrādes ielaide.</w:t>
      </w:r>
    </w:p>
    <w:p w:rsidR="00132BAA" w:rsidRDefault="00B31A4A">
      <w:pPr>
        <w:pStyle w:val="ManualNumPar1"/>
        <w:rPr>
          <w:noProof/>
        </w:rPr>
      </w:pPr>
      <w:r>
        <w:t>3.</w:t>
      </w:r>
      <w:r>
        <w:tab/>
      </w:r>
      <w:r>
        <w:rPr>
          <w:noProof/>
        </w:rPr>
        <w:t xml:space="preserve">Katra temata periodiskums ir norādīts II pielikumā. </w:t>
      </w:r>
    </w:p>
    <w:p w:rsidR="00132BAA" w:rsidRDefault="00B31A4A">
      <w:pPr>
        <w:pStyle w:val="ManualNumPar1"/>
        <w:rPr>
          <w:noProof/>
        </w:rPr>
      </w:pPr>
      <w:r>
        <w:t>4.</w:t>
      </w:r>
      <w:r>
        <w:tab/>
      </w:r>
      <w:r>
        <w:rPr>
          <w:noProof/>
        </w:rPr>
        <w:t xml:space="preserve">Komisija saskaņā ar 21. pantu tiek pilnvarota pieņemt deleģētos aktus, lai grozītu I pielikumā norādītos sīki izstrādātos tematus un lai </w:t>
      </w:r>
      <w:r>
        <w:rPr>
          <w:noProof/>
        </w:rPr>
        <w:t>precizētu IKT izmantojuma, e-komercijas un globālās vērtību ķēdes sīki izstrādātu tematu priekšmetu un raksturlielumus.</w:t>
      </w:r>
    </w:p>
    <w:p w:rsidR="00132BAA" w:rsidRDefault="00B31A4A">
      <w:pPr>
        <w:pStyle w:val="ManualNumPar1"/>
        <w:rPr>
          <w:noProof/>
        </w:rPr>
      </w:pPr>
      <w:r>
        <w:t>5.</w:t>
      </w:r>
      <w:r>
        <w:tab/>
      </w:r>
      <w:r>
        <w:rPr>
          <w:noProof/>
        </w:rPr>
        <w:t>Īstenojot savas pilnvaras pieņemt deleģētos aktus, Komisija nodrošina, ka tiek ievēroti šādi trīs nosacījumi:</w:t>
      </w:r>
    </w:p>
    <w:p w:rsidR="00132BAA" w:rsidRDefault="00B31A4A">
      <w:pPr>
        <w:pStyle w:val="Point1letter"/>
        <w:numPr>
          <w:ilvl w:val="3"/>
          <w:numId w:val="34"/>
        </w:numPr>
        <w:rPr>
          <w:noProof/>
        </w:rPr>
      </w:pPr>
      <w:r>
        <w:rPr>
          <w:noProof/>
        </w:rPr>
        <w:t xml:space="preserve"> deleģētie akti ir vērs</w:t>
      </w:r>
      <w:r>
        <w:rPr>
          <w:noProof/>
        </w:rPr>
        <w:t>ti uz izmaksu un sloga neitralitāti vai samazināšanu un katrā ziņā nerada dalībvalstīm vai respondentiem ievērojamas papildu izmaksas vai slogu;</w:t>
      </w:r>
    </w:p>
    <w:p w:rsidR="00132BAA" w:rsidRDefault="00B31A4A">
      <w:pPr>
        <w:pStyle w:val="Point1letter"/>
        <w:numPr>
          <w:ilvl w:val="3"/>
          <w:numId w:val="23"/>
        </w:numPr>
        <w:rPr>
          <w:noProof/>
        </w:rPr>
      </w:pPr>
      <w:r>
        <w:rPr>
          <w:noProof/>
        </w:rPr>
        <w:t>spēkā esošajā deleģētajā aktā piecu secīgu gadu periodā papildina vai aizstāj ar citu sīki izstrādātu tematu at</w:t>
      </w:r>
      <w:r>
        <w:rPr>
          <w:noProof/>
        </w:rPr>
        <w:t>tiecībā uz tematisko jomu “īstermiņa uzņēmējdarbības statistika” ne vairāk kā vienu sīki izstrādātu tematu, attiecībā uz tematisko jomu “valsts līmeņa uzņēmējdarbības statistika” piecus sīki izstrādātus tematus, attiecībā uz tematisko jomu “reģionālā uzņēm</w:t>
      </w:r>
      <w:r>
        <w:rPr>
          <w:noProof/>
        </w:rPr>
        <w:t xml:space="preserve">ējdarbības statistika” divus sīki izstrādātus tematus un attiecībā uz tematisko jomu “statistika par starptautiskām darbībām” divus sīki izstrādātus tematus. Noteiktais maksimums neattiecas uz grozījumiem, kas izriet no nolīgumiem, līgumiem un konvencijām </w:t>
      </w:r>
      <w:r>
        <w:rPr>
          <w:noProof/>
        </w:rPr>
        <w:t>un citām starptautiskajām iestādēm, kurās Savienība ir locekle, un izmaiņām, kas izriet no nacionālo un reģionālo kontu uzskaites ietvaru izmaiņām saskaņā ar Regulu (ES) Nr. 549/2013 un maksājumu bilances statistikas saskaņā ar Regulu (EK) Nr. 184/2005. St</w:t>
      </w:r>
      <w:r>
        <w:rPr>
          <w:noProof/>
        </w:rPr>
        <w:t xml:space="preserve">arp diviem secīgiem pārskata periodiem dinamiskas uzņēmējdarbības statistikas sīki izstrādātu tematu raksturlielumu skaits būtiski nepieaug un nepārsniedz šīs regulas īstenošanas pirmā gada raksturlielumu skaitu; </w:t>
      </w:r>
    </w:p>
    <w:p w:rsidR="00132BAA" w:rsidRDefault="00B31A4A">
      <w:pPr>
        <w:pStyle w:val="Point1letter"/>
        <w:numPr>
          <w:ilvl w:val="3"/>
          <w:numId w:val="14"/>
        </w:numPr>
        <w:rPr>
          <w:noProof/>
        </w:rPr>
      </w:pPr>
      <w:r>
        <w:rPr>
          <w:noProof/>
        </w:rPr>
        <w:t xml:space="preserve"> deleģētos aktus pieņem vismaz 15 mēnešus </w:t>
      </w:r>
      <w:r>
        <w:rPr>
          <w:noProof/>
        </w:rPr>
        <w:t>pirms datu pārskata perioda beigām, izņemot attiecībā uz datiem tematos: “Inovācija” un “IKT izmantojums un e-komercija”, par kuriem deleģētos aktus pieņem attiecīgi vismaz sešus un divpadsmit mēnešus pirms datu pārskata perioda beigām.</w:t>
      </w:r>
    </w:p>
    <w:p w:rsidR="00132BAA" w:rsidRDefault="00B31A4A">
      <w:pPr>
        <w:pStyle w:val="Titrearticle"/>
        <w:rPr>
          <w:noProof/>
        </w:rPr>
      </w:pPr>
      <w:r>
        <w:rPr>
          <w:noProof/>
        </w:rPr>
        <w:t>7. pants</w:t>
      </w:r>
    </w:p>
    <w:p w:rsidR="00132BAA" w:rsidRDefault="00B31A4A">
      <w:pPr>
        <w:pStyle w:val="Titrearticle"/>
        <w:rPr>
          <w:noProof/>
        </w:rPr>
      </w:pPr>
      <w:r>
        <w:rPr>
          <w:noProof/>
        </w:rPr>
        <w:t>Datu prasī</w:t>
      </w:r>
      <w:r>
        <w:rPr>
          <w:noProof/>
        </w:rPr>
        <w:t>bu tehniskās specifikācijas</w:t>
      </w:r>
    </w:p>
    <w:p w:rsidR="00132BAA" w:rsidRDefault="00B31A4A">
      <w:pPr>
        <w:pStyle w:val="ManualNumPar1"/>
        <w:rPr>
          <w:noProof/>
        </w:rPr>
      </w:pPr>
      <w:r>
        <w:t>1.</w:t>
      </w:r>
      <w:r>
        <w:tab/>
      </w:r>
      <w:r>
        <w:rPr>
          <w:noProof/>
        </w:rPr>
        <w:t>Attiecībā sīki izstrādātajiem tematiem, kas uzskaitīti I pielikumā, dalībvalstis apkopo datus par katru sīki izstrādātu tematu. Komisija ir pilnvarota pieņemt īstenošanas aktus, lai sīkāk precizētu šādus ar šo regulu nosūtāmo</w:t>
      </w:r>
      <w:r>
        <w:rPr>
          <w:noProof/>
        </w:rPr>
        <w:t xml:space="preserve"> datu elementus, tehniskās definīcijas un vienkāršošanas pasākumus:</w:t>
      </w:r>
    </w:p>
    <w:p w:rsidR="00132BAA" w:rsidRDefault="00B31A4A">
      <w:pPr>
        <w:pStyle w:val="Point1letter"/>
        <w:numPr>
          <w:ilvl w:val="3"/>
          <w:numId w:val="36"/>
        </w:numPr>
        <w:rPr>
          <w:noProof/>
        </w:rPr>
      </w:pPr>
      <w:r>
        <w:rPr>
          <w:noProof/>
        </w:rPr>
        <w:t>mainīgie lielumi (izņemot sīki izstrādātus tematus – inovācija, IKT izmantojums un e-komercija un globālās vērtību ķēdes);</w:t>
      </w:r>
    </w:p>
    <w:p w:rsidR="00132BAA" w:rsidRDefault="00B31A4A">
      <w:pPr>
        <w:pStyle w:val="Point1letter"/>
        <w:rPr>
          <w:noProof/>
        </w:rPr>
      </w:pPr>
      <w:r>
        <w:rPr>
          <w:noProof/>
        </w:rPr>
        <w:t>statistikas vienība;</w:t>
      </w:r>
    </w:p>
    <w:p w:rsidR="00132BAA" w:rsidRDefault="00B31A4A">
      <w:pPr>
        <w:pStyle w:val="Point1letter"/>
        <w:rPr>
          <w:noProof/>
        </w:rPr>
      </w:pPr>
      <w:r>
        <w:rPr>
          <w:noProof/>
        </w:rPr>
        <w:t>mērvienība;</w:t>
      </w:r>
    </w:p>
    <w:p w:rsidR="00132BAA" w:rsidRDefault="00B31A4A">
      <w:pPr>
        <w:pStyle w:val="Point1letter"/>
        <w:rPr>
          <w:noProof/>
        </w:rPr>
      </w:pPr>
      <w:r>
        <w:rPr>
          <w:noProof/>
        </w:rPr>
        <w:t>pārskata periods;</w:t>
      </w:r>
    </w:p>
    <w:p w:rsidR="00132BAA" w:rsidRDefault="00B31A4A">
      <w:pPr>
        <w:pStyle w:val="Point1letter"/>
        <w:rPr>
          <w:noProof/>
        </w:rPr>
      </w:pPr>
      <w:r>
        <w:rPr>
          <w:noProof/>
        </w:rPr>
        <w:lastRenderedPageBreak/>
        <w:t>statistikas po</w:t>
      </w:r>
      <w:r>
        <w:rPr>
          <w:noProof/>
        </w:rPr>
        <w:t>pulācija (tostarp prasības attiecībā uz tirgus/ārpustirgus darbībām vai ražotājiem);</w:t>
      </w:r>
    </w:p>
    <w:p w:rsidR="00132BAA" w:rsidRDefault="00B31A4A">
      <w:pPr>
        <w:pStyle w:val="Point1letter"/>
        <w:rPr>
          <w:noProof/>
        </w:rPr>
      </w:pPr>
      <w:r>
        <w:rPr>
          <w:noProof/>
        </w:rPr>
        <w:t xml:space="preserve">klasifikācijas (tostarp, produktu, valstu un teritoriju, kā arī darījuma veidu saraksts) un dalījumi; </w:t>
      </w:r>
    </w:p>
    <w:p w:rsidR="00132BAA" w:rsidRDefault="00B31A4A">
      <w:pPr>
        <w:pStyle w:val="Point1letter"/>
        <w:rPr>
          <w:noProof/>
        </w:rPr>
      </w:pPr>
      <w:r>
        <w:rPr>
          <w:noProof/>
        </w:rPr>
        <w:t>atsevišķu ierakstu nosūtīšana pēc brīvprātības principa;</w:t>
      </w:r>
    </w:p>
    <w:p w:rsidR="00132BAA" w:rsidRDefault="00B31A4A">
      <w:pPr>
        <w:pStyle w:val="Point1letter"/>
        <w:rPr>
          <w:noProof/>
        </w:rPr>
      </w:pPr>
      <w:r>
        <w:rPr>
          <w:noProof/>
        </w:rPr>
        <w:t xml:space="preserve">tuvinājumu </w:t>
      </w:r>
      <w:r>
        <w:rPr>
          <w:noProof/>
        </w:rPr>
        <w:t>izmantošana un kvalitātes prasības;</w:t>
      </w:r>
    </w:p>
    <w:p w:rsidR="00132BAA" w:rsidRDefault="00B31A4A">
      <w:pPr>
        <w:pStyle w:val="Point1letter"/>
        <w:rPr>
          <w:noProof/>
        </w:rPr>
      </w:pPr>
      <w:r>
        <w:rPr>
          <w:noProof/>
        </w:rPr>
        <w:t>datu nosūtīšanas termiņš;</w:t>
      </w:r>
    </w:p>
    <w:p w:rsidR="00132BAA" w:rsidRDefault="00B31A4A">
      <w:pPr>
        <w:pStyle w:val="Point1letter"/>
        <w:rPr>
          <w:noProof/>
        </w:rPr>
      </w:pPr>
      <w:r>
        <w:rPr>
          <w:noProof/>
        </w:rPr>
        <w:t>pirmais pārskata periods;</w:t>
      </w:r>
    </w:p>
    <w:p w:rsidR="00132BAA" w:rsidRDefault="00B31A4A">
      <w:pPr>
        <w:pStyle w:val="Point1letter"/>
        <w:rPr>
          <w:noProof/>
        </w:rPr>
      </w:pPr>
      <w:r>
        <w:rPr>
          <w:noProof/>
        </w:rPr>
        <w:t>tematiskas jomas “īstermiņa uzņēmējdarbības statistika” svērums un bāzes gada maiņa;</w:t>
      </w:r>
    </w:p>
    <w:p w:rsidR="00132BAA" w:rsidRDefault="00B31A4A">
      <w:pPr>
        <w:pStyle w:val="Point1letter"/>
        <w:ind w:left="1440" w:hanging="590"/>
        <w:rPr>
          <w:noProof/>
        </w:rPr>
      </w:pPr>
      <w:r>
        <w:rPr>
          <w:noProof/>
        </w:rPr>
        <w:t>tehniskās specifikācijas par tematu “starptautiskā preču tirdzniecība”.</w:t>
      </w:r>
    </w:p>
    <w:p w:rsidR="00132BAA" w:rsidRDefault="00B31A4A">
      <w:pPr>
        <w:pStyle w:val="ManualNumPar1"/>
        <w:rPr>
          <w:noProof/>
        </w:rPr>
      </w:pPr>
      <w:r>
        <w:t>2.</w:t>
      </w:r>
      <w:r>
        <w:tab/>
      </w:r>
      <w:r>
        <w:rPr>
          <w:noProof/>
        </w:rPr>
        <w:t>Īstenojo</w:t>
      </w:r>
      <w:r>
        <w:rPr>
          <w:noProof/>
        </w:rPr>
        <w:t xml:space="preserve">t 1. punktā minētās pilnvaras attiecībā uz vienkāršošanu, saskaņā ar proporcionalitātes principu Komisija ņem vērā uzņēmuma lielumu un nozīmi nolūkā mazināt uzņēmumu slogu. Turklāt Komisija nodrošina, ka tiek sniegti ievaddati nacionālo un reģionālo kontu </w:t>
      </w:r>
      <w:r>
        <w:rPr>
          <w:noProof/>
        </w:rPr>
        <w:t>uzskaites ietvaru apkopošanai saskaņā ar Regulu (ES) Nr. 549/2013 un maksājumu bilances statistikai saskaņā ar Regulu (EK) Nr. 184/2005. Īstenošanas aktus, izņemot tos, kuri reglamentē šīs regulas sākotnējo īstenošanu, attiecībā uz I pielikumā minētajiem t</w:t>
      </w:r>
      <w:r>
        <w:rPr>
          <w:noProof/>
        </w:rPr>
        <w:t xml:space="preserve">ematiem pieņem vismaz 15 mēnešus pirms pārskata perioda beigām. Attiecībā uz tematiem “Inovācija” un “IKT izmantojums un e-komercija” īstenošanas aktus pieņem attiecīgi vismaz 6 un 12 mēnešus pirms datu pārskata perioda beigām. </w:t>
      </w:r>
    </w:p>
    <w:p w:rsidR="00132BAA" w:rsidRDefault="00B31A4A">
      <w:pPr>
        <w:pStyle w:val="ManualNumPar1"/>
        <w:rPr>
          <w:noProof/>
        </w:rPr>
      </w:pPr>
      <w:r>
        <w:t>3.</w:t>
      </w:r>
      <w:r>
        <w:tab/>
      </w:r>
      <w:r>
        <w:rPr>
          <w:noProof/>
        </w:rPr>
        <w:t>Šā panta 1. punktā minēt</w:t>
      </w:r>
      <w:r>
        <w:rPr>
          <w:noProof/>
        </w:rPr>
        <w:t>os īstenošanas aktus pieņem saskaņā ar 22. panta 2. punktā minēto pārbaudes procedūru.</w:t>
      </w:r>
    </w:p>
    <w:p w:rsidR="00132BAA" w:rsidRDefault="00B31A4A">
      <w:pPr>
        <w:pStyle w:val="ChapterTitle"/>
        <w:rPr>
          <w:noProof/>
        </w:rPr>
      </w:pPr>
      <w:r>
        <w:rPr>
          <w:noProof/>
        </w:rPr>
        <w:t xml:space="preserve">IV NODAĻA </w:t>
      </w:r>
    </w:p>
    <w:p w:rsidR="00132BAA" w:rsidRDefault="00B31A4A">
      <w:pPr>
        <w:pStyle w:val="ChapterTitle"/>
        <w:rPr>
          <w:noProof/>
        </w:rPr>
      </w:pPr>
      <w:r>
        <w:rPr>
          <w:noProof/>
        </w:rPr>
        <w:t>Uzņēmumu reģistri</w:t>
      </w:r>
    </w:p>
    <w:p w:rsidR="00132BAA" w:rsidRDefault="00B31A4A">
      <w:pPr>
        <w:pStyle w:val="Titrearticle"/>
        <w:rPr>
          <w:noProof/>
        </w:rPr>
      </w:pPr>
      <w:r>
        <w:rPr>
          <w:noProof/>
        </w:rPr>
        <w:t>8. pants</w:t>
      </w:r>
    </w:p>
    <w:p w:rsidR="00132BAA" w:rsidRDefault="00B31A4A">
      <w:pPr>
        <w:pStyle w:val="Titrearticle"/>
        <w:rPr>
          <w:noProof/>
        </w:rPr>
      </w:pPr>
      <w:r>
        <w:rPr>
          <w:noProof/>
        </w:rPr>
        <w:t xml:space="preserve">Eiropas statistisko uzņēmumu reģistru tīkls </w:t>
      </w:r>
    </w:p>
    <w:p w:rsidR="00132BAA" w:rsidRDefault="00B31A4A">
      <w:pPr>
        <w:pStyle w:val="ManualNumPar1"/>
        <w:rPr>
          <w:noProof/>
        </w:rPr>
      </w:pPr>
      <w:r>
        <w:t>1.</w:t>
      </w:r>
      <w:r>
        <w:tab/>
      </w:r>
      <w:r>
        <w:rPr>
          <w:noProof/>
        </w:rPr>
        <w:t>Komisija (</w:t>
      </w:r>
      <w:r>
        <w:rPr>
          <w:i/>
          <w:noProof/>
        </w:rPr>
        <w:t>Eurostat</w:t>
      </w:r>
      <w:r>
        <w:rPr>
          <w:noProof/>
        </w:rPr>
        <w:t>) Savienības līmenī statistikas nolūkiem izveido starptautisko uz</w:t>
      </w:r>
      <w:r>
        <w:rPr>
          <w:noProof/>
        </w:rPr>
        <w:t xml:space="preserve">ņēmumu grupu reģistru </w:t>
      </w:r>
      <w:r>
        <w:rPr>
          <w:i/>
          <w:noProof/>
        </w:rPr>
        <w:t>EuroGroups</w:t>
      </w:r>
      <w:r>
        <w:rPr>
          <w:noProof/>
        </w:rPr>
        <w:t xml:space="preserve">. </w:t>
      </w:r>
    </w:p>
    <w:p w:rsidR="00132BAA" w:rsidRDefault="00B31A4A">
      <w:pPr>
        <w:pStyle w:val="ManualNumPar1"/>
        <w:rPr>
          <w:noProof/>
        </w:rPr>
      </w:pPr>
      <w:r>
        <w:t>2.</w:t>
      </w:r>
      <w:r>
        <w:tab/>
      </w:r>
      <w:r>
        <w:rPr>
          <w:noProof/>
        </w:rPr>
        <w:t xml:space="preserve">Dalībvalstis valstu līmenī izveido vienu vai vairākus saskaņotus valstu statistiskos uzņēmumu reģistrus, kuri ir līdzeklis apsekojumu sagatavošanai un koordinācijai, kā arī informācijas avots uzņēmumu populācijas un </w:t>
      </w:r>
      <w:r>
        <w:rPr>
          <w:noProof/>
        </w:rPr>
        <w:t>uzņēmumu demogrāfijas statistikas analīzei, administratīvo datu izmantošanai un statistikas vienību noteikšanai un izveidei.</w:t>
      </w:r>
    </w:p>
    <w:p w:rsidR="00132BAA" w:rsidRDefault="00B31A4A">
      <w:pPr>
        <w:pStyle w:val="ManualNumPar1"/>
        <w:rPr>
          <w:noProof/>
        </w:rPr>
      </w:pPr>
      <w:r>
        <w:t>3.</w:t>
      </w:r>
      <w:r>
        <w:tab/>
      </w:r>
      <w:r>
        <w:rPr>
          <w:noProof/>
        </w:rPr>
        <w:t>Dalībvalstis un Komisija (</w:t>
      </w:r>
      <w:r>
        <w:rPr>
          <w:i/>
          <w:noProof/>
        </w:rPr>
        <w:t>Eurostat</w:t>
      </w:r>
      <w:r>
        <w:rPr>
          <w:noProof/>
        </w:rPr>
        <w:t>) apmainās ar datiem, kas nepieciešami Eiropas statistisko uzņēmumu reģistru tīkla vajadzībām,</w:t>
      </w:r>
      <w:r>
        <w:rPr>
          <w:noProof/>
        </w:rPr>
        <w:t xml:space="preserve"> kā noteikts 10. pantā.</w:t>
      </w:r>
    </w:p>
    <w:p w:rsidR="00132BAA" w:rsidRDefault="00B31A4A">
      <w:pPr>
        <w:pStyle w:val="ManualNumPar1"/>
        <w:rPr>
          <w:noProof/>
        </w:rPr>
      </w:pPr>
      <w:r>
        <w:t>4.</w:t>
      </w:r>
      <w:r>
        <w:tab/>
      </w:r>
      <w:r>
        <w:rPr>
          <w:noProof/>
        </w:rPr>
        <w:t xml:space="preserve">Valstu statistiskie uzņēmumu reģistri un </w:t>
      </w:r>
      <w:r>
        <w:rPr>
          <w:i/>
          <w:noProof/>
        </w:rPr>
        <w:t>EuroGroups</w:t>
      </w:r>
      <w:r>
        <w:rPr>
          <w:noProof/>
        </w:rPr>
        <w:t xml:space="preserve"> reģistrs ir autoritatīvs avots nolūkā Eiropas statistikas sagatavošanai iegūt augstas kvalitātes, saskaņotas un koordinētas reģistru populācijas saskaņā ar šīs regulas 16. pantu</w:t>
      </w:r>
      <w:r>
        <w:rPr>
          <w:noProof/>
        </w:rPr>
        <w:t xml:space="preserve">. </w:t>
      </w:r>
    </w:p>
    <w:p w:rsidR="00132BAA" w:rsidRDefault="00B31A4A">
      <w:pPr>
        <w:pStyle w:val="Text1"/>
        <w:rPr>
          <w:noProof/>
        </w:rPr>
      </w:pPr>
      <w:r>
        <w:rPr>
          <w:noProof/>
        </w:rPr>
        <w:lastRenderedPageBreak/>
        <w:t xml:space="preserve">Valstu statistiskie uzņēmumu reģistri ir autoritatīvs valsts reģistru populāciju avots. </w:t>
      </w:r>
      <w:r>
        <w:rPr>
          <w:i/>
          <w:noProof/>
        </w:rPr>
        <w:t>EuroGroups</w:t>
      </w:r>
      <w:r>
        <w:rPr>
          <w:noProof/>
        </w:rPr>
        <w:t xml:space="preserve"> reģistrs ir autoritatīvs Eiropas Statistikas sistēmas reģistru populāciju avots uzņēmējdarbības statistikai, attiecībā uz kuru ir nepieciešama pārrobežu i</w:t>
      </w:r>
      <w:r>
        <w:rPr>
          <w:noProof/>
        </w:rPr>
        <w:t>nformācijas koordinēšana.</w:t>
      </w:r>
    </w:p>
    <w:p w:rsidR="00132BAA" w:rsidRDefault="00B31A4A">
      <w:pPr>
        <w:pStyle w:val="Titrearticle"/>
        <w:rPr>
          <w:noProof/>
        </w:rPr>
      </w:pPr>
      <w:r>
        <w:rPr>
          <w:noProof/>
        </w:rPr>
        <w:t>9. pants</w:t>
      </w:r>
    </w:p>
    <w:p w:rsidR="00132BAA" w:rsidRDefault="00B31A4A">
      <w:pPr>
        <w:pStyle w:val="Titrearticle"/>
        <w:rPr>
          <w:noProof/>
        </w:rPr>
      </w:pPr>
      <w:r>
        <w:rPr>
          <w:noProof/>
        </w:rPr>
        <w:t>Eiropas statistisko uzņēmumu reģistru tīkla prasības</w:t>
      </w:r>
    </w:p>
    <w:p w:rsidR="00132BAA" w:rsidRDefault="00B31A4A">
      <w:pPr>
        <w:pStyle w:val="ManualNumPar1"/>
        <w:rPr>
          <w:noProof/>
        </w:rPr>
      </w:pPr>
      <w:r>
        <w:t>1.</w:t>
      </w:r>
      <w:r>
        <w:tab/>
      </w:r>
      <w:r>
        <w:rPr>
          <w:noProof/>
        </w:rPr>
        <w:t xml:space="preserve">Statistikas un juridiskajām vienībām, kas saskaņā ar 8. pantu ietilpst Eiropas statistisko uzņēmumu reģistru tīklā, ir raksturīgi šādi elementi, kas sīkāk precizēti </w:t>
      </w:r>
      <w:r>
        <w:rPr>
          <w:noProof/>
        </w:rPr>
        <w:t>III pielikumā:</w:t>
      </w:r>
    </w:p>
    <w:p w:rsidR="00132BAA" w:rsidRDefault="00B31A4A">
      <w:pPr>
        <w:pStyle w:val="Point1letter"/>
        <w:numPr>
          <w:ilvl w:val="3"/>
          <w:numId w:val="39"/>
        </w:numPr>
        <w:rPr>
          <w:noProof/>
        </w:rPr>
      </w:pPr>
      <w:r>
        <w:rPr>
          <w:noProof/>
        </w:rPr>
        <w:t>reģistra sīki izstrādāti temati un unikālais identifikators;</w:t>
      </w:r>
    </w:p>
    <w:p w:rsidR="00132BAA" w:rsidRDefault="00B31A4A">
      <w:pPr>
        <w:pStyle w:val="Point1letter"/>
        <w:rPr>
          <w:noProof/>
        </w:rPr>
      </w:pPr>
      <w:r>
        <w:rPr>
          <w:noProof/>
        </w:rPr>
        <w:t>grafiks un periodiskums.</w:t>
      </w:r>
    </w:p>
    <w:p w:rsidR="00132BAA" w:rsidRDefault="00B31A4A">
      <w:pPr>
        <w:pStyle w:val="ManualNumPar1"/>
        <w:rPr>
          <w:noProof/>
        </w:rPr>
      </w:pPr>
      <w:r>
        <w:t>2.</w:t>
      </w:r>
      <w:r>
        <w:tab/>
      </w:r>
      <w:r>
        <w:rPr>
          <w:noProof/>
        </w:rPr>
        <w:t>Komisija saskaņā ar 21. pantu ir pilnvarota pieņemt deleģētos aktus, lai grozītu reģistra sīki izstrādātus tematus, kas ietverti III pielikumā, ņemot vē</w:t>
      </w:r>
      <w:r>
        <w:rPr>
          <w:noProof/>
        </w:rPr>
        <w:t>rā attiecīgās tehniskās un ekonomiskas tendences un jaunas lietotāju vajadzības.</w:t>
      </w:r>
    </w:p>
    <w:p w:rsidR="00132BAA" w:rsidRDefault="00B31A4A">
      <w:pPr>
        <w:pStyle w:val="ManualNumPar1"/>
        <w:rPr>
          <w:noProof/>
        </w:rPr>
      </w:pPr>
      <w:r>
        <w:t>3.</w:t>
      </w:r>
      <w:r>
        <w:tab/>
      </w:r>
      <w:r>
        <w:rPr>
          <w:noProof/>
        </w:rPr>
        <w:t>Īstenojot savas pilnvaras grozīt pielikumu, Komisija nodrošina, ka tiek ievēroti šādi trīs nosacījumi:</w:t>
      </w:r>
    </w:p>
    <w:p w:rsidR="00132BAA" w:rsidRDefault="00B31A4A">
      <w:pPr>
        <w:pStyle w:val="Point1letter"/>
        <w:numPr>
          <w:ilvl w:val="3"/>
          <w:numId w:val="40"/>
        </w:numPr>
        <w:rPr>
          <w:noProof/>
        </w:rPr>
      </w:pPr>
      <w:r>
        <w:rPr>
          <w:noProof/>
        </w:rPr>
        <w:t>deleģētais akts nerada būtiskas papildu izmaksas vai slogu dalībvalst</w:t>
      </w:r>
      <w:r>
        <w:rPr>
          <w:noProof/>
        </w:rPr>
        <w:t xml:space="preserve">īm vai respondentiem; </w:t>
      </w:r>
    </w:p>
    <w:p w:rsidR="00132BAA" w:rsidRDefault="00B31A4A">
      <w:pPr>
        <w:pStyle w:val="Point1letter"/>
        <w:rPr>
          <w:noProof/>
        </w:rPr>
      </w:pPr>
      <w:r>
        <w:rPr>
          <w:noProof/>
        </w:rPr>
        <w:t>piecu gadus periodā ar deleģēto aktu tiek pievienots vai aizstāts ne vairāk kā viens sīki izstrādāts temats.</w:t>
      </w:r>
    </w:p>
    <w:p w:rsidR="00132BAA" w:rsidRDefault="00B31A4A">
      <w:pPr>
        <w:pStyle w:val="ManualNumPar1"/>
        <w:rPr>
          <w:noProof/>
        </w:rPr>
      </w:pPr>
      <w:r>
        <w:t>4.</w:t>
      </w:r>
      <w:r>
        <w:tab/>
      </w:r>
      <w:r>
        <w:rPr>
          <w:noProof/>
        </w:rPr>
        <w:t xml:space="preserve">Komisija ir pilnvarota pieņemt īstenošanas aktus saskaņā ar pārbaudes procedūru, kas minēta 22. panta 2. punktā, lai </w:t>
      </w:r>
      <w:r>
        <w:rPr>
          <w:noProof/>
        </w:rPr>
        <w:t>sīkāk precizētu katra reģistra sīki izstrādāta temata raksturojošo informāciju.</w:t>
      </w:r>
    </w:p>
    <w:p w:rsidR="00132BAA" w:rsidRDefault="00B31A4A">
      <w:pPr>
        <w:pStyle w:val="Titrearticle"/>
        <w:rPr>
          <w:noProof/>
        </w:rPr>
      </w:pPr>
      <w:r>
        <w:rPr>
          <w:noProof/>
        </w:rPr>
        <w:t>10. pants</w:t>
      </w:r>
    </w:p>
    <w:p w:rsidR="00132BAA" w:rsidRDefault="00B31A4A">
      <w:pPr>
        <w:pStyle w:val="Titrearticle"/>
        <w:rPr>
          <w:noProof/>
        </w:rPr>
      </w:pPr>
      <w:r>
        <w:rPr>
          <w:noProof/>
        </w:rPr>
        <w:t xml:space="preserve">Konfidenciālu datu apmaiņa un piekļuve tiem Eiropas statistisko uzņēmumu reģistru tīkla nolūkiem </w:t>
      </w:r>
    </w:p>
    <w:p w:rsidR="00132BAA" w:rsidRDefault="00B31A4A">
      <w:pPr>
        <w:pStyle w:val="ManualNumPar1"/>
        <w:rPr>
          <w:noProof/>
        </w:rPr>
      </w:pPr>
      <w:r>
        <w:t>1.</w:t>
      </w:r>
      <w:r>
        <w:tab/>
      </w:r>
      <w:r>
        <w:rPr>
          <w:noProof/>
        </w:rPr>
        <w:t xml:space="preserve">Konfidenciālu datu apmaiņa starp dalībvalstīm notiek šādi. </w:t>
      </w:r>
    </w:p>
    <w:p w:rsidR="00132BAA" w:rsidRDefault="00B31A4A">
      <w:pPr>
        <w:pStyle w:val="Point1letter"/>
        <w:numPr>
          <w:ilvl w:val="3"/>
          <w:numId w:val="66"/>
        </w:numPr>
        <w:rPr>
          <w:noProof/>
        </w:rPr>
      </w:pPr>
      <w:r>
        <w:rPr>
          <w:noProof/>
        </w:rPr>
        <w:t>Konfi</w:t>
      </w:r>
      <w:r>
        <w:rPr>
          <w:noProof/>
        </w:rPr>
        <w:t xml:space="preserve">denciāla datu apmaiņa par starptautiskām uzņēmumu grupām un tām piederošajām vienībām atbilstoši 9. panta 4. punktam notiek vienīgi statistikas nolūkos starp dažādu dalībvalstu statistikas iestāžu darbiniekiem, kas piedalās </w:t>
      </w:r>
      <w:r>
        <w:rPr>
          <w:i/>
          <w:noProof/>
        </w:rPr>
        <w:t>EuroGroups</w:t>
      </w:r>
      <w:r>
        <w:rPr>
          <w:noProof/>
        </w:rPr>
        <w:t xml:space="preserve"> reģistra sagatavošanā</w:t>
      </w:r>
      <w:r>
        <w:rPr>
          <w:noProof/>
        </w:rPr>
        <w:t>, ja šī apmaiņa notiek, lai nodrošinātu informācijas par starptautiskām uzņēmumu grupām Savienībā kvalitāti. Šāda apmaiņa var notikt arī, lai mazinātu informācijas sniegšanas slogu.</w:t>
      </w:r>
    </w:p>
    <w:p w:rsidR="00132BAA" w:rsidRDefault="00B31A4A">
      <w:pPr>
        <w:pStyle w:val="Point1letter"/>
        <w:rPr>
          <w:noProof/>
        </w:rPr>
      </w:pPr>
      <w:r>
        <w:rPr>
          <w:noProof/>
        </w:rPr>
        <w:t>Ja apmaiņa notiek, lai nodrošinātu informācijas par starptautiskām uzņēmum</w:t>
      </w:r>
      <w:r>
        <w:rPr>
          <w:noProof/>
        </w:rPr>
        <w:t>u grupām Savienībā kvalitāti, valstu centrālās bankas vienīgi statistikas nolūkos var piedalīties konfidenciālu datu apmaiņā.</w:t>
      </w:r>
    </w:p>
    <w:p w:rsidR="00132BAA" w:rsidRDefault="00B31A4A">
      <w:pPr>
        <w:pStyle w:val="ManualNumPar1"/>
        <w:rPr>
          <w:noProof/>
        </w:rPr>
      </w:pPr>
      <w:r>
        <w:t>2.</w:t>
      </w:r>
      <w:r>
        <w:tab/>
      </w:r>
      <w:r>
        <w:rPr>
          <w:noProof/>
        </w:rPr>
        <w:t>Konfidenciālu datu apmaiņa starp Komisiju (</w:t>
      </w:r>
      <w:r>
        <w:rPr>
          <w:i/>
          <w:noProof/>
        </w:rPr>
        <w:t>Eurostat</w:t>
      </w:r>
      <w:r>
        <w:rPr>
          <w:noProof/>
        </w:rPr>
        <w:t>) un dalībvalstīm notiek šādi.</w:t>
      </w:r>
    </w:p>
    <w:p w:rsidR="00132BAA" w:rsidRDefault="00B31A4A">
      <w:pPr>
        <w:pStyle w:val="Point1letter"/>
        <w:numPr>
          <w:ilvl w:val="3"/>
          <w:numId w:val="42"/>
        </w:numPr>
        <w:rPr>
          <w:noProof/>
        </w:rPr>
      </w:pPr>
      <w:r>
        <w:rPr>
          <w:noProof/>
        </w:rPr>
        <w:t>Valstu statistikas iestādes Komisijai (</w:t>
      </w:r>
      <w:r>
        <w:rPr>
          <w:i/>
          <w:noProof/>
        </w:rPr>
        <w:t>Eurost</w:t>
      </w:r>
      <w:r>
        <w:rPr>
          <w:i/>
          <w:noProof/>
        </w:rPr>
        <w:t>at</w:t>
      </w:r>
      <w:r>
        <w:rPr>
          <w:noProof/>
        </w:rPr>
        <w:t xml:space="preserve">) nosūta datus par starptautiskām uzņēmumu grupām un tām piederošajām vienībām atbilstoši 9. panta </w:t>
      </w:r>
      <w:r>
        <w:rPr>
          <w:noProof/>
        </w:rPr>
        <w:lastRenderedPageBreak/>
        <w:t>4. punktam, lai vienīgi statistikas nolūkos sniegtu informāciju par starptautiskām uzņēmumu grupām Savienībā.</w:t>
      </w:r>
    </w:p>
    <w:p w:rsidR="00132BAA" w:rsidRDefault="00B31A4A">
      <w:pPr>
        <w:pStyle w:val="Point1letter"/>
        <w:rPr>
          <w:noProof/>
        </w:rPr>
      </w:pPr>
      <w:r>
        <w:rPr>
          <w:noProof/>
        </w:rPr>
        <w:t>Lai nodrošinātu datu konsekventu ierakstīšanu</w:t>
      </w:r>
      <w:r>
        <w:rPr>
          <w:noProof/>
        </w:rPr>
        <w:t>, Komisija (</w:t>
      </w:r>
      <w:r>
        <w:rPr>
          <w:i/>
          <w:noProof/>
        </w:rPr>
        <w:t>Eurostat</w:t>
      </w:r>
      <w:r>
        <w:rPr>
          <w:noProof/>
        </w:rPr>
        <w:t>) vienīgi statistikas nolūkos nosūta katras dalībvalsts attiecīgajām valstu statistikas iestādēm datus par starptautiskām uzņēmumu grupām, tostarp par tām piederošajām vienībām, ja vismaz viena vienība no šīs grupas atrodas minētajā dal</w:t>
      </w:r>
      <w:r>
        <w:rPr>
          <w:noProof/>
        </w:rPr>
        <w:t xml:space="preserve">ībvalstī. </w:t>
      </w:r>
    </w:p>
    <w:p w:rsidR="00132BAA" w:rsidRDefault="00B31A4A">
      <w:pPr>
        <w:pStyle w:val="Point1letter"/>
        <w:rPr>
          <w:noProof/>
        </w:rPr>
      </w:pPr>
      <w:r>
        <w:rPr>
          <w:noProof/>
        </w:rPr>
        <w:t xml:space="preserve">Lai </w:t>
      </w:r>
      <w:r>
        <w:rPr>
          <w:i/>
          <w:noProof/>
        </w:rPr>
        <w:t>EuroGroups</w:t>
      </w:r>
      <w:r>
        <w:rPr>
          <w:noProof/>
        </w:rPr>
        <w:t xml:space="preserve"> reģistra sagatavošanā nodrošinātu efektivitāti un augstu kvalitāti, Komisija (</w:t>
      </w:r>
      <w:r>
        <w:rPr>
          <w:i/>
          <w:noProof/>
        </w:rPr>
        <w:t>Eurostat</w:t>
      </w:r>
      <w:r>
        <w:rPr>
          <w:noProof/>
        </w:rPr>
        <w:t xml:space="preserve">) vienīgi statistikas nolūkos nosūta valstu statistikas iestāžu darbiniekiem, kas piedalās </w:t>
      </w:r>
      <w:r>
        <w:rPr>
          <w:i/>
          <w:noProof/>
        </w:rPr>
        <w:t>EuroGroups</w:t>
      </w:r>
      <w:r>
        <w:rPr>
          <w:noProof/>
        </w:rPr>
        <w:t xml:space="preserve"> reģistra sagatavošanā, datus par visām sta</w:t>
      </w:r>
      <w:r>
        <w:rPr>
          <w:noProof/>
        </w:rPr>
        <w:t xml:space="preserve">rptautiskām uzņēmumu grupām, kas reģistrētas </w:t>
      </w:r>
      <w:r>
        <w:rPr>
          <w:i/>
          <w:noProof/>
        </w:rPr>
        <w:t>EuroGroups</w:t>
      </w:r>
      <w:r>
        <w:rPr>
          <w:noProof/>
        </w:rPr>
        <w:t xml:space="preserve"> reģistrā, tostarp par tām piederošajām vienībām.</w:t>
      </w:r>
    </w:p>
    <w:p w:rsidR="00132BAA" w:rsidRDefault="00B31A4A">
      <w:pPr>
        <w:pStyle w:val="ManualNumPar1"/>
        <w:rPr>
          <w:noProof/>
        </w:rPr>
      </w:pPr>
      <w:r>
        <w:t>3.</w:t>
      </w:r>
      <w:r>
        <w:tab/>
      </w:r>
      <w:r>
        <w:rPr>
          <w:noProof/>
        </w:rPr>
        <w:t>Konfidenciālu datu apmaiņa starp Komisiju (</w:t>
      </w:r>
      <w:r>
        <w:rPr>
          <w:i/>
          <w:noProof/>
        </w:rPr>
        <w:t>Eurostat</w:t>
      </w:r>
      <w:r>
        <w:rPr>
          <w:noProof/>
        </w:rPr>
        <w:t>) un dalībvalstīm nolūkā noteikt juridiskās vienības notiek šādi.</w:t>
      </w:r>
    </w:p>
    <w:p w:rsidR="00132BAA" w:rsidRDefault="00B31A4A">
      <w:pPr>
        <w:pStyle w:val="Point1letter"/>
        <w:numPr>
          <w:ilvl w:val="3"/>
          <w:numId w:val="43"/>
        </w:numPr>
        <w:rPr>
          <w:noProof/>
        </w:rPr>
      </w:pPr>
      <w:r>
        <w:rPr>
          <w:noProof/>
        </w:rPr>
        <w:t>Valstu statistikas iestādes nos</w:t>
      </w:r>
      <w:r>
        <w:rPr>
          <w:noProof/>
        </w:rPr>
        <w:t>ūta Komisijai (</w:t>
      </w:r>
      <w:r>
        <w:rPr>
          <w:i/>
          <w:noProof/>
        </w:rPr>
        <w:t>Eurostat</w:t>
      </w:r>
      <w:r>
        <w:rPr>
          <w:noProof/>
        </w:rPr>
        <w:t>) datus par reģistrētām juridiskām vienībām atbilstoši 9. panta 4. punktam vienīgi Savienības juridisko vienību unikālas identifikācijas nolūkā.</w:t>
      </w:r>
    </w:p>
    <w:p w:rsidR="00132BAA" w:rsidRDefault="00B31A4A">
      <w:pPr>
        <w:pStyle w:val="Point1letter"/>
        <w:rPr>
          <w:noProof/>
        </w:rPr>
      </w:pPr>
      <w:r>
        <w:rPr>
          <w:noProof/>
        </w:rPr>
        <w:t xml:space="preserve">Lai </w:t>
      </w:r>
      <w:r>
        <w:rPr>
          <w:i/>
          <w:noProof/>
        </w:rPr>
        <w:t>EuroGroups</w:t>
      </w:r>
      <w:r>
        <w:rPr>
          <w:noProof/>
        </w:rPr>
        <w:t xml:space="preserve"> reģistru sagatavošanā nodrošinātu efektivitāti un augstu kvalitāti, Komis</w:t>
      </w:r>
      <w:r>
        <w:rPr>
          <w:noProof/>
        </w:rPr>
        <w:t>ija (</w:t>
      </w:r>
      <w:r>
        <w:rPr>
          <w:i/>
          <w:noProof/>
        </w:rPr>
        <w:t>Eurostat</w:t>
      </w:r>
      <w:r>
        <w:rPr>
          <w:noProof/>
        </w:rPr>
        <w:t>) katras dalībvalsts statistikas iestādēm nosūta datus par juridiskām vienībām atbilstoši 9. panta 4. punktam vienīgi Savienības juridisko vienību unikālas identifikācijas nolūkā.</w:t>
      </w:r>
    </w:p>
    <w:p w:rsidR="00132BAA" w:rsidRDefault="00B31A4A">
      <w:pPr>
        <w:pStyle w:val="ManualNumPar1"/>
        <w:rPr>
          <w:noProof/>
        </w:rPr>
      </w:pPr>
      <w:r>
        <w:t>4.</w:t>
      </w:r>
      <w:r>
        <w:tab/>
      </w:r>
      <w:r>
        <w:rPr>
          <w:noProof/>
        </w:rPr>
        <w:t>Konfidenciālu datu apmaiņa starp Komisiju (</w:t>
      </w:r>
      <w:r>
        <w:rPr>
          <w:i/>
          <w:noProof/>
        </w:rPr>
        <w:t>Eurostat</w:t>
      </w:r>
      <w:r>
        <w:rPr>
          <w:noProof/>
        </w:rPr>
        <w:t xml:space="preserve">) un </w:t>
      </w:r>
      <w:r>
        <w:rPr>
          <w:noProof/>
        </w:rPr>
        <w:t>centrālajām bankām notiek šādi.</w:t>
      </w:r>
    </w:p>
    <w:p w:rsidR="00132BAA" w:rsidRDefault="00B31A4A">
      <w:pPr>
        <w:pStyle w:val="Text1"/>
        <w:rPr>
          <w:noProof/>
        </w:rPr>
      </w:pPr>
      <w:r>
        <w:rPr>
          <w:noProof/>
        </w:rPr>
        <w:t>Konfidenciālu datu apmaiņa var notikt vienīgi statistikas nolūkos starp Komisiju (</w:t>
      </w:r>
      <w:r>
        <w:rPr>
          <w:i/>
          <w:noProof/>
        </w:rPr>
        <w:t>Eurostat</w:t>
      </w:r>
      <w:r>
        <w:rPr>
          <w:noProof/>
        </w:rPr>
        <w:t>) un valstu centrālajām bankām, kā arī starp Komisiju (</w:t>
      </w:r>
      <w:r>
        <w:rPr>
          <w:i/>
          <w:noProof/>
        </w:rPr>
        <w:t>Eurostat</w:t>
      </w:r>
      <w:r>
        <w:rPr>
          <w:noProof/>
        </w:rPr>
        <w:t>) un Eiropas Centrālo banku, ja šī apmaiņa notiek, lai nodrošinātu info</w:t>
      </w:r>
      <w:r>
        <w:rPr>
          <w:noProof/>
        </w:rPr>
        <w:t xml:space="preserve">rmācijas par starptautiskām uzņēmumu grupām Savienībā kvalitāti, un ja apmaiņu skaidri atļauj attiecīgā valsts statistikas iestāde. </w:t>
      </w:r>
    </w:p>
    <w:p w:rsidR="00132BAA" w:rsidRDefault="00B31A4A">
      <w:pPr>
        <w:pStyle w:val="ManualNumPar1"/>
        <w:rPr>
          <w:noProof/>
        </w:rPr>
      </w:pPr>
      <w:r>
        <w:t>5.</w:t>
      </w:r>
      <w:r>
        <w:tab/>
      </w:r>
      <w:r>
        <w:rPr>
          <w:noProof/>
        </w:rPr>
        <w:t>Atbilstoši 22. panta 2. punktā minētajai pārbaudes procedūrai, lai nodrošinātu, ka saskaņā ar šo pantu nosūtītie dati ti</w:t>
      </w:r>
      <w:r>
        <w:rPr>
          <w:noProof/>
        </w:rPr>
        <w:t>ek izmantoti vienīgi statistikas nolūkā, Komisija ir pilnvarota pieņemt īstenošanas aktus, ar kuriem nosaka formātu, drošības un konfidencialitātes pasākumus attiecībā uz šādiem datiem, kā arī procedūru datu apmaiņai.</w:t>
      </w:r>
    </w:p>
    <w:p w:rsidR="00132BAA" w:rsidRDefault="00B31A4A">
      <w:pPr>
        <w:pStyle w:val="ManualNumPar1"/>
        <w:rPr>
          <w:noProof/>
        </w:rPr>
      </w:pPr>
      <w:r>
        <w:t>6.</w:t>
      </w:r>
      <w:r>
        <w:tab/>
      </w:r>
      <w:r>
        <w:rPr>
          <w:noProof/>
        </w:rPr>
        <w:t>Komisija (</w:t>
      </w:r>
      <w:r>
        <w:rPr>
          <w:i/>
          <w:noProof/>
        </w:rPr>
        <w:t>Eurostat</w:t>
      </w:r>
      <w:r>
        <w:rPr>
          <w:noProof/>
        </w:rPr>
        <w:t>), valstu statist</w:t>
      </w:r>
      <w:r>
        <w:rPr>
          <w:noProof/>
        </w:rPr>
        <w:t>ikas iestādes, valstu centrālās bankas un Eiropas Centrālā banka, saskaņā ar šo pantu saņemot konfidenciālus datus par vienībām, kas atrodas to valsts teritorijā vai ārpus tās, rīkojas ar šo informāciju kā ar konfidenciālu saskaņā ar Regulu (EK) Nr. 223/20</w:t>
      </w:r>
      <w:r>
        <w:rPr>
          <w:noProof/>
        </w:rPr>
        <w:t>09.</w:t>
      </w:r>
    </w:p>
    <w:p w:rsidR="00132BAA" w:rsidRDefault="00B31A4A">
      <w:pPr>
        <w:pStyle w:val="Text1"/>
        <w:rPr>
          <w:noProof/>
        </w:rPr>
      </w:pPr>
      <w:r>
        <w:rPr>
          <w:noProof/>
        </w:rPr>
        <w:t>Konfidenciālu datu nosūtīšanu starp valstu statistikas iestādēm un Komisiju (</w:t>
      </w:r>
      <w:r>
        <w:rPr>
          <w:i/>
          <w:noProof/>
        </w:rPr>
        <w:t>Eurostat</w:t>
      </w:r>
      <w:r>
        <w:rPr>
          <w:noProof/>
        </w:rPr>
        <w:t>) īsteno tiktāl, ciktāl šāda nosūtīšana ir vajadzīga Eiropas statistikas sagatavošanai. Jebkuru citu datu nosūtīšanai ir jāsaņem skaidra atļauja no valsts iestādes, ka</w:t>
      </w:r>
      <w:r>
        <w:rPr>
          <w:noProof/>
        </w:rPr>
        <w:t>s ir savākusi attiecīgos datus.</w:t>
      </w:r>
    </w:p>
    <w:p w:rsidR="00132BAA" w:rsidRDefault="00B31A4A">
      <w:pPr>
        <w:pStyle w:val="ChapterTitle"/>
        <w:rPr>
          <w:noProof/>
        </w:rPr>
      </w:pPr>
      <w:r>
        <w:rPr>
          <w:noProof/>
        </w:rPr>
        <w:lastRenderedPageBreak/>
        <w:t xml:space="preserve">V NODAĻA </w:t>
      </w:r>
    </w:p>
    <w:p w:rsidR="00132BAA" w:rsidRDefault="00B31A4A">
      <w:pPr>
        <w:pStyle w:val="ChapterTitle"/>
        <w:rPr>
          <w:noProof/>
        </w:rPr>
      </w:pPr>
      <w:r>
        <w:rPr>
          <w:noProof/>
        </w:rPr>
        <w:t>KONFIDENCIĀLU DATU APMAIŅA SAVIENĪBAS IEKŠĒJĀS PREČU TIRDZNIECĪBAS STATISTIKAS NOLŪKIEM</w:t>
      </w:r>
    </w:p>
    <w:p w:rsidR="00132BAA" w:rsidRDefault="00B31A4A">
      <w:pPr>
        <w:pStyle w:val="Titrearticle"/>
        <w:rPr>
          <w:noProof/>
        </w:rPr>
      </w:pPr>
      <w:r>
        <w:rPr>
          <w:noProof/>
        </w:rPr>
        <w:t>11. pants</w:t>
      </w:r>
    </w:p>
    <w:p w:rsidR="00132BAA" w:rsidRDefault="00B31A4A">
      <w:pPr>
        <w:pStyle w:val="Titrearticle"/>
        <w:rPr>
          <w:noProof/>
        </w:rPr>
      </w:pPr>
      <w:r>
        <w:rPr>
          <w:noProof/>
        </w:rPr>
        <w:t>Konfidenciālu datu apmaiņa</w:t>
      </w:r>
    </w:p>
    <w:p w:rsidR="00132BAA" w:rsidRDefault="00B31A4A">
      <w:pPr>
        <w:pStyle w:val="ManualNumPar1"/>
        <w:rPr>
          <w:noProof/>
        </w:rPr>
      </w:pPr>
      <w:r>
        <w:t>1.</w:t>
      </w:r>
      <w:r>
        <w:tab/>
      </w:r>
      <w:r>
        <w:rPr>
          <w:noProof/>
        </w:rPr>
        <w:t>Konfidenciālu datu par Savienības iekšējo preču eksportu apmaiņa notiek vienīgi statis</w:t>
      </w:r>
      <w:r>
        <w:rPr>
          <w:noProof/>
        </w:rPr>
        <w:t>tikas nolūkos starp dalībvalstu statistikas iestādēm, kas piedalās Savienības iekšējo preču tirdzniecības statistikas izstrādē, sagatavošanā un izplatīšanā.</w:t>
      </w:r>
    </w:p>
    <w:p w:rsidR="00132BAA" w:rsidRDefault="00B31A4A">
      <w:pPr>
        <w:pStyle w:val="Text1"/>
        <w:rPr>
          <w:noProof/>
        </w:rPr>
      </w:pPr>
      <w:r>
        <w:rPr>
          <w:noProof/>
        </w:rPr>
        <w:t>Datu prasību tehniskās specifikācijas, kas minētas 7. panta 1. un 2. punktā, attiecas arī uz konfid</w:t>
      </w:r>
      <w:r>
        <w:rPr>
          <w:noProof/>
        </w:rPr>
        <w:t>enciālu datu apmaiņu, kuru īsteno saskaņā ar šo nodaļu.</w:t>
      </w:r>
    </w:p>
    <w:p w:rsidR="00132BAA" w:rsidRDefault="00B31A4A">
      <w:pPr>
        <w:pStyle w:val="ManualNumPar1"/>
        <w:rPr>
          <w:noProof/>
        </w:rPr>
      </w:pPr>
      <w:r>
        <w:t>2.</w:t>
      </w:r>
      <w:r>
        <w:tab/>
      </w:r>
      <w:r>
        <w:rPr>
          <w:noProof/>
        </w:rPr>
        <w:t>Eksporta dalībvalsts statistikas iestāde sniedz importa dalībvalsts statistikas iestādei statistikas informāciju par Savienības iekšējo preču eksportu uz minēto dalībvalsti, kā noteikts 12. pantā.</w:t>
      </w:r>
    </w:p>
    <w:p w:rsidR="00132BAA" w:rsidRDefault="00B31A4A">
      <w:pPr>
        <w:pStyle w:val="ManualNumPar1"/>
        <w:rPr>
          <w:noProof/>
        </w:rPr>
      </w:pPr>
      <w:r>
        <w:t>3.</w:t>
      </w:r>
      <w:r>
        <w:tab/>
      </w:r>
      <w:r>
        <w:rPr>
          <w:noProof/>
        </w:rPr>
        <w:t>Eksporta dalībvalsts statistikas iestāde sniedz importa dalībvalsts statistikas iestādei metadatus, kas ir būtiski nosūtīto datu izmantošanai statistikas apkopošanā.</w:t>
      </w:r>
    </w:p>
    <w:p w:rsidR="00132BAA" w:rsidRDefault="00B31A4A">
      <w:pPr>
        <w:pStyle w:val="ManualNumPar1"/>
        <w:rPr>
          <w:noProof/>
        </w:rPr>
      </w:pPr>
      <w:r>
        <w:t>4.</w:t>
      </w:r>
      <w:r>
        <w:tab/>
      </w:r>
      <w:r>
        <w:rPr>
          <w:noProof/>
        </w:rPr>
        <w:t>Atbilstoši 22. panta 2. punktā minētajai pārbaudes procedūrai Komisija ir pilnvarota</w:t>
      </w:r>
      <w:r>
        <w:rPr>
          <w:noProof/>
        </w:rPr>
        <w:t xml:space="preserve"> pieņemt īstenošanas aktus, lai precizētu informāciju, ko uzskata par 3. punktā minētajiem būtiskajiem metadatiem, kā arī šīs informācijas sniegšanas grafiku un 2. punktā minēto statistikas informāciju.</w:t>
      </w:r>
    </w:p>
    <w:p w:rsidR="00132BAA" w:rsidRDefault="00B31A4A">
      <w:pPr>
        <w:pStyle w:val="ManualNumPar1"/>
        <w:rPr>
          <w:noProof/>
        </w:rPr>
      </w:pPr>
      <w:r>
        <w:t>5.</w:t>
      </w:r>
      <w:r>
        <w:tab/>
      </w:r>
      <w:r>
        <w:rPr>
          <w:noProof/>
        </w:rPr>
        <w:t>Pēc eksporta dalībvalsts statistikas iestādes piep</w:t>
      </w:r>
      <w:r>
        <w:rPr>
          <w:noProof/>
        </w:rPr>
        <w:t>rasījuma importa dalībvalsts var sniegt eksporta dalībvalsts statistikas iestādei savāktos mikrodatus par Savienības iekšējo preču importu no minētās eksporta dalībvalsts.</w:t>
      </w:r>
    </w:p>
    <w:p w:rsidR="00132BAA" w:rsidRDefault="00B31A4A">
      <w:pPr>
        <w:pStyle w:val="Titrearticle"/>
        <w:rPr>
          <w:noProof/>
        </w:rPr>
      </w:pPr>
      <w:r>
        <w:rPr>
          <w:noProof/>
        </w:rPr>
        <w:t>12. pants</w:t>
      </w:r>
    </w:p>
    <w:p w:rsidR="00132BAA" w:rsidRDefault="00B31A4A">
      <w:pPr>
        <w:pStyle w:val="Titrearticle"/>
        <w:rPr>
          <w:noProof/>
        </w:rPr>
      </w:pPr>
      <w:r>
        <w:rPr>
          <w:noProof/>
        </w:rPr>
        <w:t>Apmaiņai paredzētā statistikas informācija</w:t>
      </w:r>
    </w:p>
    <w:p w:rsidR="00132BAA" w:rsidRDefault="00B31A4A">
      <w:pPr>
        <w:pStyle w:val="ManualNumPar1"/>
        <w:rPr>
          <w:noProof/>
        </w:rPr>
      </w:pPr>
      <w:r>
        <w:t>1.</w:t>
      </w:r>
      <w:r>
        <w:tab/>
      </w:r>
      <w:r>
        <w:rPr>
          <w:noProof/>
        </w:rPr>
        <w:t xml:space="preserve">Regulas 11. panta 2. punktā </w:t>
      </w:r>
      <w:r>
        <w:rPr>
          <w:noProof/>
        </w:rPr>
        <w:t>minētā informācija ietver:</w:t>
      </w:r>
    </w:p>
    <w:p w:rsidR="00132BAA" w:rsidRDefault="00B31A4A">
      <w:pPr>
        <w:pStyle w:val="Point1letter"/>
        <w:numPr>
          <w:ilvl w:val="3"/>
          <w:numId w:val="45"/>
        </w:numPr>
        <w:rPr>
          <w:noProof/>
        </w:rPr>
      </w:pPr>
      <w:r>
        <w:rPr>
          <w:noProof/>
        </w:rPr>
        <w:t>mikrodatus, kas savākti apsekojumos,</w:t>
      </w:r>
    </w:p>
    <w:p w:rsidR="00132BAA" w:rsidRDefault="00B31A4A">
      <w:pPr>
        <w:pStyle w:val="Point1letter"/>
        <w:rPr>
          <w:noProof/>
        </w:rPr>
      </w:pPr>
      <w:r>
        <w:rPr>
          <w:noProof/>
        </w:rPr>
        <w:t>apkopotus statistikas datus par konkrētām precēm vai preču apriti no citiem datu avotiem, kas nav apsekojumi, un</w:t>
      </w:r>
    </w:p>
    <w:p w:rsidR="00132BAA" w:rsidRDefault="00B31A4A">
      <w:pPr>
        <w:pStyle w:val="Point1letter"/>
        <w:rPr>
          <w:noProof/>
        </w:rPr>
      </w:pPr>
      <w:r>
        <w:rPr>
          <w:noProof/>
        </w:rPr>
        <w:t>datus, kas apkopoti, izmantojot muitas deklarācijā iekļautās ziņas.</w:t>
      </w:r>
    </w:p>
    <w:p w:rsidR="00132BAA" w:rsidRDefault="00B31A4A">
      <w:pPr>
        <w:pStyle w:val="ManualNumPar1"/>
        <w:rPr>
          <w:noProof/>
        </w:rPr>
      </w:pPr>
      <w:r>
        <w:t>2.</w:t>
      </w:r>
      <w:r>
        <w:tab/>
      </w:r>
      <w:r>
        <w:rPr>
          <w:noProof/>
        </w:rPr>
        <w:t>Statisti</w:t>
      </w:r>
      <w:r>
        <w:rPr>
          <w:noProof/>
        </w:rPr>
        <w:t>kas informācija, kas minēta 11. panta 2. punktā, aptver vismaz 95 % no kopējā Savienības iekšējā preču eksporta vērtības, proti, no katras dalībvalsts eksporta uz visām pārējām dalībvalstīm kopā.</w:t>
      </w:r>
    </w:p>
    <w:p w:rsidR="00132BAA" w:rsidRDefault="00B31A4A">
      <w:pPr>
        <w:pStyle w:val="Text2"/>
        <w:ind w:left="851"/>
        <w:rPr>
          <w:noProof/>
        </w:rPr>
      </w:pPr>
      <w:r>
        <w:rPr>
          <w:noProof/>
        </w:rPr>
        <w:t>Komisija saskaņā ar 21. pantu tiek pilnvarota pieņemt deleģē</w:t>
      </w:r>
      <w:r>
        <w:rPr>
          <w:noProof/>
        </w:rPr>
        <w:t>tos aktus, lai grozītu šo regulu, sašaurinot minēto tvērumu, ņemot vērā tehniskās un ekonomiskās tendences, vienlaikus nodrošinot statistiku, kas atbilst spēkā esošajiem kvalitātes standartiem.</w:t>
      </w:r>
    </w:p>
    <w:p w:rsidR="00132BAA" w:rsidRDefault="00B31A4A">
      <w:pPr>
        <w:pStyle w:val="ManualNumPar1"/>
        <w:rPr>
          <w:noProof/>
        </w:rPr>
      </w:pPr>
      <w:r>
        <w:t>3.</w:t>
      </w:r>
      <w:r>
        <w:tab/>
      </w:r>
      <w:r>
        <w:rPr>
          <w:noProof/>
        </w:rPr>
        <w:t>Komisija ir pilnvarota pieņemt īstenošanas aktus saskaņā ar</w:t>
      </w:r>
      <w:r>
        <w:rPr>
          <w:noProof/>
        </w:rPr>
        <w:t xml:space="preserve"> pārbaudes procedūru, kas minēta 22. panta 2. punktā, lai precizētu 1. punktā minētās informācijas vākšanas </w:t>
      </w:r>
      <w:r>
        <w:rPr>
          <w:noProof/>
        </w:rPr>
        <w:lastRenderedPageBreak/>
        <w:t>vai apkopošanas kārtību un sīkāk precizētu 2. punktā minēto tvēruma piemērošanas kārtību.</w:t>
      </w:r>
    </w:p>
    <w:p w:rsidR="00132BAA" w:rsidRDefault="00B31A4A">
      <w:pPr>
        <w:pStyle w:val="Titrearticle"/>
        <w:rPr>
          <w:noProof/>
        </w:rPr>
      </w:pPr>
      <w:r>
        <w:rPr>
          <w:noProof/>
        </w:rPr>
        <w:t>13. pants</w:t>
      </w:r>
    </w:p>
    <w:p w:rsidR="00132BAA" w:rsidRDefault="00B31A4A">
      <w:pPr>
        <w:pStyle w:val="Titrearticle"/>
        <w:rPr>
          <w:noProof/>
        </w:rPr>
      </w:pPr>
      <w:r>
        <w:rPr>
          <w:noProof/>
        </w:rPr>
        <w:t xml:space="preserve">Statistikas datu elementi </w:t>
      </w:r>
      <w:r>
        <w:rPr>
          <w:noProof/>
        </w:rPr>
        <w:br/>
      </w:r>
    </w:p>
    <w:p w:rsidR="00132BAA" w:rsidRDefault="00B31A4A">
      <w:pPr>
        <w:pStyle w:val="ManualNumPar1"/>
        <w:rPr>
          <w:noProof/>
        </w:rPr>
      </w:pPr>
      <w:r>
        <w:t>1.</w:t>
      </w:r>
      <w:r>
        <w:tab/>
      </w:r>
      <w:r>
        <w:rPr>
          <w:noProof/>
        </w:rPr>
        <w:t>Regulas 12. panta</w:t>
      </w:r>
      <w:r>
        <w:rPr>
          <w:noProof/>
        </w:rPr>
        <w:t xml:space="preserve"> 1. punkta a) apakšpunktā minētie mikrodati ietver šādus statistikas datu elementus:</w:t>
      </w:r>
    </w:p>
    <w:p w:rsidR="00132BAA" w:rsidRDefault="00B31A4A">
      <w:pPr>
        <w:pStyle w:val="Point1"/>
        <w:rPr>
          <w:noProof/>
        </w:rPr>
      </w:pPr>
      <w:r>
        <w:rPr>
          <w:noProof/>
        </w:rPr>
        <w:t>a)</w:t>
      </w:r>
      <w:r>
        <w:rPr>
          <w:noProof/>
        </w:rPr>
        <w:tab/>
        <w:t>individuāls identifikācijas numurs, kas piešķirts importa dalībvalsts ekonomikas dalībniekam, kas ir partneris, saskaņā ar Direktīvas 2006/112/EK 214. pantu</w:t>
      </w:r>
      <w:r>
        <w:rPr>
          <w:rStyle w:val="FootnoteReference"/>
          <w:noProof/>
        </w:rPr>
        <w:footnoteReference w:id="27"/>
      </w:r>
      <w:r>
        <w:rPr>
          <w:noProof/>
        </w:rPr>
        <w:t>;</w:t>
      </w:r>
    </w:p>
    <w:p w:rsidR="00132BAA" w:rsidRDefault="00B31A4A">
      <w:pPr>
        <w:pStyle w:val="Point1"/>
        <w:rPr>
          <w:noProof/>
        </w:rPr>
      </w:pPr>
      <w:r>
        <w:rPr>
          <w:noProof/>
        </w:rPr>
        <w:t>b)</w:t>
      </w:r>
      <w:r>
        <w:rPr>
          <w:noProof/>
        </w:rPr>
        <w:tab/>
        <w:t>pārska</w:t>
      </w:r>
      <w:r>
        <w:rPr>
          <w:noProof/>
        </w:rPr>
        <w:t>ta periods;</w:t>
      </w:r>
    </w:p>
    <w:p w:rsidR="00132BAA" w:rsidRDefault="00B31A4A">
      <w:pPr>
        <w:pStyle w:val="Point1"/>
        <w:rPr>
          <w:noProof/>
        </w:rPr>
      </w:pPr>
      <w:r>
        <w:rPr>
          <w:noProof/>
        </w:rPr>
        <w:t>c)</w:t>
      </w:r>
      <w:r>
        <w:rPr>
          <w:noProof/>
        </w:rPr>
        <w:tab/>
        <w:t>plūsma;</w:t>
      </w:r>
    </w:p>
    <w:p w:rsidR="00132BAA" w:rsidRDefault="00B31A4A">
      <w:pPr>
        <w:pStyle w:val="Point1"/>
        <w:rPr>
          <w:noProof/>
        </w:rPr>
      </w:pPr>
      <w:r>
        <w:rPr>
          <w:noProof/>
        </w:rPr>
        <w:t>d)</w:t>
      </w:r>
      <w:r>
        <w:rPr>
          <w:noProof/>
        </w:rPr>
        <w:tab/>
        <w:t>prece;</w:t>
      </w:r>
    </w:p>
    <w:p w:rsidR="00132BAA" w:rsidRDefault="00B31A4A">
      <w:pPr>
        <w:pStyle w:val="Point1"/>
        <w:rPr>
          <w:noProof/>
        </w:rPr>
      </w:pPr>
      <w:r>
        <w:rPr>
          <w:noProof/>
        </w:rPr>
        <w:t>e)</w:t>
      </w:r>
      <w:r>
        <w:rPr>
          <w:noProof/>
        </w:rPr>
        <w:tab/>
        <w:t>partnerdalībvalsts;</w:t>
      </w:r>
    </w:p>
    <w:p w:rsidR="00132BAA" w:rsidRDefault="00B31A4A">
      <w:pPr>
        <w:pStyle w:val="Point1"/>
        <w:rPr>
          <w:noProof/>
        </w:rPr>
      </w:pPr>
      <w:r>
        <w:rPr>
          <w:noProof/>
        </w:rPr>
        <w:t>f)</w:t>
      </w:r>
      <w:r>
        <w:rPr>
          <w:noProof/>
        </w:rPr>
        <w:tab/>
        <w:t>izcelsmes valsts;</w:t>
      </w:r>
    </w:p>
    <w:p w:rsidR="00132BAA" w:rsidRDefault="00B31A4A">
      <w:pPr>
        <w:pStyle w:val="Point1"/>
        <w:rPr>
          <w:noProof/>
        </w:rPr>
      </w:pPr>
      <w:r>
        <w:rPr>
          <w:noProof/>
        </w:rPr>
        <w:t>g)</w:t>
      </w:r>
      <w:r>
        <w:rPr>
          <w:noProof/>
        </w:rPr>
        <w:tab/>
        <w:t>preču vērtība;</w:t>
      </w:r>
    </w:p>
    <w:p w:rsidR="00132BAA" w:rsidRDefault="00B31A4A">
      <w:pPr>
        <w:pStyle w:val="Point1"/>
        <w:rPr>
          <w:noProof/>
        </w:rPr>
      </w:pPr>
      <w:r>
        <w:rPr>
          <w:noProof/>
        </w:rPr>
        <w:t>h)</w:t>
      </w:r>
      <w:r>
        <w:rPr>
          <w:noProof/>
        </w:rPr>
        <w:tab/>
        <w:t>preču daudzums;</w:t>
      </w:r>
    </w:p>
    <w:p w:rsidR="00132BAA" w:rsidRDefault="00B31A4A">
      <w:pPr>
        <w:pStyle w:val="Point1"/>
        <w:rPr>
          <w:noProof/>
        </w:rPr>
      </w:pPr>
      <w:r>
        <w:rPr>
          <w:noProof/>
        </w:rPr>
        <w:t>i)</w:t>
      </w:r>
      <w:r>
        <w:rPr>
          <w:noProof/>
        </w:rPr>
        <w:tab/>
        <w:t>darījuma veids.</w:t>
      </w:r>
    </w:p>
    <w:p w:rsidR="00132BAA" w:rsidRDefault="00B31A4A">
      <w:pPr>
        <w:pStyle w:val="Text1"/>
        <w:rPr>
          <w:noProof/>
        </w:rPr>
      </w:pPr>
      <w:r>
        <w:rPr>
          <w:noProof/>
        </w:rPr>
        <w:t xml:space="preserve">Regulas 12. panta 1. punkta a) apakšpunktā minētie mikrodati var ietvert pārvadājuma veidu, ja eksporta dalībvalsts ievāc </w:t>
      </w:r>
      <w:r>
        <w:rPr>
          <w:noProof/>
        </w:rPr>
        <w:t>šādus datus.</w:t>
      </w:r>
    </w:p>
    <w:p w:rsidR="00132BAA" w:rsidRDefault="00B31A4A">
      <w:pPr>
        <w:pStyle w:val="Text1"/>
        <w:rPr>
          <w:noProof/>
        </w:rPr>
      </w:pPr>
      <w:r>
        <w:rPr>
          <w:noProof/>
        </w:rPr>
        <w:t>Komisija ir pilnvarota pieņemt īstenošanas aktus saskaņā ar pārbaudes procedūru, kas minēta 22. panta 2. punktā, lai precizētu a) līdz i) punktā minētos statistikas datu elementus, kā arī precizētu to statistikas datu elementu sarakstu, ko pie</w:t>
      </w:r>
      <w:r>
        <w:rPr>
          <w:noProof/>
        </w:rPr>
        <w:t>mēro attiecībā uz konkrētām precēm vai apriti, un 12. panta 1. punkta b) un c) apakšpunktā minētajiem datiem, ko apkopo, izmantojot muitas deklarācijās sniegtās ziņas.</w:t>
      </w:r>
    </w:p>
    <w:p w:rsidR="00132BAA" w:rsidRDefault="00B31A4A">
      <w:pPr>
        <w:pStyle w:val="ManualNumPar1"/>
        <w:rPr>
          <w:noProof/>
        </w:rPr>
      </w:pPr>
      <w:r>
        <w:t>2.</w:t>
      </w:r>
      <w:r>
        <w:tab/>
      </w:r>
      <w:r>
        <w:rPr>
          <w:noProof/>
        </w:rPr>
        <w:t>Ievērojot konkrētus nosacījumus, kas atbilst kvalitātes prasībām, dalībvalstis var vi</w:t>
      </w:r>
      <w:r>
        <w:rPr>
          <w:noProof/>
        </w:rPr>
        <w:t>enkāršot par maziem atsevišķiem darījumiem sniedzamo informāciju ar noteikumu, ka šāda vienkāršošana neatstāj negatīvu ietekmi uz statistikas datu kvalitāti.</w:t>
      </w:r>
    </w:p>
    <w:p w:rsidR="00132BAA" w:rsidRDefault="00B31A4A">
      <w:pPr>
        <w:pStyle w:val="Text1"/>
        <w:ind w:left="851"/>
        <w:rPr>
          <w:noProof/>
        </w:rPr>
      </w:pPr>
      <w:r>
        <w:rPr>
          <w:noProof/>
        </w:rPr>
        <w:t xml:space="preserve">Īpašos gadījumos dalībvalstis var vākt ierobežotu 1. punktā noteikto statistikas datu elementu </w:t>
      </w:r>
      <w:r>
        <w:rPr>
          <w:noProof/>
        </w:rPr>
        <w:t>kopu vai vākt mazāk detalizētu informāciju, kas saistīta ar atsevišķiem datu elementiem.</w:t>
      </w:r>
    </w:p>
    <w:p w:rsidR="00132BAA" w:rsidRDefault="00B31A4A">
      <w:pPr>
        <w:pStyle w:val="Text1"/>
        <w:rPr>
          <w:noProof/>
        </w:rPr>
      </w:pPr>
      <w:r>
        <w:rPr>
          <w:noProof/>
        </w:rPr>
        <w:t>Komisija ir pilnvarota pieņemt īstenošanas aktus saskaņā ar pārbaudes procedūru, kas minēta 22. panta 2. punktā, lai precizētu šādu vienkāršošanu un maksimālo Savienīb</w:t>
      </w:r>
      <w:r>
        <w:rPr>
          <w:noProof/>
        </w:rPr>
        <w:t>as iekšējā eksporta apjomu, uz kuru šāda vienkāršošana ir attiecināma.</w:t>
      </w:r>
    </w:p>
    <w:p w:rsidR="00132BAA" w:rsidRDefault="00B31A4A">
      <w:pPr>
        <w:pStyle w:val="Titrearticle"/>
        <w:rPr>
          <w:noProof/>
        </w:rPr>
      </w:pPr>
      <w:r>
        <w:rPr>
          <w:noProof/>
        </w:rPr>
        <w:lastRenderedPageBreak/>
        <w:tab/>
        <w:t xml:space="preserve"> 14. pants</w:t>
      </w:r>
    </w:p>
    <w:p w:rsidR="00132BAA" w:rsidRDefault="00B31A4A">
      <w:pPr>
        <w:pStyle w:val="Titrearticle"/>
        <w:rPr>
          <w:noProof/>
        </w:rPr>
      </w:pPr>
      <w:r>
        <w:rPr>
          <w:noProof/>
        </w:rPr>
        <w:t>Datu apmaiņas rezultātā iegūto konfidenciālo datu aizsardzība</w:t>
      </w:r>
    </w:p>
    <w:p w:rsidR="00132BAA" w:rsidRDefault="00B31A4A">
      <w:pPr>
        <w:pStyle w:val="ManualNumPar1"/>
        <w:rPr>
          <w:noProof/>
        </w:rPr>
      </w:pPr>
      <w:r>
        <w:t>1.</w:t>
      </w:r>
      <w:r>
        <w:tab/>
      </w:r>
      <w:r>
        <w:rPr>
          <w:noProof/>
        </w:rPr>
        <w:t>Piemēro šādus konfidencialitātes noteikumus:</w:t>
      </w:r>
    </w:p>
    <w:p w:rsidR="00132BAA" w:rsidRDefault="00B31A4A">
      <w:pPr>
        <w:pStyle w:val="Point1letter"/>
        <w:numPr>
          <w:ilvl w:val="3"/>
          <w:numId w:val="49"/>
        </w:numPr>
        <w:rPr>
          <w:noProof/>
        </w:rPr>
      </w:pPr>
      <w:r>
        <w:rPr>
          <w:noProof/>
        </w:rPr>
        <w:t>Mikrodatu kopas, kas saistītas ar eksportētāju, kura lūgumu par</w:t>
      </w:r>
      <w:r>
        <w:rPr>
          <w:noProof/>
        </w:rPr>
        <w:t xml:space="preserve"> statistikas konfidencialitāti saskaņā ar 18. pantu eksporta dalībvalsts statistikas iestāde ir pieņēmusi, eksporta dalībvalsts statistikas iestāde sniedz importa dalībvalsts statistikas iestādei ar faktiskajām vērtībām un visiem 13. panta 1. punktā minēta</w:t>
      </w:r>
      <w:r>
        <w:rPr>
          <w:noProof/>
        </w:rPr>
        <w:t>jiem statistikas datu elementiem un ar norādi, ka šīs mikrodatu kopas ir konfidenciālas.</w:t>
      </w:r>
    </w:p>
    <w:p w:rsidR="00132BAA" w:rsidRDefault="00B31A4A">
      <w:pPr>
        <w:pStyle w:val="Point1letter"/>
        <w:numPr>
          <w:ilvl w:val="3"/>
          <w:numId w:val="23"/>
        </w:numPr>
        <w:rPr>
          <w:noProof/>
        </w:rPr>
      </w:pPr>
      <w:r>
        <w:rPr>
          <w:noProof/>
        </w:rPr>
        <w:t>Importa dalībvalsts statistikas iestāde var izmantot eksporta mikrodatu kopas, uz kurām attiecas konfidencialitāte, Savienības iekšējā importa statistikas rezultātu ap</w:t>
      </w:r>
      <w:r>
        <w:rPr>
          <w:noProof/>
        </w:rPr>
        <w:t>kopošanai. Ja importa dalībvalsts statistikas iestāde izmanto eksporta mikrodatu kopas, uz kurām attiecas konfidencialitāte, tā nodrošina, ka, izplatot Savienības iekšējā importa statistikas rezultātus, tā ievēro eksporta dalībvalsts statistikas iestādes n</w:t>
      </w:r>
      <w:r>
        <w:rPr>
          <w:noProof/>
        </w:rPr>
        <w:t>oteikto statistikas datu konfidencialitāti.</w:t>
      </w:r>
    </w:p>
    <w:p w:rsidR="00132BAA" w:rsidRDefault="00B31A4A">
      <w:pPr>
        <w:pStyle w:val="ManualNumPar1"/>
        <w:rPr>
          <w:noProof/>
        </w:rPr>
      </w:pPr>
      <w:r>
        <w:t>2.</w:t>
      </w:r>
      <w:r>
        <w:tab/>
      </w:r>
      <w:r>
        <w:rPr>
          <w:noProof/>
        </w:rPr>
        <w:t>Komisija saskaņā ar pārbaudes procedūru, kas minēta 22. panta 2. punktā, ir pilnvarota pieņemt īstenošanas aktus, lai nodrošinātu konfidenciālo datu aizsardzību, kas nosūtīti saskaņā ar šo nodaļu, precizējot š</w:t>
      </w:r>
      <w:r>
        <w:rPr>
          <w:noProof/>
        </w:rPr>
        <w:t>ādu datu formātu, drošības un konfidencialitātes pasākumus, tostarp 1. punkta noteikumu piemērošanas kārtību, kā arī procedūru datu apmaiņai.</w:t>
      </w:r>
    </w:p>
    <w:p w:rsidR="00132BAA" w:rsidRDefault="00B31A4A">
      <w:pPr>
        <w:pStyle w:val="ManualNumPar1"/>
        <w:rPr>
          <w:noProof/>
        </w:rPr>
      </w:pPr>
      <w:r>
        <w:t>3.</w:t>
      </w:r>
      <w:r>
        <w:tab/>
      </w:r>
      <w:r>
        <w:rPr>
          <w:noProof/>
        </w:rPr>
        <w:t xml:space="preserve">Dalībvalstis un Komisija veic atbilstīgus pasākumus, lai novērstu nosūtīto statistikas datu konfidencialitātes </w:t>
      </w:r>
      <w:r>
        <w:rPr>
          <w:noProof/>
        </w:rPr>
        <w:t>pārkāpumus un sodītu par tiem. Paredzētās sankcijas ir iedarbīgas, samērīgas un preventīvas.</w:t>
      </w:r>
    </w:p>
    <w:p w:rsidR="00132BAA" w:rsidRDefault="00B31A4A">
      <w:pPr>
        <w:pStyle w:val="Titrearticle"/>
        <w:rPr>
          <w:noProof/>
        </w:rPr>
      </w:pPr>
      <w:r>
        <w:rPr>
          <w:noProof/>
        </w:rPr>
        <w:t>15. pants</w:t>
      </w:r>
    </w:p>
    <w:p w:rsidR="00132BAA" w:rsidRDefault="00B31A4A">
      <w:pPr>
        <w:pStyle w:val="Titrearticle"/>
        <w:rPr>
          <w:noProof/>
        </w:rPr>
      </w:pPr>
      <w:r>
        <w:rPr>
          <w:noProof/>
        </w:rPr>
        <w:t>Piekļuve datu apmaiņas rezultātā iegūtajiem konfidenciālajiem datiem zinātniskās izpētes nolūkos</w:t>
      </w:r>
    </w:p>
    <w:p w:rsidR="00132BAA" w:rsidRDefault="00B31A4A">
      <w:pPr>
        <w:pStyle w:val="Text1"/>
        <w:ind w:left="142"/>
        <w:rPr>
          <w:noProof/>
        </w:rPr>
      </w:pPr>
      <w:r>
        <w:rPr>
          <w:noProof/>
        </w:rPr>
        <w:t>Piekļuvi nosūtītajiem konfidenciālajiem datiem var piešķ</w:t>
      </w:r>
      <w:r>
        <w:rPr>
          <w:noProof/>
        </w:rPr>
        <w:t>irt pētniekiem, kas veic statistikas analīzi zinātniskās izpētes nolūkos, saskaņā ar Regulas (EK) Nr. 223/2009 23. pantu. Ir nepieciešams saņemt atļauju no eksporta dalībvalsts statistikas iestādes, kura ir sniegusi datus.</w:t>
      </w:r>
    </w:p>
    <w:p w:rsidR="00132BAA" w:rsidRDefault="00B31A4A">
      <w:pPr>
        <w:pStyle w:val="ChapterTitle"/>
        <w:ind w:left="120"/>
        <w:rPr>
          <w:noProof/>
        </w:rPr>
      </w:pPr>
      <w:r>
        <w:rPr>
          <w:noProof/>
        </w:rPr>
        <w:t xml:space="preserve">VI NODAĻA </w:t>
      </w:r>
    </w:p>
    <w:p w:rsidR="00132BAA" w:rsidRDefault="00B31A4A">
      <w:pPr>
        <w:pStyle w:val="ChapterTitle"/>
        <w:ind w:left="120"/>
        <w:rPr>
          <w:noProof/>
        </w:rPr>
      </w:pPr>
      <w:r>
        <w:rPr>
          <w:noProof/>
        </w:rPr>
        <w:t xml:space="preserve">KVALITĀTE, NOSŪTĪŠANA </w:t>
      </w:r>
      <w:r>
        <w:rPr>
          <w:noProof/>
        </w:rPr>
        <w:t>UN IZPLATĪŠANA</w:t>
      </w:r>
    </w:p>
    <w:p w:rsidR="00132BAA" w:rsidRDefault="00B31A4A">
      <w:pPr>
        <w:pStyle w:val="Titrearticle"/>
        <w:rPr>
          <w:noProof/>
        </w:rPr>
      </w:pPr>
      <w:r>
        <w:rPr>
          <w:noProof/>
        </w:rPr>
        <w:t>16. pants</w:t>
      </w:r>
    </w:p>
    <w:p w:rsidR="00132BAA" w:rsidRDefault="00B31A4A">
      <w:pPr>
        <w:pStyle w:val="Titrearticle"/>
        <w:rPr>
          <w:noProof/>
        </w:rPr>
      </w:pPr>
      <w:r>
        <w:rPr>
          <w:noProof/>
        </w:rPr>
        <w:t xml:space="preserve">Kvalitāte </w:t>
      </w:r>
    </w:p>
    <w:p w:rsidR="00132BAA" w:rsidRDefault="00B31A4A">
      <w:pPr>
        <w:pStyle w:val="ManualNumPar1"/>
        <w:rPr>
          <w:noProof/>
        </w:rPr>
      </w:pPr>
      <w:r>
        <w:t>1.</w:t>
      </w:r>
      <w:r>
        <w:tab/>
      </w:r>
      <w:r>
        <w:rPr>
          <w:noProof/>
        </w:rPr>
        <w:t xml:space="preserve">Dalībvalstis veic visus vajadzīgos pasākumus, lai nodrošinātu nosūtītās Eiropas uzņēmējdarbības statistikas, valstu statistisko uzņēmumu reģistru un </w:t>
      </w:r>
      <w:r>
        <w:rPr>
          <w:i/>
          <w:noProof/>
        </w:rPr>
        <w:t>EuroGroups</w:t>
      </w:r>
      <w:r>
        <w:rPr>
          <w:noProof/>
        </w:rPr>
        <w:t xml:space="preserve"> reģistra kvalitāti.</w:t>
      </w:r>
    </w:p>
    <w:p w:rsidR="00132BAA" w:rsidRDefault="00B31A4A">
      <w:pPr>
        <w:pStyle w:val="ManualNumPar1"/>
        <w:rPr>
          <w:noProof/>
        </w:rPr>
      </w:pPr>
      <w:r>
        <w:lastRenderedPageBreak/>
        <w:t>2.</w:t>
      </w:r>
      <w:r>
        <w:tab/>
      </w:r>
      <w:r>
        <w:rPr>
          <w:noProof/>
        </w:rPr>
        <w:t>Šajā regulā piemēro Regulas (EK) N</w:t>
      </w:r>
      <w:r>
        <w:rPr>
          <w:noProof/>
        </w:rPr>
        <w:t>r. 223/2009 12. panta 1. punktā noteiktos kvalitātes kritērijus.</w:t>
      </w:r>
    </w:p>
    <w:p w:rsidR="00132BAA" w:rsidRDefault="00B31A4A">
      <w:pPr>
        <w:pStyle w:val="ManualNumPar1"/>
        <w:rPr>
          <w:noProof/>
        </w:rPr>
      </w:pPr>
      <w:r>
        <w:t>3.</w:t>
      </w:r>
      <w:r>
        <w:tab/>
      </w:r>
      <w:r>
        <w:rPr>
          <w:noProof/>
        </w:rPr>
        <w:t>Komisija (</w:t>
      </w:r>
      <w:r>
        <w:rPr>
          <w:i/>
          <w:noProof/>
        </w:rPr>
        <w:t>Eurostat</w:t>
      </w:r>
      <w:r>
        <w:rPr>
          <w:noProof/>
        </w:rPr>
        <w:t xml:space="preserve">) novērtē nosūtīto datu un metadatu kvalitāti. </w:t>
      </w:r>
    </w:p>
    <w:p w:rsidR="00132BAA" w:rsidRDefault="00B31A4A">
      <w:pPr>
        <w:pStyle w:val="ManualNumPar1"/>
        <w:rPr>
          <w:noProof/>
        </w:rPr>
      </w:pPr>
      <w:r>
        <w:t>4.</w:t>
      </w:r>
      <w:r>
        <w:tab/>
      </w:r>
      <w:r>
        <w:rPr>
          <w:noProof/>
        </w:rPr>
        <w:t>Šī panta nolūkos dalībvalstis nosūta:</w:t>
      </w:r>
    </w:p>
    <w:p w:rsidR="00132BAA" w:rsidRDefault="00B31A4A">
      <w:pPr>
        <w:pStyle w:val="Point1letter"/>
        <w:numPr>
          <w:ilvl w:val="3"/>
          <w:numId w:val="67"/>
        </w:numPr>
        <w:rPr>
          <w:noProof/>
        </w:rPr>
      </w:pPr>
      <w:r>
        <w:rPr>
          <w:noProof/>
        </w:rPr>
        <w:t xml:space="preserve"> gada kvalitātes un metadatu ziņojumus par nosūtītajiem datiem. Vairākgadu statis</w:t>
      </w:r>
      <w:r>
        <w:rPr>
          <w:noProof/>
        </w:rPr>
        <w:t>tikas gadījumā ziņojumu periodiskums ir tāds pats kā statistikas datiem;</w:t>
      </w:r>
    </w:p>
    <w:p w:rsidR="00132BAA" w:rsidRDefault="00B31A4A">
      <w:pPr>
        <w:pStyle w:val="Point1letter"/>
        <w:rPr>
          <w:noProof/>
        </w:rPr>
      </w:pPr>
      <w:r>
        <w:rPr>
          <w:noProof/>
        </w:rPr>
        <w:t xml:space="preserve"> gada kvalitātes un metadatu ziņojumus, kas saistīti ar valstu statistiskajiem uzņēmumu reģistriem. </w:t>
      </w:r>
    </w:p>
    <w:p w:rsidR="00132BAA" w:rsidRDefault="00B31A4A">
      <w:pPr>
        <w:pStyle w:val="ManualNumPar1"/>
        <w:rPr>
          <w:noProof/>
        </w:rPr>
      </w:pPr>
      <w:r>
        <w:t>5.</w:t>
      </w:r>
      <w:r>
        <w:tab/>
      </w:r>
      <w:r>
        <w:rPr>
          <w:noProof/>
        </w:rPr>
        <w:t>Komisija (</w:t>
      </w:r>
      <w:r>
        <w:rPr>
          <w:i/>
          <w:noProof/>
        </w:rPr>
        <w:t>Eurostat</w:t>
      </w:r>
      <w:r>
        <w:rPr>
          <w:noProof/>
        </w:rPr>
        <w:t>) sniedz dalībvalstīm gada metadatu un kvalitātes ziņojumus s</w:t>
      </w:r>
      <w:r>
        <w:rPr>
          <w:noProof/>
        </w:rPr>
        <w:t xml:space="preserve">aistībā ar </w:t>
      </w:r>
      <w:r>
        <w:rPr>
          <w:i/>
          <w:noProof/>
        </w:rPr>
        <w:t>EuroGroups</w:t>
      </w:r>
      <w:r>
        <w:rPr>
          <w:noProof/>
        </w:rPr>
        <w:t xml:space="preserve"> reģistru.</w:t>
      </w:r>
    </w:p>
    <w:p w:rsidR="00132BAA" w:rsidRDefault="00B31A4A">
      <w:pPr>
        <w:pStyle w:val="ManualNumPar1"/>
        <w:rPr>
          <w:noProof/>
        </w:rPr>
      </w:pPr>
      <w:r>
        <w:t>6.</w:t>
      </w:r>
      <w:r>
        <w:tab/>
      </w:r>
      <w:r>
        <w:rPr>
          <w:noProof/>
        </w:rPr>
        <w:t>Komisija ir pilnvarota pieņemt īstenošanas aktus, ar ko precizē metadatu un kvalitātes ziņojumu kārtību, saturu un nosūtīšanas termiņus. Šos īstenošanas aktus pieņem saskaņā ar 22. panta 2. punktā minēto pārbaudes procedū</w:t>
      </w:r>
      <w:r>
        <w:rPr>
          <w:noProof/>
        </w:rPr>
        <w:t>ru.</w:t>
      </w:r>
    </w:p>
    <w:p w:rsidR="00132BAA" w:rsidRDefault="00B31A4A">
      <w:pPr>
        <w:pStyle w:val="ManualNumPar1"/>
        <w:rPr>
          <w:noProof/>
        </w:rPr>
      </w:pPr>
      <w:r>
        <w:t>7.</w:t>
      </w:r>
      <w:r>
        <w:tab/>
      </w:r>
      <w:r>
        <w:rPr>
          <w:noProof/>
        </w:rPr>
        <w:t>Dalībvalstis iespējami drīz sniedz Komisijai (</w:t>
      </w:r>
      <w:r>
        <w:rPr>
          <w:i/>
          <w:noProof/>
        </w:rPr>
        <w:t>Eurostat</w:t>
      </w:r>
      <w:r>
        <w:rPr>
          <w:noProof/>
        </w:rPr>
        <w:t>) visu attiecīgo informāciju vai ziņas par izmaiņām attiecībā uz šīs regulas īstenošanu, kas varētu ietekmēt nosūtīto datu kvalitāti. Dalībvalstis informē Komisiju (</w:t>
      </w:r>
      <w:r>
        <w:rPr>
          <w:i/>
          <w:noProof/>
        </w:rPr>
        <w:t>Eurostat</w:t>
      </w:r>
      <w:r>
        <w:rPr>
          <w:noProof/>
        </w:rPr>
        <w:t xml:space="preserve">) par būtiskām </w:t>
      </w:r>
      <w:r>
        <w:rPr>
          <w:noProof/>
        </w:rPr>
        <w:t>metodikas vai citām izmaiņām, kas ietekmē valstu statistisko uzņēmumu reģistru kvalitāti. Šo informāciju sniedz cik vien ātri iespējams un ne vēlāk kā sešus mēnešus pēc tam, kad šādas izmaiņas stājušās spēkā.</w:t>
      </w:r>
    </w:p>
    <w:p w:rsidR="00132BAA" w:rsidRDefault="00B31A4A">
      <w:pPr>
        <w:pStyle w:val="ManualNumPar1"/>
        <w:rPr>
          <w:noProof/>
        </w:rPr>
      </w:pPr>
      <w:r>
        <w:t>8.</w:t>
      </w:r>
      <w:r>
        <w:tab/>
      </w:r>
      <w:r>
        <w:rPr>
          <w:noProof/>
        </w:rPr>
        <w:t>Pēc Komisijas (</w:t>
      </w:r>
      <w:r>
        <w:rPr>
          <w:i/>
          <w:noProof/>
        </w:rPr>
        <w:t>Eurostat</w:t>
      </w:r>
      <w:r>
        <w:rPr>
          <w:noProof/>
        </w:rPr>
        <w:t>) pieprasījuma dalībv</w:t>
      </w:r>
      <w:r>
        <w:rPr>
          <w:noProof/>
        </w:rPr>
        <w:t>alstis sniedz papildu informāciju, kas vajadzīga, lai novērtētu statistikas informācijas kvalitāti.</w:t>
      </w:r>
    </w:p>
    <w:p w:rsidR="00132BAA" w:rsidRDefault="00B31A4A">
      <w:pPr>
        <w:pStyle w:val="Titrearticle"/>
        <w:rPr>
          <w:noProof/>
        </w:rPr>
      </w:pPr>
      <w:r>
        <w:rPr>
          <w:noProof/>
        </w:rPr>
        <w:t>17. pants</w:t>
      </w:r>
    </w:p>
    <w:p w:rsidR="00132BAA" w:rsidRDefault="00B31A4A">
      <w:pPr>
        <w:pStyle w:val="Titrearticle"/>
        <w:rPr>
          <w:noProof/>
        </w:rPr>
      </w:pPr>
      <w:r>
        <w:rPr>
          <w:noProof/>
        </w:rPr>
        <w:t>Datu un metadatu nosūtīšana</w:t>
      </w:r>
    </w:p>
    <w:p w:rsidR="00132BAA" w:rsidRDefault="00B31A4A">
      <w:pPr>
        <w:pStyle w:val="ManualNumPar1"/>
        <w:rPr>
          <w:noProof/>
        </w:rPr>
      </w:pPr>
      <w:r>
        <w:t>1.</w:t>
      </w:r>
      <w:r>
        <w:tab/>
      </w:r>
      <w:r>
        <w:rPr>
          <w:noProof/>
        </w:rPr>
        <w:t>Dalībvalstis iesniedz Komisijai (</w:t>
      </w:r>
      <w:r>
        <w:rPr>
          <w:i/>
          <w:noProof/>
        </w:rPr>
        <w:t>Eurostat</w:t>
      </w:r>
      <w:r>
        <w:rPr>
          <w:noProof/>
        </w:rPr>
        <w:t>) datus un metadatus, kas paredzēti šajā regulā, ievērojot datu un metadat</w:t>
      </w:r>
      <w:r>
        <w:rPr>
          <w:noProof/>
        </w:rPr>
        <w:t>u apmaiņas standartus. Komisija ir pilnvarota pieņemt īstenošanas aktus saskaņā ar pārbaudes procedūru, kas minēta 22. panta 2. punktā, lai noteiktu šādus standartus, kā arī procedūru datu un metadatu nosūtīšanai. Ja nosūtītie dati ir konfidenciāli, faktis</w:t>
      </w:r>
      <w:r>
        <w:rPr>
          <w:noProof/>
        </w:rPr>
        <w:t>kās vērtības tiks nosūtītas ar norādi, ka uz minētajiem datiem attiecas konfidencialitāte un tos nevar izplatīt.</w:t>
      </w:r>
    </w:p>
    <w:p w:rsidR="00132BAA" w:rsidRDefault="00B31A4A">
      <w:pPr>
        <w:pStyle w:val="ManualNumPar1"/>
        <w:rPr>
          <w:noProof/>
        </w:rPr>
      </w:pPr>
      <w:r>
        <w:t>2.</w:t>
      </w:r>
      <w:r>
        <w:tab/>
      </w:r>
      <w:r>
        <w:rPr>
          <w:noProof/>
        </w:rPr>
        <w:t>Dalībvalstis veic valstu statistisko uzņēmumu reģistru statistisko analīzi un nosūta informāciju Komisijai (</w:t>
      </w:r>
      <w:r>
        <w:rPr>
          <w:i/>
          <w:noProof/>
        </w:rPr>
        <w:t>Eurostat</w:t>
      </w:r>
      <w:r>
        <w:rPr>
          <w:noProof/>
        </w:rPr>
        <w:t xml:space="preserve">), ievērojot formātu un procedūru, ko precizē īstenošanas aktos saskaņā ar 22. panta 2. punktā minēto pārbaudes procedūru. </w:t>
      </w:r>
    </w:p>
    <w:p w:rsidR="00132BAA" w:rsidRDefault="00B31A4A">
      <w:pPr>
        <w:pStyle w:val="ManualNumPar1"/>
        <w:rPr>
          <w:noProof/>
        </w:rPr>
      </w:pPr>
      <w:r>
        <w:t>3.</w:t>
      </w:r>
      <w:r>
        <w:tab/>
      </w:r>
      <w:r>
        <w:rPr>
          <w:noProof/>
        </w:rPr>
        <w:t>Dalībvalstis pēc pieprasījuma nosūta Komisijai (</w:t>
      </w:r>
      <w:r>
        <w:rPr>
          <w:i/>
          <w:noProof/>
        </w:rPr>
        <w:t>Eurostat</w:t>
      </w:r>
      <w:r>
        <w:rPr>
          <w:noProof/>
        </w:rPr>
        <w:t>) visu attiecīgo informāciju par šīs regulas īstenošanu dalībvalstīs.</w:t>
      </w:r>
    </w:p>
    <w:p w:rsidR="00132BAA" w:rsidRDefault="00B31A4A">
      <w:pPr>
        <w:pStyle w:val="Titrearticle"/>
        <w:rPr>
          <w:noProof/>
        </w:rPr>
      </w:pPr>
      <w:r>
        <w:rPr>
          <w:noProof/>
        </w:rPr>
        <w:t>18.</w:t>
      </w:r>
      <w:r>
        <w:rPr>
          <w:noProof/>
        </w:rPr>
        <w:t> pants</w:t>
      </w:r>
    </w:p>
    <w:p w:rsidR="00132BAA" w:rsidRDefault="00B31A4A">
      <w:pPr>
        <w:pStyle w:val="Titrearticle"/>
        <w:rPr>
          <w:noProof/>
        </w:rPr>
      </w:pPr>
      <w:r>
        <w:rPr>
          <w:noProof/>
        </w:rPr>
        <w:t>Konfidencialitāte attiecībā uz statistikas datu par starptautisko preču tirdzniecību izplatīšanu</w:t>
      </w:r>
    </w:p>
    <w:p w:rsidR="00132BAA" w:rsidRDefault="00B31A4A">
      <w:pPr>
        <w:rPr>
          <w:rStyle w:val="Text2Char"/>
          <w:noProof/>
        </w:rPr>
      </w:pPr>
      <w:r>
        <w:rPr>
          <w:rStyle w:val="Text2Char"/>
          <w:noProof/>
        </w:rPr>
        <w:t>Valstu statistikas iestādes pēc importētāja vai eksportētāja pieprasījuma izlemj, vai izplatīt statistikas rezultātus, kas, iespējams, ļautu identificēt</w:t>
      </w:r>
      <w:r>
        <w:rPr>
          <w:rStyle w:val="Text2Char"/>
          <w:noProof/>
        </w:rPr>
        <w:t xml:space="preserve"> minēto importētāju vai eksportētāju, vai grozīt statistikas rezultātus, lai neskartu statistikas datu konfidencialitāti saskaņā ar Regulas (EK) Nr. 223/2009 20. panta 3. punkta a) apakšpunktu.</w:t>
      </w:r>
    </w:p>
    <w:p w:rsidR="00132BAA" w:rsidRDefault="00B31A4A">
      <w:pPr>
        <w:pStyle w:val="ChapterTitle"/>
        <w:rPr>
          <w:noProof/>
        </w:rPr>
      </w:pPr>
      <w:r>
        <w:rPr>
          <w:noProof/>
        </w:rPr>
        <w:lastRenderedPageBreak/>
        <w:t>VII NODAĻA</w:t>
      </w:r>
    </w:p>
    <w:p w:rsidR="00132BAA" w:rsidRDefault="00B31A4A">
      <w:pPr>
        <w:pStyle w:val="ChapterTitle"/>
        <w:rPr>
          <w:noProof/>
        </w:rPr>
      </w:pPr>
      <w:r>
        <w:rPr>
          <w:noProof/>
        </w:rPr>
        <w:t>IZMĒĢINĀJUMA PĒTĪJUMI UN FINANSĒJUMS</w:t>
      </w:r>
    </w:p>
    <w:p w:rsidR="00132BAA" w:rsidRDefault="00B31A4A">
      <w:pPr>
        <w:pStyle w:val="Titrearticle"/>
        <w:rPr>
          <w:noProof/>
        </w:rPr>
      </w:pPr>
      <w:r>
        <w:rPr>
          <w:noProof/>
        </w:rPr>
        <w:t>19. pants</w:t>
      </w:r>
    </w:p>
    <w:p w:rsidR="00132BAA" w:rsidRDefault="00B31A4A">
      <w:pPr>
        <w:pStyle w:val="Titrearticle"/>
        <w:rPr>
          <w:noProof/>
        </w:rPr>
      </w:pPr>
      <w:r>
        <w:rPr>
          <w:noProof/>
        </w:rPr>
        <w:t>Izmē</w:t>
      </w:r>
      <w:r>
        <w:rPr>
          <w:noProof/>
        </w:rPr>
        <w:t>ģinājuma pētījumi</w:t>
      </w:r>
    </w:p>
    <w:p w:rsidR="00132BAA" w:rsidRDefault="00B31A4A">
      <w:pPr>
        <w:pStyle w:val="ManualNumPar1"/>
        <w:rPr>
          <w:noProof/>
        </w:rPr>
      </w:pPr>
      <w:r>
        <w:t>1.</w:t>
      </w:r>
      <w:r>
        <w:tab/>
      </w:r>
      <w:r>
        <w:rPr>
          <w:noProof/>
        </w:rPr>
        <w:t>Ja Komisija (</w:t>
      </w:r>
      <w:r>
        <w:rPr>
          <w:i/>
          <w:noProof/>
        </w:rPr>
        <w:t>Eurostat</w:t>
      </w:r>
      <w:r>
        <w:rPr>
          <w:noProof/>
        </w:rPr>
        <w:t>) konstatē, ka attiecībā uz šīs regulas darbības jomā esošajām datu kopām ir nepieciešams noteikt būtiskas jaunas datu prasības vai uzlabojumus, tā var ierosināt izmēģinājuma pētījumus, ko pēc brīvprātības principa</w:t>
      </w:r>
      <w:r>
        <w:rPr>
          <w:noProof/>
        </w:rPr>
        <w:t xml:space="preserve"> veic dalībvalstis pirms jaunu datu vākšanas.</w:t>
      </w:r>
    </w:p>
    <w:p w:rsidR="00132BAA" w:rsidRDefault="00B31A4A">
      <w:pPr>
        <w:pStyle w:val="ManualNumPar1"/>
        <w:rPr>
          <w:noProof/>
        </w:rPr>
      </w:pPr>
      <w:r>
        <w:t>2.</w:t>
      </w:r>
      <w:r>
        <w:tab/>
      </w:r>
      <w:r>
        <w:rPr>
          <w:noProof/>
        </w:rPr>
        <w:t>Izmēģinājuma pētījumus veic, lai novērtētu datu ieguves lietderību un iespējamību, ņemot vērā priekšrocības, ko iegūst no datu pieejamības saistībā ar datu vākšanas izmaksām un slogu uzņēmumiem.</w:t>
      </w:r>
    </w:p>
    <w:p w:rsidR="00132BAA" w:rsidRDefault="00B31A4A">
      <w:pPr>
        <w:pStyle w:val="ManualNumPar1"/>
        <w:rPr>
          <w:noProof/>
        </w:rPr>
      </w:pPr>
      <w:r>
        <w:t>3.</w:t>
      </w:r>
      <w:r>
        <w:tab/>
      </w:r>
      <w:r>
        <w:rPr>
          <w:noProof/>
        </w:rPr>
        <w:t>Pirmie iz</w:t>
      </w:r>
      <w:r>
        <w:rPr>
          <w:noProof/>
        </w:rPr>
        <w:t>mēģinājuma pētījumi, ko plānots uzsākt, ietver starptautisko pakalpojumu tirdzniecības sniegšanas veidus un starptautisko pakalpojumu tirdzniecību pēc uzņēmumu raksturlielumiem.</w:t>
      </w:r>
    </w:p>
    <w:p w:rsidR="00132BAA" w:rsidRDefault="00B31A4A">
      <w:pPr>
        <w:pStyle w:val="Titrearticle"/>
        <w:rPr>
          <w:noProof/>
        </w:rPr>
      </w:pPr>
      <w:r>
        <w:rPr>
          <w:noProof/>
        </w:rPr>
        <w:t>20. pants</w:t>
      </w:r>
    </w:p>
    <w:p w:rsidR="00132BAA" w:rsidRDefault="00B31A4A">
      <w:pPr>
        <w:pStyle w:val="Titrearticle"/>
        <w:rPr>
          <w:noProof/>
        </w:rPr>
      </w:pPr>
      <w:r>
        <w:rPr>
          <w:noProof/>
        </w:rPr>
        <w:t>Finansējums</w:t>
      </w:r>
    </w:p>
    <w:p w:rsidR="00132BAA" w:rsidRDefault="00B31A4A">
      <w:pPr>
        <w:pStyle w:val="ManualNumPar1"/>
        <w:rPr>
          <w:noProof/>
        </w:rPr>
      </w:pPr>
      <w:r>
        <w:t>1.</w:t>
      </w:r>
      <w:r>
        <w:tab/>
      </w:r>
      <w:r>
        <w:rPr>
          <w:noProof/>
        </w:rPr>
        <w:t>Šīs regulas īstenošanai Savienība Regulas (EK) Nr. 22</w:t>
      </w:r>
      <w:r>
        <w:rPr>
          <w:noProof/>
        </w:rPr>
        <w:t>3/2009 5. panta 2. punkta minētajā sarakstā iekļautajām valsts statistikas iestādēm un citām valsts iestādēm var piešķirt finansiālu atbalstu, lai segtu izmaksas saistībā ar:</w:t>
      </w:r>
    </w:p>
    <w:p w:rsidR="00132BAA" w:rsidRDefault="00B31A4A">
      <w:pPr>
        <w:pStyle w:val="Point1letter"/>
        <w:numPr>
          <w:ilvl w:val="3"/>
          <w:numId w:val="54"/>
        </w:numPr>
        <w:rPr>
          <w:noProof/>
        </w:rPr>
      </w:pPr>
      <w:r>
        <w:rPr>
          <w:noProof/>
        </w:rPr>
        <w:t xml:space="preserve">datu prasību uzņēmējdarbības statistikas jomā izstrādi vai īstenošanu; </w:t>
      </w:r>
    </w:p>
    <w:p w:rsidR="00132BAA" w:rsidRDefault="00B31A4A">
      <w:pPr>
        <w:pStyle w:val="Point1letter"/>
        <w:numPr>
          <w:ilvl w:val="3"/>
          <w:numId w:val="26"/>
        </w:numPr>
        <w:rPr>
          <w:noProof/>
        </w:rPr>
      </w:pPr>
      <w:r>
        <w:rPr>
          <w:noProof/>
        </w:rPr>
        <w:t>tādu meto</w:t>
      </w:r>
      <w:r>
        <w:rPr>
          <w:noProof/>
        </w:rPr>
        <w:t>doloģiju izstrādi, kuru mērķis ir paaugstināt uzņēmējdarbības statistikas vākšanas un/vai sagatavošanas kvalitāti vai mazināt izmaksas un administratīvo slogu, un Eiropas statistisko uzņēmumu reģistru tīkla uzlabošanu;</w:t>
      </w:r>
    </w:p>
    <w:p w:rsidR="00132BAA" w:rsidRDefault="00B31A4A">
      <w:pPr>
        <w:pStyle w:val="ManualNumPar1"/>
        <w:rPr>
          <w:noProof/>
        </w:rPr>
      </w:pPr>
      <w:r>
        <w:t>2.</w:t>
      </w:r>
      <w:r>
        <w:tab/>
      </w:r>
      <w:r>
        <w:rPr>
          <w:noProof/>
        </w:rPr>
        <w:t xml:space="preserve">Savienības finansiālo ieguldījumu </w:t>
      </w:r>
      <w:r>
        <w:rPr>
          <w:noProof/>
        </w:rPr>
        <w:t>piešķir saskaņā ar Eiropas Parlamenta un Padomes Regulas (ES) Nr. 99/2013 7. pantu un Eiropas Parlamenta un Padomes Regulas (ES) Nr. 1291/2013 6. pantu.</w:t>
      </w:r>
    </w:p>
    <w:p w:rsidR="00132BAA" w:rsidRDefault="00B31A4A">
      <w:pPr>
        <w:pStyle w:val="ManualNumPar1"/>
        <w:rPr>
          <w:noProof/>
        </w:rPr>
      </w:pPr>
      <w:r>
        <w:t>3.</w:t>
      </w:r>
      <w:r>
        <w:tab/>
      </w:r>
      <w:r>
        <w:rPr>
          <w:noProof/>
        </w:rPr>
        <w:t>Minētais Savienības finansiālais ieguldījums nepārsniedz 95 % no attiecināmajām izmaksām.</w:t>
      </w:r>
    </w:p>
    <w:p w:rsidR="00132BAA" w:rsidRDefault="00B31A4A">
      <w:pPr>
        <w:pStyle w:val="ChapterTitle"/>
        <w:rPr>
          <w:noProof/>
        </w:rPr>
      </w:pPr>
      <w:r>
        <w:rPr>
          <w:noProof/>
        </w:rPr>
        <w:lastRenderedPageBreak/>
        <w:t>VIII NODAĻ</w:t>
      </w:r>
      <w:r>
        <w:rPr>
          <w:noProof/>
        </w:rPr>
        <w:t>A</w:t>
      </w:r>
    </w:p>
    <w:p w:rsidR="00132BAA" w:rsidRDefault="00B31A4A">
      <w:pPr>
        <w:pStyle w:val="ChapterTitle"/>
        <w:rPr>
          <w:noProof/>
        </w:rPr>
      </w:pPr>
      <w:r>
        <w:rPr>
          <w:noProof/>
        </w:rPr>
        <w:t>NOBEIGUMA NOTEIKUMI</w:t>
      </w:r>
    </w:p>
    <w:p w:rsidR="00132BAA" w:rsidRDefault="00B31A4A">
      <w:pPr>
        <w:pStyle w:val="Titrearticle"/>
        <w:rPr>
          <w:noProof/>
        </w:rPr>
      </w:pPr>
      <w:r>
        <w:rPr>
          <w:noProof/>
        </w:rPr>
        <w:t>21. pants</w:t>
      </w:r>
    </w:p>
    <w:p w:rsidR="00132BAA" w:rsidRDefault="00B31A4A">
      <w:pPr>
        <w:pStyle w:val="Titrearticle"/>
        <w:rPr>
          <w:noProof/>
        </w:rPr>
      </w:pPr>
      <w:r>
        <w:rPr>
          <w:noProof/>
        </w:rPr>
        <w:t>Deleģēšanas īstenošana</w:t>
      </w:r>
    </w:p>
    <w:p w:rsidR="00132BAA" w:rsidRDefault="00B31A4A">
      <w:pPr>
        <w:pStyle w:val="ManualNumPar1"/>
        <w:rPr>
          <w:noProof/>
        </w:rPr>
      </w:pPr>
      <w:r>
        <w:t>1.</w:t>
      </w:r>
      <w:r>
        <w:tab/>
      </w:r>
      <w:r>
        <w:rPr>
          <w:noProof/>
        </w:rPr>
        <w:t xml:space="preserve">Pilnvaras pieņemt deleģētos aktus Komisijai piešķir, ievērojot šajā pantā izklāstītos nosacījumus. </w:t>
      </w:r>
    </w:p>
    <w:p w:rsidR="00132BAA" w:rsidRDefault="00B31A4A">
      <w:pPr>
        <w:pStyle w:val="ManualNumPar1"/>
        <w:rPr>
          <w:noProof/>
        </w:rPr>
      </w:pPr>
      <w:r>
        <w:t>2.</w:t>
      </w:r>
      <w:r>
        <w:tab/>
      </w:r>
      <w:r>
        <w:rPr>
          <w:noProof/>
        </w:rPr>
        <w:t xml:space="preserve">Pilnvaras pieņemt 5., 6., 9. un 12. pantā minētos deleģētos aktus Komisijai piešķir uz </w:t>
      </w:r>
      <w:r>
        <w:rPr>
          <w:noProof/>
        </w:rPr>
        <w:t>nenoteiktu laiku.</w:t>
      </w:r>
    </w:p>
    <w:p w:rsidR="00132BAA" w:rsidRDefault="00B31A4A">
      <w:pPr>
        <w:pStyle w:val="ManualNumPar1"/>
        <w:rPr>
          <w:noProof/>
        </w:rPr>
      </w:pPr>
      <w:r>
        <w:t>3.</w:t>
      </w:r>
      <w:r>
        <w:tab/>
      </w:r>
      <w:r>
        <w:rPr>
          <w:noProof/>
        </w:rPr>
        <w:t xml:space="preserve">Eiropas Parlaments vai Padome jebkurā brīdī var atsaukt 5., 6., 9. un 12. pantā minēto pilnvaru deleģēšanu. Ar lēmumu par atsaukšanu izbeidz tajā norādīto pilnvaru deleģēšanu. Lēmums stājas spēkā nākamajā dienā pēc tā publicēšanas </w:t>
      </w:r>
      <w:r>
        <w:rPr>
          <w:i/>
          <w:noProof/>
        </w:rPr>
        <w:t>Eiro</w:t>
      </w:r>
      <w:r>
        <w:rPr>
          <w:i/>
          <w:noProof/>
        </w:rPr>
        <w:t>pas Savienības Oficiālajā Vēstnesī</w:t>
      </w:r>
      <w:r>
        <w:rPr>
          <w:noProof/>
        </w:rPr>
        <w:t xml:space="preserve"> vai arī vēlākā dienā, kas tajā norādīta. Tas neskar jau spēkā esošos deleģētos aktus.</w:t>
      </w:r>
    </w:p>
    <w:p w:rsidR="00132BAA" w:rsidRDefault="00B31A4A">
      <w:pPr>
        <w:pStyle w:val="ManualNumPar1"/>
        <w:rPr>
          <w:noProof/>
        </w:rPr>
      </w:pPr>
      <w:r>
        <w:t>4.</w:t>
      </w:r>
      <w:r>
        <w:tab/>
      </w:r>
      <w:r>
        <w:rPr>
          <w:noProof/>
        </w:rPr>
        <w:t>Pirms deleģēta akta pieņemšanas Komisija apspriežas ar katras dalībvalsts ieceltajiem ekspertiem saskaņā ar principiem, kas paredzēt</w:t>
      </w:r>
      <w:r>
        <w:rPr>
          <w:noProof/>
        </w:rPr>
        <w:t>i 2016. gada 13. aprīļa Iestāžu nolīgumā par labāku likumdošanas procesu.</w:t>
      </w:r>
    </w:p>
    <w:p w:rsidR="00132BAA" w:rsidRDefault="00B31A4A">
      <w:pPr>
        <w:pStyle w:val="ManualNumPar1"/>
        <w:rPr>
          <w:noProof/>
        </w:rPr>
      </w:pPr>
      <w:r>
        <w:t>5.</w:t>
      </w:r>
      <w:r>
        <w:tab/>
      </w:r>
      <w:r>
        <w:rPr>
          <w:noProof/>
        </w:rPr>
        <w:t>Tiklīdz Komisija pieņem deleģēto aktu, tā par to paziņo vienlaikus Eiropas Parlamentam un Padomei.</w:t>
      </w:r>
    </w:p>
    <w:p w:rsidR="00132BAA" w:rsidRDefault="00B31A4A">
      <w:pPr>
        <w:pStyle w:val="ManualNumPar1"/>
        <w:rPr>
          <w:noProof/>
        </w:rPr>
      </w:pPr>
      <w:r>
        <w:t>6.</w:t>
      </w:r>
      <w:r>
        <w:tab/>
      </w:r>
      <w:r>
        <w:rPr>
          <w:noProof/>
        </w:rPr>
        <w:t>Saskaņā ar 5., 6., 9. un 12. pantu pieņemts deleģētais akts stājas spēkā tika</w:t>
      </w:r>
      <w:r>
        <w:rPr>
          <w:noProof/>
        </w:rPr>
        <w:t>i tad, ja divos mēnešos no dienas, kad minētais akts paziņots Eiropas Parlamentam un Padomei, ne Eiropas Parlaments, ne Padome nav izteikuši iebildumus vai ja pirms minētā laikposma beigām gan Eiropas Parlaments, gan Padome ir informējuši Komisiju par savu</w:t>
      </w:r>
      <w:r>
        <w:rPr>
          <w:noProof/>
        </w:rPr>
        <w:t xml:space="preserve"> lēmumu neizteikt iebildumus. Pēc Eiropas Parlamenta vai Padomes iniciatīvas šo laikposmu pagarina par diviem mēnešiem.</w:t>
      </w:r>
    </w:p>
    <w:p w:rsidR="00132BAA" w:rsidRDefault="00B31A4A">
      <w:pPr>
        <w:pStyle w:val="Titrearticle"/>
        <w:rPr>
          <w:noProof/>
        </w:rPr>
      </w:pPr>
      <w:r>
        <w:rPr>
          <w:noProof/>
        </w:rPr>
        <w:t>22. pants</w:t>
      </w:r>
    </w:p>
    <w:p w:rsidR="00132BAA" w:rsidRDefault="00B31A4A">
      <w:pPr>
        <w:pStyle w:val="Titrearticle"/>
        <w:rPr>
          <w:noProof/>
        </w:rPr>
      </w:pPr>
      <w:r>
        <w:rPr>
          <w:noProof/>
        </w:rPr>
        <w:t>Komiteja</w:t>
      </w:r>
    </w:p>
    <w:p w:rsidR="00132BAA" w:rsidRDefault="00B31A4A">
      <w:pPr>
        <w:pStyle w:val="ManualNumPar1"/>
        <w:rPr>
          <w:noProof/>
        </w:rPr>
      </w:pPr>
      <w:r>
        <w:t>1.</w:t>
      </w:r>
      <w:r>
        <w:tab/>
      </w:r>
      <w:r>
        <w:rPr>
          <w:noProof/>
        </w:rPr>
        <w:t>Komisijai palīdz Eiropas Statistikas sistēmas komiteja, kas izveidota ar Regulu (EK) Nr. 223/2009. Minētā komiteja</w:t>
      </w:r>
      <w:r>
        <w:rPr>
          <w:noProof/>
        </w:rPr>
        <w:t xml:space="preserve"> ir komiteja Regulas (ES) Nr. 182/2011 nozīmē.</w:t>
      </w:r>
    </w:p>
    <w:p w:rsidR="00132BAA" w:rsidRDefault="00B31A4A">
      <w:pPr>
        <w:pStyle w:val="ManualNumPar1"/>
        <w:rPr>
          <w:noProof/>
        </w:rPr>
      </w:pPr>
      <w:r>
        <w:t>2.</w:t>
      </w:r>
      <w:r>
        <w:tab/>
      </w:r>
      <w:r>
        <w:rPr>
          <w:noProof/>
        </w:rPr>
        <w:t>Ja ir atsauce uz šo punktu, piemēro Regulas (ES) Nr. 182/2011 5. pantu.</w:t>
      </w:r>
    </w:p>
    <w:p w:rsidR="00132BAA" w:rsidRDefault="00B31A4A">
      <w:pPr>
        <w:pStyle w:val="Titrearticle"/>
        <w:rPr>
          <w:noProof/>
        </w:rPr>
      </w:pPr>
      <w:r>
        <w:rPr>
          <w:noProof/>
        </w:rPr>
        <w:t>23. pants</w:t>
      </w:r>
    </w:p>
    <w:p w:rsidR="00132BAA" w:rsidRDefault="00B31A4A">
      <w:pPr>
        <w:pStyle w:val="Titrearticle"/>
        <w:rPr>
          <w:noProof/>
        </w:rPr>
      </w:pPr>
      <w:r>
        <w:rPr>
          <w:noProof/>
        </w:rPr>
        <w:t>Sadarbība ar citām komitejām</w:t>
      </w:r>
    </w:p>
    <w:p w:rsidR="00132BAA" w:rsidRDefault="00B31A4A">
      <w:pPr>
        <w:spacing w:after="200" w:line="276" w:lineRule="auto"/>
        <w:rPr>
          <w:noProof/>
        </w:rPr>
      </w:pPr>
      <w:r>
        <w:rPr>
          <w:noProof/>
        </w:rPr>
        <w:t xml:space="preserve">Visos jautājumos, kas ietilpst ar Padomes Lēmumu 2006/856/EK izveidotās Monetārās, finanšu un </w:t>
      </w:r>
      <w:r>
        <w:rPr>
          <w:noProof/>
        </w:rPr>
        <w:t>maksājumu bilances statistikas komitejas kompetencē, Komisija saskaņā ar minētā lēmumu lūdz minētās komitejas atzinumu.</w:t>
      </w:r>
    </w:p>
    <w:p w:rsidR="00132BAA" w:rsidRDefault="00B31A4A">
      <w:pPr>
        <w:pStyle w:val="Titrearticle"/>
        <w:rPr>
          <w:noProof/>
        </w:rPr>
      </w:pPr>
      <w:r>
        <w:rPr>
          <w:noProof/>
        </w:rPr>
        <w:lastRenderedPageBreak/>
        <w:t>24. pants</w:t>
      </w:r>
    </w:p>
    <w:p w:rsidR="00132BAA" w:rsidRDefault="00B31A4A">
      <w:pPr>
        <w:pStyle w:val="Titrearticle"/>
        <w:rPr>
          <w:noProof/>
        </w:rPr>
      </w:pPr>
      <w:r>
        <w:rPr>
          <w:noProof/>
        </w:rPr>
        <w:t>Atkāpes</w:t>
      </w:r>
    </w:p>
    <w:p w:rsidR="00132BAA" w:rsidRDefault="00B31A4A">
      <w:pPr>
        <w:pStyle w:val="ManualNumPar1"/>
        <w:rPr>
          <w:noProof/>
        </w:rPr>
      </w:pPr>
      <w:r>
        <w:t>1.</w:t>
      </w:r>
      <w:r>
        <w:tab/>
      </w:r>
      <w:r>
        <w:rPr>
          <w:noProof/>
        </w:rPr>
        <w:t xml:space="preserve">Ja šīs regulas piemērošanas nolūkos valsts statistikas sistēmai nepieciešams veikt būtiskus pielāgojumus, Komisija </w:t>
      </w:r>
      <w:r>
        <w:rPr>
          <w:noProof/>
        </w:rPr>
        <w:t>ar īstenošanas aktu var piešķirt atkāpes tās piemērošanai uz laiku, kas nepārsniedz trīs gadus, ar nosacījumu, ka šīs atkāpes nekavē dalībvalstu datu salīdzināmību vai savlaicīgu nepieciešamo reprezentatīvo Eiropas agregātu aprēķinu.</w:t>
      </w:r>
    </w:p>
    <w:p w:rsidR="00132BAA" w:rsidRDefault="00B31A4A">
      <w:pPr>
        <w:pStyle w:val="ManualNumPar1"/>
        <w:rPr>
          <w:noProof/>
        </w:rPr>
      </w:pPr>
      <w:r>
        <w:t>2.</w:t>
      </w:r>
      <w:r>
        <w:tab/>
      </w:r>
      <w:r>
        <w:rPr>
          <w:noProof/>
        </w:rPr>
        <w:t>Šos īstenošanas akt</w:t>
      </w:r>
      <w:r>
        <w:rPr>
          <w:noProof/>
        </w:rPr>
        <w:t>us Komisija pieņem saskaņā ar 22. panta 2. punktā minēto pārbaudes procedūru.</w:t>
      </w:r>
    </w:p>
    <w:p w:rsidR="00132BAA" w:rsidRDefault="00B31A4A">
      <w:pPr>
        <w:pStyle w:val="Titrearticle"/>
        <w:rPr>
          <w:noProof/>
        </w:rPr>
      </w:pPr>
      <w:r>
        <w:rPr>
          <w:noProof/>
        </w:rPr>
        <w:t xml:space="preserve">25. pants </w:t>
      </w:r>
    </w:p>
    <w:p w:rsidR="00132BAA" w:rsidRDefault="00B31A4A">
      <w:pPr>
        <w:pStyle w:val="Titrearticle"/>
        <w:rPr>
          <w:noProof/>
        </w:rPr>
      </w:pPr>
      <w:r>
        <w:rPr>
          <w:noProof/>
        </w:rPr>
        <w:t>Grozījums Regulā (EK) Nr. 184/2005</w:t>
      </w:r>
    </w:p>
    <w:p w:rsidR="00132BAA" w:rsidRDefault="00B31A4A">
      <w:pPr>
        <w:rPr>
          <w:noProof/>
        </w:rPr>
      </w:pPr>
      <w:r>
        <w:rPr>
          <w:noProof/>
        </w:rPr>
        <w:t>Regulu (EK) Nr. 184/2005 groza šādi:</w:t>
      </w:r>
    </w:p>
    <w:p w:rsidR="00132BAA" w:rsidRDefault="00B31A4A">
      <w:pPr>
        <w:pStyle w:val="Point0letter"/>
        <w:numPr>
          <w:ilvl w:val="1"/>
          <w:numId w:val="58"/>
        </w:numPr>
        <w:rPr>
          <w:noProof/>
        </w:rPr>
      </w:pPr>
      <w:r>
        <w:rPr>
          <w:noProof/>
        </w:rPr>
        <w:t xml:space="preserve">regulas 1. pantu aizstāj ar šādu: </w:t>
      </w:r>
    </w:p>
    <w:p w:rsidR="00132BAA" w:rsidRDefault="00B31A4A">
      <w:pPr>
        <w:pStyle w:val="title-article-norm2"/>
        <w:rPr>
          <w:rFonts w:eastAsia="Arial Unicode MS"/>
          <w:noProof/>
          <w:color w:val="444444"/>
        </w:rPr>
      </w:pPr>
      <w:r>
        <w:rPr>
          <w:noProof/>
        </w:rPr>
        <w:t>“</w:t>
      </w:r>
      <w:r>
        <w:rPr>
          <w:noProof/>
          <w:color w:val="444444"/>
        </w:rPr>
        <w:t>1. pants</w:t>
      </w:r>
    </w:p>
    <w:p w:rsidR="00132BAA" w:rsidRDefault="00B31A4A">
      <w:pPr>
        <w:pStyle w:val="stitle-article-norm2"/>
        <w:rPr>
          <w:rFonts w:eastAsia="Arial Unicode MS"/>
          <w:noProof/>
          <w:color w:val="444444"/>
        </w:rPr>
      </w:pPr>
      <w:r>
        <w:rPr>
          <w:noProof/>
          <w:color w:val="444444"/>
        </w:rPr>
        <w:t>Priekšmets</w:t>
      </w:r>
    </w:p>
    <w:p w:rsidR="00132BAA" w:rsidRDefault="00B31A4A">
      <w:pPr>
        <w:pStyle w:val="stitle-article-norm2"/>
        <w:jc w:val="left"/>
        <w:rPr>
          <w:rFonts w:eastAsia="Arial Unicode MS"/>
          <w:noProof/>
          <w:color w:val="444444"/>
        </w:rPr>
      </w:pPr>
      <w:r>
        <w:rPr>
          <w:b w:val="0"/>
          <w:noProof/>
          <w:color w:val="444444"/>
        </w:rPr>
        <w:t>Ar šo regulu nosaka kopēju sistēmu sist</w:t>
      </w:r>
      <w:r>
        <w:rPr>
          <w:b w:val="0"/>
          <w:noProof/>
          <w:color w:val="444444"/>
        </w:rPr>
        <w:t>emātiskai Kopienas statistikas apkopošanai par maksājumu bilanci un ārvalstu tiešajiem ieguldījumiem.</w:t>
      </w:r>
      <w:r>
        <w:rPr>
          <w:b w:val="0"/>
          <w:noProof/>
        </w:rPr>
        <w:t>”;</w:t>
      </w:r>
    </w:p>
    <w:p w:rsidR="00132BAA" w:rsidRDefault="00132BAA">
      <w:pPr>
        <w:pStyle w:val="norm3"/>
        <w:rPr>
          <w:noProof/>
        </w:rPr>
      </w:pPr>
    </w:p>
    <w:p w:rsidR="00132BAA" w:rsidRDefault="00B31A4A">
      <w:pPr>
        <w:pStyle w:val="Point0letter"/>
        <w:numPr>
          <w:ilvl w:val="1"/>
          <w:numId w:val="24"/>
        </w:numPr>
        <w:rPr>
          <w:noProof/>
        </w:rPr>
      </w:pPr>
      <w:r>
        <w:rPr>
          <w:noProof/>
        </w:rPr>
        <w:t xml:space="preserve">regulas 2. panta 1. punktu aizstāj ar šādu: </w:t>
      </w:r>
    </w:p>
    <w:p w:rsidR="00132BAA" w:rsidRDefault="00B31A4A">
      <w:pPr>
        <w:pStyle w:val="Point1"/>
        <w:rPr>
          <w:noProof/>
        </w:rPr>
      </w:pPr>
      <w:r>
        <w:rPr>
          <w:noProof/>
        </w:rPr>
        <w:t>“1. Dalībvalstis iesniedz Komisijai (</w:t>
      </w:r>
      <w:r>
        <w:rPr>
          <w:i/>
          <w:noProof/>
        </w:rPr>
        <w:t>Eurostat</w:t>
      </w:r>
      <w:r>
        <w:rPr>
          <w:noProof/>
        </w:rPr>
        <w:t xml:space="preserve">) datus par maksājumu bilanci un ārvalstu tiešajiem </w:t>
      </w:r>
      <w:r>
        <w:rPr>
          <w:noProof/>
        </w:rPr>
        <w:t>ieguldījumiem, kā minēts I pielikumā. Dati ir noteikti II pielikumā.”;</w:t>
      </w:r>
    </w:p>
    <w:p w:rsidR="00132BAA" w:rsidRDefault="00B31A4A">
      <w:pPr>
        <w:pStyle w:val="Point0letter"/>
        <w:rPr>
          <w:noProof/>
        </w:rPr>
      </w:pPr>
      <w:r>
        <w:rPr>
          <w:noProof/>
        </w:rPr>
        <w:t>regulas 5. panta 1. punkta c) apakšpunktu svītro;</w:t>
      </w:r>
    </w:p>
    <w:p w:rsidR="00132BAA" w:rsidRDefault="00B31A4A">
      <w:pPr>
        <w:pStyle w:val="Point0letter"/>
        <w:rPr>
          <w:noProof/>
        </w:rPr>
      </w:pPr>
      <w:r>
        <w:rPr>
          <w:noProof/>
        </w:rPr>
        <w:t xml:space="preserve">regulas 12. panta a) punktu aizstāj ar šādu: </w:t>
      </w:r>
    </w:p>
    <w:p w:rsidR="00132BAA" w:rsidRDefault="00B31A4A">
      <w:pPr>
        <w:pStyle w:val="Point1"/>
        <w:rPr>
          <w:noProof/>
        </w:rPr>
      </w:pPr>
      <w:r>
        <w:rPr>
          <w:noProof/>
        </w:rPr>
        <w:t>“a) izvērtē datu kvalitāti attiecībā uz maksājumu bilanci un ĀTI;”;</w:t>
      </w:r>
    </w:p>
    <w:p w:rsidR="00132BAA" w:rsidRDefault="00B31A4A">
      <w:pPr>
        <w:pStyle w:val="Point0letter"/>
        <w:rPr>
          <w:noProof/>
        </w:rPr>
      </w:pPr>
      <w:r>
        <w:rPr>
          <w:noProof/>
        </w:rPr>
        <w:t>regulas I pielikuma 3</w:t>
      </w:r>
      <w:r>
        <w:rPr>
          <w:noProof/>
        </w:rPr>
        <w:t xml:space="preserve">. tabulu (Starptautiskā pakalpojumu tirdzniecība) groza saskaņā ar šīs regulas IV pielikumu. </w:t>
      </w:r>
    </w:p>
    <w:p w:rsidR="00132BAA" w:rsidRDefault="00B31A4A">
      <w:pPr>
        <w:pStyle w:val="Titrearticle"/>
        <w:rPr>
          <w:noProof/>
        </w:rPr>
      </w:pPr>
      <w:r>
        <w:rPr>
          <w:noProof/>
        </w:rPr>
        <w:t>26. pants</w:t>
      </w:r>
    </w:p>
    <w:p w:rsidR="00132BAA" w:rsidRDefault="00B31A4A">
      <w:pPr>
        <w:pStyle w:val="Titrearticle"/>
        <w:rPr>
          <w:noProof/>
        </w:rPr>
      </w:pPr>
      <w:r>
        <w:rPr>
          <w:noProof/>
        </w:rPr>
        <w:t>Atcelšana</w:t>
      </w:r>
    </w:p>
    <w:p w:rsidR="00132BAA" w:rsidRDefault="00B31A4A">
      <w:pPr>
        <w:pStyle w:val="ManualNumPar1"/>
        <w:rPr>
          <w:noProof/>
        </w:rPr>
      </w:pPr>
      <w:r>
        <w:t>1.</w:t>
      </w:r>
      <w:r>
        <w:tab/>
      </w:r>
      <w:r>
        <w:rPr>
          <w:noProof/>
        </w:rPr>
        <w:t>Regulas (EEK) Nr. 3924/91, (EK) Nr. 48/2004, (EK) Nr. 716/2007, (EK) Nr. 177/2008 un (EK) Nr. 295/2008 un Lēmumu (EK) Nr. 1608/2003 atceļ n</w:t>
      </w:r>
      <w:r>
        <w:rPr>
          <w:noProof/>
        </w:rPr>
        <w:t xml:space="preserve">o 2019. gada 1. janvāra. </w:t>
      </w:r>
    </w:p>
    <w:p w:rsidR="00132BAA" w:rsidRDefault="00B31A4A">
      <w:pPr>
        <w:pStyle w:val="ManualNumPar1"/>
        <w:rPr>
          <w:noProof/>
        </w:rPr>
      </w:pPr>
      <w:r>
        <w:t>2.</w:t>
      </w:r>
      <w:r>
        <w:tab/>
      </w:r>
      <w:r>
        <w:rPr>
          <w:noProof/>
        </w:rPr>
        <w:t>Regulu (EK) Nr. 1165/1998 atceļ no 2024. gada 1. janvāra.</w:t>
      </w:r>
    </w:p>
    <w:p w:rsidR="00132BAA" w:rsidRDefault="00B31A4A">
      <w:pPr>
        <w:pStyle w:val="ManualNumPar1"/>
        <w:rPr>
          <w:noProof/>
        </w:rPr>
      </w:pPr>
      <w:r>
        <w:t>3.</w:t>
      </w:r>
      <w:r>
        <w:tab/>
      </w:r>
      <w:r>
        <w:rPr>
          <w:noProof/>
        </w:rPr>
        <w:t xml:space="preserve">Regulu (EK) Nr. 808/2004 atceļ no 2020. gada 1. janvāra. </w:t>
      </w:r>
    </w:p>
    <w:p w:rsidR="00132BAA" w:rsidRDefault="00B31A4A">
      <w:pPr>
        <w:pStyle w:val="ManualNumPar1"/>
        <w:rPr>
          <w:noProof/>
        </w:rPr>
      </w:pPr>
      <w:r>
        <w:lastRenderedPageBreak/>
        <w:t>4.</w:t>
      </w:r>
      <w:r>
        <w:tab/>
      </w:r>
      <w:r>
        <w:rPr>
          <w:noProof/>
        </w:rPr>
        <w:t>Regulas (EK) Nr. 638/2004 un (EK) Nr. 471/2009 atceļ no 2020. gada 1. janvāra.</w:t>
      </w:r>
    </w:p>
    <w:p w:rsidR="00132BAA" w:rsidRDefault="00B31A4A">
      <w:pPr>
        <w:pStyle w:val="ManualNumPar1"/>
        <w:rPr>
          <w:noProof/>
        </w:rPr>
      </w:pPr>
      <w:r>
        <w:t>5.</w:t>
      </w:r>
      <w:r>
        <w:tab/>
      </w:r>
      <w:r>
        <w:rPr>
          <w:noProof/>
        </w:rPr>
        <w:t>Atsauces uz atceltajiem</w:t>
      </w:r>
      <w:r>
        <w:rPr>
          <w:noProof/>
        </w:rPr>
        <w:t xml:space="preserve"> tiesību aktiem uzskata par atsaucēm uz šo regulu.</w:t>
      </w:r>
    </w:p>
    <w:p w:rsidR="00132BAA" w:rsidRDefault="00B31A4A">
      <w:pPr>
        <w:pStyle w:val="Titrearticle"/>
        <w:rPr>
          <w:noProof/>
        </w:rPr>
      </w:pPr>
      <w:r>
        <w:rPr>
          <w:noProof/>
        </w:rPr>
        <w:t>27. pants</w:t>
      </w:r>
    </w:p>
    <w:p w:rsidR="00132BAA" w:rsidRDefault="00B31A4A">
      <w:pPr>
        <w:pStyle w:val="Titrearticle"/>
        <w:rPr>
          <w:noProof/>
        </w:rPr>
      </w:pPr>
      <w:r>
        <w:rPr>
          <w:noProof/>
        </w:rPr>
        <w:t>Stāšanās spēkā un piemērošana</w:t>
      </w:r>
    </w:p>
    <w:p w:rsidR="00132BAA" w:rsidRDefault="00B31A4A">
      <w:pPr>
        <w:pStyle w:val="ManualNumPar1"/>
        <w:rPr>
          <w:noProof/>
        </w:rPr>
      </w:pPr>
      <w:r>
        <w:t>1.</w:t>
      </w:r>
      <w:r>
        <w:tab/>
      </w:r>
      <w:r>
        <w:rPr>
          <w:noProof/>
        </w:rPr>
        <w:t xml:space="preserve">Šī regula stājas spēkā divdesmitajā dienā pēc tās publicēšanas </w:t>
      </w:r>
      <w:r>
        <w:rPr>
          <w:i/>
          <w:noProof/>
        </w:rPr>
        <w:t>Eiropas Savienības Oficiālajā Vēstnesī</w:t>
      </w:r>
      <w:r>
        <w:rPr>
          <w:noProof/>
        </w:rPr>
        <w:t>.</w:t>
      </w:r>
    </w:p>
    <w:p w:rsidR="00132BAA" w:rsidRDefault="00B31A4A">
      <w:pPr>
        <w:pStyle w:val="ManualNumPar1"/>
        <w:rPr>
          <w:noProof/>
        </w:rPr>
      </w:pPr>
      <w:r>
        <w:t>2.</w:t>
      </w:r>
      <w:r>
        <w:tab/>
      </w:r>
      <w:r>
        <w:rPr>
          <w:noProof/>
        </w:rPr>
        <w:t>To piemēro no 2019. gada 1. janvāra.</w:t>
      </w:r>
    </w:p>
    <w:p w:rsidR="00132BAA" w:rsidRDefault="00B31A4A">
      <w:pPr>
        <w:pStyle w:val="ManualNumPar1"/>
        <w:rPr>
          <w:noProof/>
        </w:rPr>
      </w:pPr>
      <w:r>
        <w:t>3.</w:t>
      </w:r>
      <w:r>
        <w:tab/>
      </w:r>
      <w:r>
        <w:rPr>
          <w:noProof/>
        </w:rPr>
        <w:t>Tomēr 11. līdz 1</w:t>
      </w:r>
      <w:r>
        <w:rPr>
          <w:noProof/>
        </w:rPr>
        <w:t>5. pantu piemēro no 2017. gada 1. janvāra.</w:t>
      </w:r>
    </w:p>
    <w:p w:rsidR="00132BAA" w:rsidRDefault="00B31A4A">
      <w:pPr>
        <w:pStyle w:val="Applicationdirecte"/>
        <w:rPr>
          <w:noProof/>
        </w:rPr>
      </w:pPr>
      <w:r>
        <w:rPr>
          <w:noProof/>
        </w:rPr>
        <w:t>Šī regula uzliek saistības kopumā un ir tieši piemērojama visās dalībvalstīs.</w:t>
      </w:r>
    </w:p>
    <w:p w:rsidR="00132BAA" w:rsidRDefault="00B31A4A">
      <w:pPr>
        <w:pStyle w:val="Fait"/>
        <w:rPr>
          <w:noProof/>
        </w:rPr>
      </w:pPr>
      <w:r>
        <w:rPr>
          <w:noProof/>
        </w:rPr>
        <w:t>Briselē,</w:t>
      </w:r>
    </w:p>
    <w:p w:rsidR="00132BAA" w:rsidRDefault="00B31A4A">
      <w:pPr>
        <w:pStyle w:val="Institutionquisigne"/>
        <w:rPr>
          <w:noProof/>
        </w:rPr>
      </w:pPr>
      <w:r>
        <w:rPr>
          <w:noProof/>
        </w:rPr>
        <w:t>Eiropas Parlamenta vārdā —</w:t>
      </w:r>
      <w:r>
        <w:rPr>
          <w:noProof/>
        </w:rPr>
        <w:tab/>
        <w:t>Padomes vārdā —</w:t>
      </w:r>
    </w:p>
    <w:p w:rsidR="00132BAA" w:rsidRDefault="00B31A4A">
      <w:pPr>
        <w:pStyle w:val="Personnequisigne"/>
        <w:rPr>
          <w:noProof/>
        </w:rPr>
      </w:pPr>
      <w:r>
        <w:rPr>
          <w:noProof/>
        </w:rPr>
        <w:t>priekšsēdētājs</w:t>
      </w:r>
      <w:r>
        <w:rPr>
          <w:noProof/>
        </w:rPr>
        <w:tab/>
        <w:t>priekšsēdētājs</w:t>
      </w:r>
    </w:p>
    <w:p w:rsidR="00132BAA" w:rsidRDefault="00132BAA">
      <w:pPr>
        <w:rPr>
          <w:noProof/>
        </w:rPr>
        <w:sectPr w:rsidR="00132BAA">
          <w:pgSz w:w="11907" w:h="16839"/>
          <w:pgMar w:top="1134" w:right="1417" w:bottom="1134" w:left="1417" w:header="709" w:footer="709" w:gutter="0"/>
          <w:cols w:space="708"/>
          <w:docGrid w:linePitch="360"/>
        </w:sectPr>
      </w:pPr>
    </w:p>
    <w:p w:rsidR="00132BAA" w:rsidRDefault="00B31A4A">
      <w:pPr>
        <w:pStyle w:val="Fichefinanciretitre"/>
        <w:rPr>
          <w:noProof/>
        </w:rPr>
      </w:pPr>
      <w:r>
        <w:rPr>
          <w:noProof/>
        </w:rPr>
        <w:lastRenderedPageBreak/>
        <w:t xml:space="preserve">TIESĪBU AKTA PRIEKŠLIKUMA FINANŠU </w:t>
      </w:r>
      <w:r>
        <w:rPr>
          <w:noProof/>
        </w:rPr>
        <w:t>PĀRSKATS</w:t>
      </w:r>
    </w:p>
    <w:p w:rsidR="00132BAA" w:rsidRDefault="00B31A4A">
      <w:pPr>
        <w:pStyle w:val="ManualHeading1"/>
        <w:rPr>
          <w:noProof/>
        </w:rPr>
      </w:pPr>
      <w:r>
        <w:rPr>
          <w:noProof/>
        </w:rPr>
        <w:t>1.</w:t>
      </w:r>
      <w:r>
        <w:rPr>
          <w:noProof/>
        </w:rPr>
        <w:tab/>
        <w:t xml:space="preserve">PRIEKŠLIKUMA/INICIATĪVAS KONTEKSTS </w:t>
      </w:r>
    </w:p>
    <w:p w:rsidR="00132BAA" w:rsidRDefault="00B31A4A">
      <w:pPr>
        <w:pStyle w:val="ManualHeading2"/>
        <w:rPr>
          <w:b w:val="0"/>
          <w:noProof/>
        </w:rPr>
      </w:pPr>
      <w:r>
        <w:rPr>
          <w:noProof/>
        </w:rPr>
        <w:tab/>
      </w:r>
      <w:r>
        <w:rPr>
          <w:b w:val="0"/>
          <w:noProof/>
        </w:rPr>
        <w:t>1.1.</w:t>
      </w:r>
      <w:r>
        <w:rPr>
          <w:noProof/>
        </w:rPr>
        <w:tab/>
      </w:r>
      <w:r>
        <w:rPr>
          <w:b w:val="0"/>
          <w:noProof/>
        </w:rPr>
        <w:t xml:space="preserve">Priekšlikuma/iniciatīvas nosaukums </w:t>
      </w:r>
    </w:p>
    <w:p w:rsidR="00132BAA" w:rsidRDefault="00B31A4A">
      <w:pPr>
        <w:pStyle w:val="ManualHeading2"/>
        <w:rPr>
          <w:b w:val="0"/>
          <w:noProof/>
        </w:rPr>
      </w:pPr>
      <w:r>
        <w:rPr>
          <w:noProof/>
        </w:rPr>
        <w:tab/>
      </w:r>
      <w:r>
        <w:rPr>
          <w:b w:val="0"/>
          <w:noProof/>
        </w:rPr>
        <w:t>1.2.</w:t>
      </w:r>
      <w:r>
        <w:rPr>
          <w:noProof/>
        </w:rPr>
        <w:tab/>
      </w:r>
      <w:r>
        <w:rPr>
          <w:b w:val="0"/>
          <w:noProof/>
        </w:rPr>
        <w:t xml:space="preserve">Attiecīgās politikas jomas </w:t>
      </w:r>
      <w:r>
        <w:rPr>
          <w:b w:val="0"/>
          <w:i/>
          <w:noProof/>
        </w:rPr>
        <w:t>ABM/ABB</w:t>
      </w:r>
      <w:r>
        <w:rPr>
          <w:b w:val="0"/>
          <w:noProof/>
        </w:rPr>
        <w:t xml:space="preserve"> struktūrā</w:t>
      </w:r>
    </w:p>
    <w:p w:rsidR="00132BAA" w:rsidRDefault="00B31A4A">
      <w:pPr>
        <w:pStyle w:val="ManualHeading2"/>
        <w:rPr>
          <w:b w:val="0"/>
          <w:noProof/>
        </w:rPr>
      </w:pPr>
      <w:r>
        <w:rPr>
          <w:noProof/>
        </w:rPr>
        <w:tab/>
      </w:r>
      <w:r>
        <w:rPr>
          <w:b w:val="0"/>
          <w:noProof/>
        </w:rPr>
        <w:t>1.3.</w:t>
      </w:r>
      <w:r>
        <w:rPr>
          <w:noProof/>
        </w:rPr>
        <w:tab/>
      </w:r>
      <w:r>
        <w:rPr>
          <w:b w:val="0"/>
          <w:noProof/>
        </w:rPr>
        <w:t xml:space="preserve">Priekšlikuma/iniciatīvas būtība </w:t>
      </w:r>
    </w:p>
    <w:p w:rsidR="00132BAA" w:rsidRDefault="00B31A4A">
      <w:pPr>
        <w:pStyle w:val="ManualHeading2"/>
        <w:rPr>
          <w:b w:val="0"/>
          <w:noProof/>
        </w:rPr>
      </w:pPr>
      <w:r>
        <w:rPr>
          <w:noProof/>
        </w:rPr>
        <w:tab/>
      </w:r>
      <w:r>
        <w:rPr>
          <w:b w:val="0"/>
          <w:noProof/>
        </w:rPr>
        <w:t>1.4.</w:t>
      </w:r>
      <w:r>
        <w:rPr>
          <w:noProof/>
        </w:rPr>
        <w:tab/>
      </w:r>
      <w:r>
        <w:rPr>
          <w:b w:val="0"/>
          <w:noProof/>
        </w:rPr>
        <w:t xml:space="preserve">Mērķis(-i) </w:t>
      </w:r>
    </w:p>
    <w:p w:rsidR="00132BAA" w:rsidRDefault="00B31A4A">
      <w:pPr>
        <w:pStyle w:val="ManualHeading2"/>
        <w:rPr>
          <w:b w:val="0"/>
          <w:noProof/>
        </w:rPr>
      </w:pPr>
      <w:r>
        <w:rPr>
          <w:noProof/>
        </w:rPr>
        <w:tab/>
      </w:r>
      <w:r>
        <w:rPr>
          <w:b w:val="0"/>
          <w:noProof/>
        </w:rPr>
        <w:t>1.5.</w:t>
      </w:r>
      <w:r>
        <w:rPr>
          <w:noProof/>
        </w:rPr>
        <w:tab/>
      </w:r>
      <w:r>
        <w:rPr>
          <w:b w:val="0"/>
          <w:noProof/>
        </w:rPr>
        <w:t xml:space="preserve">Priekšlikuma/iniciatīvas pamatojums </w:t>
      </w:r>
    </w:p>
    <w:p w:rsidR="00132BAA" w:rsidRDefault="00B31A4A">
      <w:pPr>
        <w:pStyle w:val="ManualHeading2"/>
        <w:rPr>
          <w:b w:val="0"/>
          <w:noProof/>
        </w:rPr>
      </w:pPr>
      <w:r>
        <w:rPr>
          <w:noProof/>
        </w:rPr>
        <w:tab/>
      </w:r>
      <w:r>
        <w:rPr>
          <w:b w:val="0"/>
          <w:noProof/>
        </w:rPr>
        <w:t>1.6.</w:t>
      </w:r>
      <w:r>
        <w:rPr>
          <w:noProof/>
        </w:rPr>
        <w:tab/>
      </w:r>
      <w:r>
        <w:rPr>
          <w:b w:val="0"/>
          <w:noProof/>
        </w:rPr>
        <w:t xml:space="preserve">Ilgums un finansiālā ietekme </w:t>
      </w:r>
    </w:p>
    <w:p w:rsidR="00132BAA" w:rsidRDefault="00B31A4A">
      <w:pPr>
        <w:pStyle w:val="ManualHeading2"/>
        <w:rPr>
          <w:b w:val="0"/>
          <w:noProof/>
        </w:rPr>
      </w:pPr>
      <w:r>
        <w:rPr>
          <w:noProof/>
        </w:rPr>
        <w:tab/>
      </w:r>
      <w:r>
        <w:rPr>
          <w:b w:val="0"/>
          <w:noProof/>
        </w:rPr>
        <w:t>1.7.</w:t>
      </w:r>
      <w:r>
        <w:rPr>
          <w:noProof/>
        </w:rPr>
        <w:tab/>
      </w:r>
      <w:r>
        <w:rPr>
          <w:b w:val="0"/>
          <w:noProof/>
        </w:rPr>
        <w:t xml:space="preserve">Paredzētie pārvaldības veidi </w:t>
      </w:r>
    </w:p>
    <w:p w:rsidR="00132BAA" w:rsidRDefault="00B31A4A">
      <w:pPr>
        <w:pStyle w:val="ManualHeading1"/>
        <w:rPr>
          <w:noProof/>
        </w:rPr>
      </w:pPr>
      <w:r>
        <w:rPr>
          <w:noProof/>
        </w:rPr>
        <w:t>2.</w:t>
      </w:r>
      <w:r>
        <w:rPr>
          <w:noProof/>
        </w:rPr>
        <w:tab/>
        <w:t xml:space="preserve">PĀRVALDĪBAS PASĀKUMI </w:t>
      </w:r>
    </w:p>
    <w:p w:rsidR="00132BAA" w:rsidRDefault="00B31A4A">
      <w:pPr>
        <w:pStyle w:val="ManualHeading2"/>
        <w:rPr>
          <w:b w:val="0"/>
          <w:noProof/>
        </w:rPr>
      </w:pPr>
      <w:r>
        <w:rPr>
          <w:noProof/>
        </w:rPr>
        <w:tab/>
      </w:r>
      <w:r>
        <w:rPr>
          <w:b w:val="0"/>
          <w:noProof/>
        </w:rPr>
        <w:t>2.1.</w:t>
      </w:r>
      <w:r>
        <w:rPr>
          <w:noProof/>
        </w:rPr>
        <w:tab/>
      </w:r>
      <w:r>
        <w:rPr>
          <w:b w:val="0"/>
          <w:noProof/>
        </w:rPr>
        <w:t xml:space="preserve">Uzraudzības un ziņošanas noteikumi </w:t>
      </w:r>
    </w:p>
    <w:p w:rsidR="00132BAA" w:rsidRDefault="00B31A4A">
      <w:pPr>
        <w:pStyle w:val="ManualHeading2"/>
        <w:rPr>
          <w:b w:val="0"/>
          <w:noProof/>
        </w:rPr>
      </w:pPr>
      <w:r>
        <w:rPr>
          <w:noProof/>
        </w:rPr>
        <w:tab/>
      </w:r>
      <w:r>
        <w:rPr>
          <w:b w:val="0"/>
          <w:noProof/>
        </w:rPr>
        <w:t>2.2.</w:t>
      </w:r>
      <w:r>
        <w:rPr>
          <w:noProof/>
        </w:rPr>
        <w:tab/>
      </w:r>
      <w:r>
        <w:rPr>
          <w:b w:val="0"/>
          <w:noProof/>
        </w:rPr>
        <w:t xml:space="preserve">Pārvaldības un kontroles sistēma </w:t>
      </w:r>
    </w:p>
    <w:p w:rsidR="00132BAA" w:rsidRDefault="00B31A4A">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rsidR="00132BAA" w:rsidRDefault="00B31A4A">
      <w:pPr>
        <w:pStyle w:val="ManualHeading1"/>
        <w:rPr>
          <w:noProof/>
        </w:rPr>
      </w:pPr>
      <w:r>
        <w:rPr>
          <w:noProof/>
        </w:rPr>
        <w:t>3.</w:t>
      </w:r>
      <w:r>
        <w:rPr>
          <w:noProof/>
        </w:rPr>
        <w:tab/>
        <w:t>PRIEKŠLIKUMA/INICIATĪVAS PARED</w:t>
      </w:r>
      <w:r>
        <w:rPr>
          <w:noProof/>
        </w:rPr>
        <w:t xml:space="preserve">ZAMĀ FINANSIĀLĀ IETEKME </w:t>
      </w:r>
    </w:p>
    <w:p w:rsidR="00132BAA" w:rsidRDefault="00B31A4A">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rsidR="00132BAA" w:rsidRDefault="00B31A4A">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rsidR="00132BAA" w:rsidRDefault="00B31A4A">
      <w:pPr>
        <w:pStyle w:val="ManualHeading3"/>
        <w:rPr>
          <w:noProof/>
        </w:rPr>
      </w:pPr>
      <w:r>
        <w:rPr>
          <w:noProof/>
        </w:rPr>
        <w:tab/>
        <w:t>3.2.1.</w:t>
      </w:r>
      <w:r>
        <w:rPr>
          <w:noProof/>
        </w:rPr>
        <w:tab/>
        <w:t xml:space="preserve">Kopsavilkums par paredzamo ietekmi uz izdevumiem </w:t>
      </w:r>
    </w:p>
    <w:p w:rsidR="00132BAA" w:rsidRDefault="00B31A4A">
      <w:pPr>
        <w:pStyle w:val="ManualHeading3"/>
        <w:rPr>
          <w:noProof/>
        </w:rPr>
      </w:pPr>
      <w:r>
        <w:rPr>
          <w:noProof/>
        </w:rPr>
        <w:tab/>
        <w:t>3.2.2.</w:t>
      </w:r>
      <w:r>
        <w:rPr>
          <w:noProof/>
        </w:rPr>
        <w:tab/>
        <w:t>Paredzamā ietekme uz darbības ap</w:t>
      </w:r>
      <w:r>
        <w:rPr>
          <w:noProof/>
        </w:rPr>
        <w:t xml:space="preserve">ropriācijām </w:t>
      </w:r>
    </w:p>
    <w:p w:rsidR="00132BAA" w:rsidRDefault="00B31A4A">
      <w:pPr>
        <w:pStyle w:val="ManualHeading3"/>
        <w:rPr>
          <w:noProof/>
        </w:rPr>
      </w:pPr>
      <w:r>
        <w:rPr>
          <w:noProof/>
        </w:rPr>
        <w:tab/>
        <w:t>3.2.3.</w:t>
      </w:r>
      <w:r>
        <w:rPr>
          <w:noProof/>
        </w:rPr>
        <w:tab/>
        <w:t>Paredzamā ietekme uz administratīvajām apropriācijām</w:t>
      </w:r>
    </w:p>
    <w:p w:rsidR="00132BAA" w:rsidRDefault="00B31A4A">
      <w:pPr>
        <w:pStyle w:val="ManualHeading3"/>
        <w:rPr>
          <w:noProof/>
        </w:rPr>
      </w:pPr>
      <w:r>
        <w:rPr>
          <w:noProof/>
        </w:rPr>
        <w:tab/>
        <w:t>3.2.4.</w:t>
      </w:r>
      <w:r>
        <w:rPr>
          <w:noProof/>
        </w:rPr>
        <w:tab/>
        <w:t>Saderība ar kārtējo daudzgadu finanšu shēmu</w:t>
      </w:r>
    </w:p>
    <w:p w:rsidR="00132BAA" w:rsidRDefault="00B31A4A">
      <w:pPr>
        <w:pStyle w:val="ManualHeading3"/>
        <w:rPr>
          <w:noProof/>
        </w:rPr>
      </w:pPr>
      <w:r>
        <w:rPr>
          <w:noProof/>
        </w:rPr>
        <w:tab/>
        <w:t>3.2.5.</w:t>
      </w:r>
      <w:r>
        <w:rPr>
          <w:noProof/>
        </w:rPr>
        <w:tab/>
        <w:t xml:space="preserve">Trešo pušu iemaksas </w:t>
      </w:r>
    </w:p>
    <w:p w:rsidR="00132BAA" w:rsidRDefault="00B31A4A">
      <w:pPr>
        <w:pStyle w:val="ManualHeading2"/>
        <w:jc w:val="left"/>
        <w:rPr>
          <w:b w:val="0"/>
          <w:noProof/>
        </w:rPr>
        <w:sectPr w:rsidR="00132BAA">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rsidR="00132BAA" w:rsidRDefault="00B31A4A">
      <w:pPr>
        <w:jc w:val="center"/>
        <w:rPr>
          <w:noProof/>
        </w:rPr>
      </w:pPr>
      <w:r>
        <w:rPr>
          <w:b/>
          <w:noProof/>
          <w:u w:val="single"/>
        </w:rPr>
        <w:lastRenderedPageBreak/>
        <w:t xml:space="preserve">TIESĪBU AKTA PRIEKŠLIKUMA FINANŠU </w:t>
      </w:r>
      <w:r>
        <w:rPr>
          <w:b/>
          <w:noProof/>
          <w:u w:val="single"/>
        </w:rPr>
        <w:t>PĀRSKATS</w:t>
      </w:r>
    </w:p>
    <w:p w:rsidR="00132BAA" w:rsidRDefault="00B31A4A">
      <w:pPr>
        <w:pStyle w:val="ManualHeading1"/>
        <w:rPr>
          <w:noProof/>
        </w:rPr>
      </w:pPr>
      <w:r>
        <w:t>1.</w:t>
      </w:r>
      <w:r>
        <w:tab/>
      </w:r>
      <w:r>
        <w:rPr>
          <w:noProof/>
        </w:rPr>
        <w:t xml:space="preserve">PRIEKŠLIKUMA/INICIATĪVAS KONTEKSTS </w:t>
      </w:r>
    </w:p>
    <w:p w:rsidR="00132BAA" w:rsidRDefault="00B31A4A">
      <w:pPr>
        <w:pStyle w:val="ManualHeading2"/>
        <w:rPr>
          <w:noProof/>
        </w:rPr>
      </w:pPr>
      <w:r>
        <w:t>1.1.</w:t>
      </w:r>
      <w:r>
        <w:tab/>
      </w:r>
      <w:r>
        <w:rPr>
          <w:noProof/>
        </w:rPr>
        <w:t xml:space="preserve">Priekšlikuma/iniciatīvas nosaukums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EIROPAS PARLAMENTA UN PADOMES REGULA par Eiropas uzņēmējdarbības statistiku</w:t>
      </w:r>
    </w:p>
    <w:p w:rsidR="00132BAA" w:rsidRDefault="00B31A4A">
      <w:pPr>
        <w:pStyle w:val="ManualHeading2"/>
        <w:rPr>
          <w:noProof/>
          <w:szCs w:val="24"/>
        </w:rPr>
      </w:pPr>
      <w:r>
        <w:t>1.2.</w:t>
      </w:r>
      <w:r>
        <w:tab/>
      </w:r>
      <w:r>
        <w:rPr>
          <w:noProof/>
        </w:rPr>
        <w:t xml:space="preserve">Attiecīgās politikas jomas </w:t>
      </w:r>
      <w:r>
        <w:rPr>
          <w:i/>
          <w:noProof/>
        </w:rPr>
        <w:t>ABM/ABB</w:t>
      </w:r>
      <w:r>
        <w:rPr>
          <w:noProof/>
        </w:rPr>
        <w:t xml:space="preserve"> struktūrā</w:t>
      </w:r>
      <w:r>
        <w:rPr>
          <w:rStyle w:val="FootnoteReference"/>
          <w:noProof/>
        </w:rPr>
        <w:footnoteReference w:id="28"/>
      </w:r>
      <w:r>
        <w:rPr>
          <w:i/>
          <w:noProof/>
        </w:rPr>
        <w:t xml:space="preserve">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2902 – Eiropas statistikas programma</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0904 – “Apvārsnis 2020” </w:t>
      </w:r>
    </w:p>
    <w:p w:rsidR="00132BAA" w:rsidRDefault="00B31A4A">
      <w:pPr>
        <w:pStyle w:val="ManualHeading2"/>
        <w:rPr>
          <w:bCs/>
          <w:noProof/>
          <w:szCs w:val="24"/>
        </w:rPr>
      </w:pPr>
      <w:r>
        <w:t>1.3.</w:t>
      </w:r>
      <w:r>
        <w:tab/>
      </w:r>
      <w:r>
        <w:rPr>
          <w:noProof/>
        </w:rPr>
        <w:t xml:space="preserve">Priekšlikuma/iniciatīvas būtība </w:t>
      </w:r>
    </w:p>
    <w:p w:rsidR="00132BAA" w:rsidRDefault="00B31A4A">
      <w:pPr>
        <w:pStyle w:val="Text1"/>
        <w:rPr>
          <w:b/>
          <w:noProof/>
          <w:sz w:val="22"/>
        </w:rPr>
      </w:pPr>
      <w:r>
        <w:rPr>
          <w:noProof/>
          <w:sz w:val="22"/>
        </w:rPr>
        <w:sym w:font="Wingdings" w:char="F0A8"/>
      </w:r>
      <w:r>
        <w:rPr>
          <w:b/>
          <w:i/>
          <w:noProof/>
          <w:sz w:val="22"/>
        </w:rPr>
        <w:t xml:space="preserve"> </w:t>
      </w:r>
      <w:r>
        <w:rPr>
          <w:noProof/>
        </w:rPr>
        <w:t xml:space="preserve">Priekšlikums/iniciatīva attiecas uz </w:t>
      </w:r>
      <w:r>
        <w:rPr>
          <w:b/>
          <w:noProof/>
        </w:rPr>
        <w:t>jaunu darbību</w:t>
      </w:r>
      <w:r>
        <w:rPr>
          <w:b/>
          <w:noProof/>
          <w:sz w:val="22"/>
        </w:rPr>
        <w:t xml:space="preserve"> </w:t>
      </w:r>
    </w:p>
    <w:p w:rsidR="00132BAA" w:rsidRDefault="00B31A4A">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 xml:space="preserve">jaunu darbību, pamatojoties uz izmēģinājuma projektu/sagatavošanas darbību </w:t>
      </w:r>
      <w:r>
        <w:rPr>
          <w:rStyle w:val="FootnoteReference"/>
          <w:b/>
          <w:noProof/>
        </w:rPr>
        <w:footnoteReference w:id="29"/>
      </w:r>
      <w:r>
        <w:rPr>
          <w:noProof/>
          <w:sz w:val="22"/>
        </w:rPr>
        <w:t xml:space="preserve"> </w:t>
      </w:r>
    </w:p>
    <w:p w:rsidR="00132BAA" w:rsidRDefault="00B31A4A">
      <w:pPr>
        <w:pStyle w:val="Text1"/>
        <w:rPr>
          <w:noProof/>
          <w:sz w:val="22"/>
        </w:rPr>
      </w:pPr>
      <w:r>
        <w:rPr>
          <w:noProof/>
          <w:sz w:val="22"/>
        </w:rPr>
        <w:sym w:font="Wingdings" w:char="F0A8"/>
      </w:r>
      <w:r>
        <w:rPr>
          <w:i/>
          <w:noProof/>
          <w:sz w:val="22"/>
        </w:rPr>
        <w:t xml:space="preserve"> </w:t>
      </w:r>
      <w:r>
        <w:rPr>
          <w:noProof/>
        </w:rPr>
        <w:t>Priekšlikums/iniciatīv</w:t>
      </w:r>
      <w:r>
        <w:rPr>
          <w:noProof/>
        </w:rPr>
        <w:t xml:space="preserve">a attiecas uz </w:t>
      </w:r>
      <w:r>
        <w:rPr>
          <w:b/>
          <w:noProof/>
        </w:rPr>
        <w:t>esošas darbības pagarināšanu</w:t>
      </w:r>
      <w:r>
        <w:rPr>
          <w:noProof/>
          <w:sz w:val="22"/>
        </w:rPr>
        <w:t xml:space="preserve"> </w:t>
      </w:r>
    </w:p>
    <w:p w:rsidR="00132BAA" w:rsidRDefault="00B31A4A">
      <w:pPr>
        <w:pStyle w:val="Text1"/>
        <w:rPr>
          <w:noProof/>
        </w:rPr>
      </w:pPr>
      <w:r>
        <w:rPr>
          <w:noProof/>
          <w:sz w:val="22"/>
        </w:rPr>
        <w:sym w:font="Wingdings" w:char="F0FD"/>
      </w:r>
      <w:r>
        <w:rPr>
          <w:i/>
          <w:noProof/>
          <w:sz w:val="22"/>
        </w:rPr>
        <w:t xml:space="preserve"> </w:t>
      </w:r>
      <w:r>
        <w:rPr>
          <w:noProof/>
        </w:rPr>
        <w:t xml:space="preserve">Priekšlikums/iniciatīva attiecas uz </w:t>
      </w:r>
      <w:r>
        <w:rPr>
          <w:b/>
          <w:noProof/>
        </w:rPr>
        <w:t>darbību, kas pārveidota jaunā darbībā</w:t>
      </w:r>
      <w:r>
        <w:rPr>
          <w:noProof/>
        </w:rPr>
        <w:t xml:space="preserve"> </w:t>
      </w:r>
    </w:p>
    <w:p w:rsidR="00132BAA" w:rsidRDefault="00B31A4A">
      <w:pPr>
        <w:pStyle w:val="ManualHeading2"/>
        <w:rPr>
          <w:bCs/>
          <w:noProof/>
          <w:szCs w:val="24"/>
        </w:rPr>
      </w:pPr>
      <w:r>
        <w:t>1.4.</w:t>
      </w:r>
      <w:r>
        <w:tab/>
      </w:r>
      <w:r>
        <w:rPr>
          <w:noProof/>
        </w:rPr>
        <w:t>Mērķis(-i)</w:t>
      </w:r>
    </w:p>
    <w:p w:rsidR="00132BAA" w:rsidRDefault="00B31A4A">
      <w:pPr>
        <w:pStyle w:val="ManualHeading3"/>
        <w:rPr>
          <w:noProof/>
        </w:rPr>
      </w:pPr>
      <w:r>
        <w:t>1.4.1.</w:t>
      </w:r>
      <w:r>
        <w:tab/>
      </w:r>
      <w:r>
        <w:rPr>
          <w:noProof/>
        </w:rPr>
        <w:t xml:space="preserve">Komisijas daudzgadu stratēģiskie mērķi, kurus plānots sasniegt ar priekšlikumu/iniciatīvu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Lai dalībvalstu un Savienības līmenī varētu pārraudzīt Ž. K. Junkera vadītās Komisijas 10 prioritāšu ietvaros izvirzīto mērķu īstenošanu ir vajadzīga saskaņota un salīdzināma Eiropas statistika. </w:t>
      </w:r>
      <w:r>
        <w:rPr>
          <w:i/>
          <w:noProof/>
        </w:rPr>
        <w:t>FRIBS</w:t>
      </w:r>
      <w:r>
        <w:rPr>
          <w:noProof/>
        </w:rPr>
        <w:t xml:space="preserve"> integrētās pieejas mērķis ir sniegt augstas kvalitātes </w:t>
      </w:r>
      <w:r>
        <w:rPr>
          <w:noProof/>
        </w:rPr>
        <w:t>uzņēmējdarbības statistiku, lai pārraudzītu minēto prioritāšu ietvaros izvirzīto politikas mērķu īstenošanu, jo īpaši šādās jomās “Darbvietas, izaugsme un ieguldījumi”, “Digitālais vienotais tirgus”, “Iekšējais tirgus” un “ES un ASV brīvās tirdzniecības no</w:t>
      </w:r>
      <w:r>
        <w:rPr>
          <w:noProof/>
        </w:rPr>
        <w:t>līgums”. Šiem statistikas ievaddatiem jābūt sagatavotiem cik vien iespējams efektīvi, ņemot vērā mūsdienīgas statistisko datu vākšanas un sagatavošanas metodes.</w:t>
      </w:r>
    </w:p>
    <w:p w:rsidR="00132BAA" w:rsidRDefault="00B31A4A">
      <w:pPr>
        <w:pStyle w:val="ManualHeading3"/>
        <w:rPr>
          <w:bCs/>
          <w:noProof/>
          <w:szCs w:val="24"/>
        </w:rPr>
      </w:pPr>
      <w:r>
        <w:t>1.4.2.</w:t>
      </w:r>
      <w:r>
        <w:tab/>
      </w:r>
      <w:r>
        <w:rPr>
          <w:noProof/>
        </w:rPr>
        <w:t xml:space="preserve">Konkrētie mērķi un attiecīgās ABM/ABB darbības </w:t>
      </w:r>
    </w:p>
    <w:p w:rsidR="00132BAA" w:rsidRDefault="00B31A4A">
      <w:pPr>
        <w:pStyle w:val="Text1"/>
        <w:pBdr>
          <w:top w:val="single" w:sz="4" w:space="1" w:color="auto"/>
          <w:left w:val="single" w:sz="4" w:space="4" w:color="auto"/>
          <w:bottom w:val="single" w:sz="4" w:space="1" w:color="auto"/>
          <w:right w:val="single" w:sz="4" w:space="4" w:color="auto"/>
        </w:pBdr>
        <w:rPr>
          <w:noProof/>
          <w:u w:val="single"/>
        </w:rPr>
      </w:pPr>
      <w:r>
        <w:rPr>
          <w:noProof/>
          <w:u w:val="single"/>
        </w:rPr>
        <w:t>Konkrētais mērķis Nr. 1</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Komisijas 2016. </w:t>
      </w:r>
      <w:r>
        <w:rPr>
          <w:noProof/>
        </w:rPr>
        <w:t xml:space="preserve">gada darba programmas </w:t>
      </w:r>
      <w:r>
        <w:rPr>
          <w:i/>
          <w:noProof/>
        </w:rPr>
        <w:t>REFIT</w:t>
      </w:r>
      <w:r>
        <w:rPr>
          <w:noProof/>
        </w:rPr>
        <w:t xml:space="preserve"> iniciatīva Nr. 26 – statistikas pakete</w:t>
      </w:r>
    </w:p>
    <w:p w:rsidR="00132BAA" w:rsidRDefault="00B31A4A">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Attiecīgās </w:t>
      </w:r>
      <w:r>
        <w:rPr>
          <w:i/>
          <w:noProof/>
          <w:u w:val="single"/>
        </w:rPr>
        <w:t>ABM/ABB</w:t>
      </w:r>
      <w:r>
        <w:rPr>
          <w:noProof/>
          <w:u w:val="single"/>
        </w:rPr>
        <w:t xml:space="preserve"> darbības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2902 – Eiropas statistikas programma</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0904 – “Apvārsnis 2020” </w:t>
      </w:r>
    </w:p>
    <w:p w:rsidR="00132BAA" w:rsidRDefault="00B31A4A">
      <w:pPr>
        <w:pStyle w:val="Text1"/>
        <w:pBdr>
          <w:top w:val="single" w:sz="4" w:space="1" w:color="auto"/>
          <w:left w:val="single" w:sz="4" w:space="4" w:color="auto"/>
          <w:bottom w:val="single" w:sz="4" w:space="1" w:color="auto"/>
          <w:right w:val="single" w:sz="4" w:space="4" w:color="auto"/>
        </w:pBdr>
        <w:rPr>
          <w:noProof/>
          <w:szCs w:val="24"/>
        </w:rPr>
      </w:pPr>
      <w:r>
        <w:rPr>
          <w:noProof/>
        </w:rPr>
        <w:br w:type="page"/>
      </w:r>
      <w:r>
        <w:rPr>
          <w:noProof/>
        </w:rPr>
        <w:lastRenderedPageBreak/>
        <w:t>Paredzamais(-ie) rezultāts(-i) un ietekme</w:t>
      </w:r>
    </w:p>
    <w:p w:rsidR="00132BAA" w:rsidRDefault="00B31A4A">
      <w:pPr>
        <w:pStyle w:val="Text1"/>
        <w:rPr>
          <w:i/>
          <w:noProof/>
          <w:sz w:val="20"/>
        </w:rPr>
      </w:pPr>
      <w:r>
        <w:rPr>
          <w:i/>
          <w:noProof/>
          <w:sz w:val="20"/>
        </w:rPr>
        <w:t>Norādīt, kāda ir priekšlikuma/iniciatīvas iecerētā ietek</w:t>
      </w:r>
      <w:r>
        <w:rPr>
          <w:i/>
          <w:noProof/>
          <w:sz w:val="20"/>
        </w:rPr>
        <w:t>me uz finansējuma saņēmējiem/mērķgrupām.</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Iniciatīvai būtu jāveicina Eiropas uzņēmējdarbības statistikas elastība un reaģētspēja uz mainīgajām lietotāju vajadzībām un jāpalielina statistikas saskaņotība un kvalitāte. Ar iniciatīvu tiek atbalstītas Komisijas</w:t>
      </w:r>
      <w:r>
        <w:rPr>
          <w:noProof/>
        </w:rPr>
        <w:t xml:space="preserve"> galvenās prioritātes, nodrošinot konsekventākus un atbilstīgākus datus nolūkā uzraudzīt, piemēram, izaugsmi, darbvietu radīšanu, konkurētspēju, pētniecību un inovāciju, digitālo vienoto tirgu, globalizācijas ietekmi un iekšējā tirgus darbību. Tai būtu arī</w:t>
      </w:r>
      <w:r>
        <w:rPr>
          <w:noProof/>
        </w:rPr>
        <w:t xml:space="preserve"> jāveicina izmaksu ziņā lietderīgāku un mūsdienīgāku datu sagatavošanu un jāparedz rīkus administratīvā sloga samazināšanai datu sniedzējiem (uzņēmumiem).</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Attiecībā uz efektivitāti priekšlikums paredz augstākas sākotnējās īstenošanas izmaksas datu apkopotā</w:t>
      </w:r>
      <w:r>
        <w:rPr>
          <w:noProof/>
        </w:rPr>
        <w:t>jiem, ņemot vērā izmaiņas datu sagatavošanas procesā un jaunās datu prasības. Tomēr sistēmas līmeņa efektivitātes pieaugumam būtu jākompensē šīs papildu īstermiņa īstenošanas izmaksas ilgākā laika posmā.</w:t>
      </w:r>
    </w:p>
    <w:p w:rsidR="00132BAA" w:rsidRDefault="00B31A4A">
      <w:pPr>
        <w:pStyle w:val="ManualHeading3"/>
        <w:rPr>
          <w:bCs/>
          <w:noProof/>
          <w:szCs w:val="24"/>
        </w:rPr>
      </w:pPr>
      <w:r>
        <w:t>1.4.3.</w:t>
      </w:r>
      <w:r>
        <w:tab/>
      </w:r>
      <w:r>
        <w:rPr>
          <w:noProof/>
        </w:rPr>
        <w:t xml:space="preserve">Rezultātu un ietekmes rādītāji </w:t>
      </w:r>
    </w:p>
    <w:p w:rsidR="00132BAA" w:rsidRDefault="00B31A4A">
      <w:pPr>
        <w:pStyle w:val="Text1"/>
        <w:rPr>
          <w:i/>
          <w:noProof/>
          <w:sz w:val="20"/>
        </w:rPr>
      </w:pPr>
      <w:r>
        <w:rPr>
          <w:i/>
          <w:noProof/>
          <w:sz w:val="20"/>
        </w:rPr>
        <w:t>Norādīt priek</w:t>
      </w:r>
      <w:r>
        <w:rPr>
          <w:i/>
          <w:noProof/>
          <w:sz w:val="20"/>
        </w:rPr>
        <w:t>šlikuma/iniciatīvas īstenošanas uzraudzībā izmantojamos rādītājus.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Attiecībā uz katru darbības mērķi, kas noteikts ietekmes novērtējuma ziņojumā, galvenais rezultatīvais rādītājs dara iespējamu šā priekšlikuma īstenošanas regulāru uzraudzību.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Galvenais informācijas avots galveno rezultatīvo rādītāju aprēķināšanai ir valstu metadatu un kvalitātes ziņojumi, kā arī ikgadējais lietotāju apmierinātības apsekojums, ko veic </w:t>
      </w:r>
      <w:r>
        <w:rPr>
          <w:i/>
          <w:noProof/>
        </w:rPr>
        <w:t>Eurostat</w:t>
      </w:r>
      <w:r>
        <w:rPr>
          <w:noProof/>
        </w:rPr>
        <w:t xml:space="preserve"> un pārraudzības ziņojumi par </w:t>
      </w:r>
      <w:r>
        <w:rPr>
          <w:i/>
          <w:noProof/>
        </w:rPr>
        <w:t>Eurostat</w:t>
      </w:r>
      <w:r>
        <w:rPr>
          <w:noProof/>
        </w:rPr>
        <w:t xml:space="preserve"> izplatīšanu elektroniskā veidā.</w:t>
      </w:r>
    </w:p>
    <w:p w:rsidR="00132BAA" w:rsidRDefault="00B31A4A">
      <w:pPr>
        <w:pStyle w:val="ManualHeading2"/>
        <w:rPr>
          <w:bCs/>
          <w:noProof/>
          <w:szCs w:val="24"/>
        </w:rPr>
      </w:pPr>
      <w:r>
        <w:t>1.5.</w:t>
      </w:r>
      <w:r>
        <w:tab/>
      </w:r>
      <w:r>
        <w:rPr>
          <w:noProof/>
        </w:rPr>
        <w:t xml:space="preserve">Priekšlikuma/iniciatīvas pamatojums </w:t>
      </w:r>
    </w:p>
    <w:p w:rsidR="00132BAA" w:rsidRDefault="00B31A4A">
      <w:pPr>
        <w:pStyle w:val="ManualHeading3"/>
        <w:rPr>
          <w:noProof/>
        </w:rPr>
      </w:pPr>
      <w:r>
        <w:t>1.5.1.</w:t>
      </w:r>
      <w:r>
        <w:tab/>
      </w:r>
      <w:r>
        <w:rPr>
          <w:noProof/>
        </w:rPr>
        <w:t xml:space="preserve">Īstermiņa vai ilgtermiņa vajadzības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Īsā un vidējā laikposmā spēkā tiks integrētas spēkā esošās regulas Eiropas uzņēmējdarbības statistikas jomā un tiks apmierinātas lietotāju ilgtermiņa vajadzības pēc </w:t>
      </w:r>
      <w:r>
        <w:rPr>
          <w:noProof/>
        </w:rPr>
        <w:t>papildu informācijas par uzņēmumiem. Tiks samazināts datu sniedzēju slogs.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Ilgtermiņā šai iniciatīvai būtu jāuzlabo uzņēmējdarbības statistikas vākšanas un apkopošanas efektivitāte un tādējādi jāsamazina datu apkopotāju izmaksas. Turklāt palielināsies datu</w:t>
      </w:r>
      <w:r>
        <w:rPr>
          <w:noProof/>
        </w:rPr>
        <w:t xml:space="preserve"> lietderība, savlaicīgāk reaģējot uz jaunām svarīgām lietotāju vajadzībām, kas var rasties.</w:t>
      </w:r>
    </w:p>
    <w:p w:rsidR="00132BAA" w:rsidRDefault="00B31A4A">
      <w:pPr>
        <w:pStyle w:val="ManualHeading3"/>
        <w:rPr>
          <w:bCs/>
          <w:noProof/>
          <w:szCs w:val="24"/>
        </w:rPr>
      </w:pPr>
      <w:r>
        <w:t>1.5.2.</w:t>
      </w:r>
      <w:r>
        <w:tab/>
      </w:r>
      <w:r>
        <w:rPr>
          <w:noProof/>
        </w:rPr>
        <w:t>ES iesaistīšanās pievienotā vērtība</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Visās dalībvalstīs saskaņotas un salīdzināmas statistikas sagatavošanu, ar ko nodrošina ES vajadzību apmierināšanu, nav i</w:t>
      </w:r>
      <w:r>
        <w:rPr>
          <w:noProof/>
        </w:rPr>
        <w:t>espējams panākt vienīgi valstu līmenī. ES statistikas sagatavošana paredz harmonizētas metodikas ieviešanu un tādu kopīgu produktu un to raksturlielumu definēšanu, kurus paredzēts iesniegt atsevišķām dalībvalstīm; to var pilnībā sasniegt tikai ar ES līmeņa</w:t>
      </w:r>
      <w:r>
        <w:rPr>
          <w:noProof/>
        </w:rPr>
        <w:t xml:space="preserve"> rīcību.</w:t>
      </w:r>
    </w:p>
    <w:p w:rsidR="00132BAA" w:rsidRDefault="00B31A4A">
      <w:pPr>
        <w:pStyle w:val="ManualHeading3"/>
        <w:rPr>
          <w:bCs/>
          <w:noProof/>
          <w:szCs w:val="24"/>
        </w:rPr>
      </w:pPr>
      <w:r>
        <w:t>1.5.3.</w:t>
      </w:r>
      <w:r>
        <w:tab/>
      </w:r>
      <w:r>
        <w:rPr>
          <w:noProof/>
        </w:rPr>
        <w:t>Līdzīgas līdzšinējās pieredzes rezultātā gūtās atziņas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Lai nodrošinātu atbilstošus valsts datu noteikumus, regula ir vispiemērotākais ES instruments. 10 atsevišķu tiesību aktu līdzāspastāvēšana uzņēmējdarbības statistikas jomā radīja nekons</w:t>
      </w:r>
      <w:r>
        <w:rPr>
          <w:noProof/>
        </w:rPr>
        <w:t>ekvenci attiecībā uz izmantotajiem jēdzieniem un definīcijām.</w:t>
      </w:r>
    </w:p>
    <w:p w:rsidR="00132BAA" w:rsidRDefault="00B31A4A">
      <w:pPr>
        <w:pStyle w:val="ManualHeading3"/>
        <w:rPr>
          <w:bCs/>
          <w:noProof/>
          <w:szCs w:val="24"/>
        </w:rPr>
      </w:pPr>
      <w:r>
        <w:lastRenderedPageBreak/>
        <w:t>1.5.4.</w:t>
      </w:r>
      <w:r>
        <w:tab/>
      </w:r>
      <w:r>
        <w:rPr>
          <w:noProof/>
        </w:rPr>
        <w:t>Saderība un iespējamā sinerģija ar citiem atbilstošiem instrumentiem</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Tā kā tā ir pamatregula, kad tā stāsies spēkā, tā racionalizēs desmit patlaban spēkā esošus Eiropas uzņēmējdarbības st</w:t>
      </w:r>
      <w:r>
        <w:rPr>
          <w:noProof/>
        </w:rPr>
        <w:t>atistikas tiesību aktus. Metodiskie norādījumi tiks sniegti Eiropas uzņēmējdarbības statistikas rokasgrāmatā.</w:t>
      </w:r>
    </w:p>
    <w:p w:rsidR="00132BAA" w:rsidRDefault="00B31A4A">
      <w:pPr>
        <w:pStyle w:val="ManualHeading2"/>
        <w:rPr>
          <w:bCs/>
          <w:noProof/>
          <w:szCs w:val="24"/>
        </w:rPr>
      </w:pPr>
      <w:r>
        <w:rPr>
          <w:noProof/>
        </w:rPr>
        <w:br w:type="page"/>
      </w:r>
      <w:r>
        <w:lastRenderedPageBreak/>
        <w:t>1.6.</w:t>
      </w:r>
      <w:r>
        <w:tab/>
      </w:r>
      <w:r>
        <w:rPr>
          <w:noProof/>
        </w:rPr>
        <w:t xml:space="preserve">Ilgums un finansiālā ietekme </w:t>
      </w:r>
    </w:p>
    <w:p w:rsidR="00132BAA" w:rsidRDefault="00B31A4A">
      <w:pPr>
        <w:pStyle w:val="Text1"/>
        <w:rPr>
          <w:noProof/>
        </w:rPr>
      </w:pPr>
      <w:r>
        <w:rPr>
          <w:noProof/>
        </w:rPr>
        <w:sym w:font="Wingdings" w:char="F0A8"/>
      </w:r>
      <w:r>
        <w:rPr>
          <w:b/>
          <w:i/>
          <w:noProof/>
        </w:rPr>
        <w:t xml:space="preserve"> </w:t>
      </w:r>
      <w:r>
        <w:rPr>
          <w:b/>
          <w:noProof/>
        </w:rPr>
        <w:t xml:space="preserve">Ierobežota ilguma </w:t>
      </w:r>
      <w:r>
        <w:rPr>
          <w:noProof/>
        </w:rPr>
        <w:t>priekšlikums/iniciatīva</w:t>
      </w:r>
      <w:r>
        <w:rPr>
          <w:b/>
          <w:noProof/>
        </w:rPr>
        <w:t xml:space="preserve"> </w:t>
      </w:r>
    </w:p>
    <w:p w:rsidR="00132BAA" w:rsidRDefault="00B31A4A">
      <w:pPr>
        <w:pStyle w:val="ListDash2"/>
        <w:rPr>
          <w:noProof/>
        </w:rPr>
      </w:pPr>
      <w:r>
        <w:rPr>
          <w:noProof/>
        </w:rPr>
        <w:sym w:font="Wingdings" w:char="F0A8"/>
      </w:r>
      <w:r>
        <w:rPr>
          <w:noProof/>
        </w:rPr>
        <w:tab/>
        <w:t>Priekšlikuma/iniciatīvas darbības laiks: [DD.MM.]GGGG.–[DD.MM.]</w:t>
      </w:r>
      <w:r>
        <w:rPr>
          <w:noProof/>
        </w:rPr>
        <w:t xml:space="preserve">GGGG. </w:t>
      </w:r>
    </w:p>
    <w:p w:rsidR="00132BAA" w:rsidRDefault="00B31A4A">
      <w:pPr>
        <w:pStyle w:val="ListDash2"/>
        <w:rPr>
          <w:noProof/>
        </w:rPr>
      </w:pPr>
      <w:r>
        <w:rPr>
          <w:noProof/>
        </w:rPr>
        <w:sym w:font="Wingdings" w:char="F0A8"/>
      </w:r>
      <w:r>
        <w:rPr>
          <w:noProof/>
        </w:rPr>
        <w:tab/>
        <w:t xml:space="preserve">Finansiālā ietekme: GGGG.– GGGG. </w:t>
      </w:r>
    </w:p>
    <w:p w:rsidR="00132BAA" w:rsidRDefault="00B31A4A">
      <w:pPr>
        <w:pStyle w:val="Text1"/>
        <w:rPr>
          <w:noProof/>
        </w:rPr>
      </w:pPr>
      <w:r>
        <w:rPr>
          <w:noProof/>
        </w:rPr>
        <w:sym w:font="Wingdings" w:char="F0FD"/>
      </w:r>
      <w:r>
        <w:rPr>
          <w:b/>
          <w:i/>
          <w:noProof/>
        </w:rPr>
        <w:t xml:space="preserve"> </w:t>
      </w:r>
      <w:r>
        <w:rPr>
          <w:b/>
          <w:noProof/>
        </w:rPr>
        <w:t>Beztermiņa</w:t>
      </w:r>
      <w:r>
        <w:rPr>
          <w:noProof/>
        </w:rPr>
        <w:t xml:space="preserve"> priekšlikums/iniciatīva</w:t>
      </w:r>
    </w:p>
    <w:p w:rsidR="00132BAA" w:rsidRDefault="00B31A4A">
      <w:pPr>
        <w:pStyle w:val="ListDash1"/>
        <w:rPr>
          <w:noProof/>
        </w:rPr>
      </w:pPr>
      <w:r>
        <w:rPr>
          <w:noProof/>
        </w:rPr>
        <w:t>Īstenošana ar uzsākšanas periodu no 2019. līdz 2021. gadam,</w:t>
      </w:r>
    </w:p>
    <w:p w:rsidR="00132BAA" w:rsidRDefault="00B31A4A">
      <w:pPr>
        <w:pStyle w:val="ListDash1"/>
        <w:rPr>
          <w:noProof/>
        </w:rPr>
      </w:pPr>
      <w:r>
        <w:rPr>
          <w:noProof/>
        </w:rPr>
        <w:t>pēc kura turpinās normāla darbība.</w:t>
      </w:r>
    </w:p>
    <w:p w:rsidR="00132BAA" w:rsidRDefault="00B31A4A">
      <w:pPr>
        <w:pStyle w:val="ManualHeading2"/>
        <w:rPr>
          <w:bCs/>
          <w:noProof/>
          <w:szCs w:val="24"/>
        </w:rPr>
      </w:pPr>
      <w:r>
        <w:t>1.7.</w:t>
      </w:r>
      <w:r>
        <w:tab/>
      </w:r>
      <w:r>
        <w:rPr>
          <w:noProof/>
        </w:rPr>
        <w:t>Paredzētie pārvaldības veidi</w:t>
      </w:r>
      <w:r>
        <w:rPr>
          <w:rStyle w:val="FootnoteReference"/>
          <w:noProof/>
        </w:rPr>
        <w:footnoteReference w:id="30"/>
      </w:r>
      <w:r>
        <w:rPr>
          <w:rStyle w:val="FootnoteReference"/>
          <w:noProof/>
        </w:rPr>
        <w:t xml:space="preserve"> </w:t>
      </w:r>
    </w:p>
    <w:p w:rsidR="00132BAA" w:rsidRDefault="00B31A4A">
      <w:pPr>
        <w:pStyle w:val="Text1"/>
        <w:rPr>
          <w:noProof/>
        </w:rPr>
      </w:pPr>
      <w:r>
        <w:rPr>
          <w:noProof/>
        </w:rPr>
        <w:sym w:font="Wingdings" w:char="F0FD"/>
      </w:r>
      <w:r>
        <w:rPr>
          <w:noProof/>
        </w:rPr>
        <w:t xml:space="preserve">Komisijas īstenota </w:t>
      </w:r>
      <w:r>
        <w:rPr>
          <w:b/>
          <w:noProof/>
        </w:rPr>
        <w:t>tieša pārvaldība</w:t>
      </w:r>
    </w:p>
    <w:p w:rsidR="00132BAA" w:rsidRDefault="00B31A4A">
      <w:pPr>
        <w:pStyle w:val="ListDash2"/>
        <w:rPr>
          <w:rFonts w:cs="EUAlbertina"/>
          <w:noProof/>
        </w:rPr>
      </w:pPr>
      <w:r>
        <w:rPr>
          <w:noProof/>
        </w:rPr>
        <w:sym w:font="Wingdings" w:char="F0FD"/>
      </w:r>
      <w:r>
        <w:rPr>
          <w:noProof/>
        </w:rPr>
        <w:t>ko veic</w:t>
      </w:r>
      <w:r>
        <w:rPr>
          <w:noProof/>
        </w:rPr>
        <w:t xml:space="preserve"> tās struktūrvienības, tostarp personāls Savienības delegācijās; </w:t>
      </w:r>
    </w:p>
    <w:p w:rsidR="00132BAA" w:rsidRDefault="00B31A4A">
      <w:pPr>
        <w:pStyle w:val="ListDash2"/>
        <w:rPr>
          <w:noProof/>
        </w:rPr>
      </w:pPr>
      <w:r>
        <w:rPr>
          <w:noProof/>
        </w:rPr>
        <w:sym w:font="Wingdings" w:char="F0A8"/>
      </w:r>
      <w:r>
        <w:rPr>
          <w:noProof/>
        </w:rPr>
        <w:tab/>
        <w:t xml:space="preserve">ko veic izpildaģentūras. </w:t>
      </w:r>
    </w:p>
    <w:p w:rsidR="00132BAA" w:rsidRDefault="00B31A4A">
      <w:pPr>
        <w:pStyle w:val="Text1"/>
        <w:rPr>
          <w:noProof/>
        </w:rPr>
      </w:pPr>
      <w:r>
        <w:rPr>
          <w:noProof/>
        </w:rPr>
        <w:sym w:font="Wingdings" w:char="F0A8"/>
      </w:r>
      <w:r>
        <w:rPr>
          <w:b/>
          <w:noProof/>
        </w:rPr>
        <w:t>Dalīta pārvaldība</w:t>
      </w:r>
      <w:r>
        <w:rPr>
          <w:noProof/>
        </w:rPr>
        <w:t xml:space="preserve"> kopā ar dalībvalstīm </w:t>
      </w:r>
    </w:p>
    <w:p w:rsidR="00132BAA" w:rsidRDefault="00B31A4A">
      <w:pPr>
        <w:pStyle w:val="Text1"/>
        <w:rPr>
          <w:noProof/>
        </w:rPr>
      </w:pPr>
      <w:r>
        <w:rPr>
          <w:noProof/>
        </w:rPr>
        <w:sym w:font="Wingdings" w:char="F0A8"/>
      </w:r>
      <w:r>
        <w:rPr>
          <w:b/>
          <w:noProof/>
        </w:rPr>
        <w:t>Netieša pārvaldība</w:t>
      </w:r>
      <w:r>
        <w:rPr>
          <w:noProof/>
        </w:rPr>
        <w:t>, kurā budžeta īstenošanas uzdevumi uzticēti:</w:t>
      </w:r>
    </w:p>
    <w:p w:rsidR="00132BAA" w:rsidRDefault="00B31A4A">
      <w:pPr>
        <w:pStyle w:val="ListDash2"/>
        <w:rPr>
          <w:noProof/>
        </w:rPr>
      </w:pPr>
      <w:r>
        <w:rPr>
          <w:noProof/>
        </w:rPr>
        <w:sym w:font="Wingdings" w:char="F0A8"/>
      </w:r>
      <w:r>
        <w:rPr>
          <w:noProof/>
        </w:rPr>
        <w:t>trešām valstīm vai to noteiktām struktūrām;</w:t>
      </w:r>
    </w:p>
    <w:p w:rsidR="00132BAA" w:rsidRDefault="00B31A4A">
      <w:pPr>
        <w:pStyle w:val="ListDash2"/>
        <w:rPr>
          <w:noProof/>
        </w:rPr>
      </w:pPr>
      <w:r>
        <w:rPr>
          <w:noProof/>
        </w:rPr>
        <w:sym w:font="Wingdings" w:char="F0A8"/>
      </w:r>
      <w:r>
        <w:rPr>
          <w:noProof/>
        </w:rPr>
        <w:t>starptautiskām organizācijām un to aģentūrām (precizēt);</w:t>
      </w:r>
    </w:p>
    <w:p w:rsidR="00132BAA" w:rsidRDefault="00B31A4A">
      <w:pPr>
        <w:pStyle w:val="ListDash2"/>
        <w:rPr>
          <w:noProof/>
        </w:rPr>
      </w:pPr>
      <w:r>
        <w:rPr>
          <w:noProof/>
        </w:rPr>
        <w:sym w:font="Wingdings" w:char="F0A8"/>
      </w:r>
      <w:r>
        <w:rPr>
          <w:noProof/>
        </w:rPr>
        <w:t>EIB un Eiropas Investīciju fondam;</w:t>
      </w:r>
    </w:p>
    <w:p w:rsidR="00132BAA" w:rsidRDefault="00B31A4A">
      <w:pPr>
        <w:pStyle w:val="ListDash2"/>
        <w:rPr>
          <w:noProof/>
        </w:rPr>
      </w:pPr>
      <w:r>
        <w:rPr>
          <w:noProof/>
        </w:rPr>
        <w:sym w:font="Wingdings" w:char="F0A8"/>
      </w:r>
      <w:r>
        <w:rPr>
          <w:noProof/>
        </w:rPr>
        <w:t>Finanšu regulas 208. un 209. pantā minētajām struktūrām;</w:t>
      </w:r>
    </w:p>
    <w:p w:rsidR="00132BAA" w:rsidRDefault="00B31A4A">
      <w:pPr>
        <w:pStyle w:val="ListDash2"/>
        <w:rPr>
          <w:noProof/>
        </w:rPr>
      </w:pPr>
      <w:r>
        <w:rPr>
          <w:noProof/>
        </w:rPr>
        <w:sym w:font="Wingdings" w:char="F0A8"/>
      </w:r>
      <w:r>
        <w:rPr>
          <w:noProof/>
        </w:rPr>
        <w:t>publisko tiesību subjektiem;</w:t>
      </w:r>
    </w:p>
    <w:p w:rsidR="00132BAA" w:rsidRDefault="00B31A4A">
      <w:pPr>
        <w:pStyle w:val="ListDash2"/>
        <w:rPr>
          <w:noProof/>
        </w:rPr>
      </w:pPr>
      <w:r>
        <w:rPr>
          <w:noProof/>
        </w:rPr>
        <w:sym w:font="Wingdings" w:char="F0A8"/>
      </w:r>
      <w:r>
        <w:rPr>
          <w:noProof/>
        </w:rPr>
        <w:t xml:space="preserve">privāttiesību subjektiem, kas veic valsts pārvaldes uzdevumus, ja tie </w:t>
      </w:r>
      <w:r>
        <w:rPr>
          <w:noProof/>
        </w:rPr>
        <w:t>sniedz pienācīgas finanšu garantijas;</w:t>
      </w:r>
    </w:p>
    <w:p w:rsidR="00132BAA" w:rsidRDefault="00B31A4A">
      <w:pPr>
        <w:pStyle w:val="ListDash2"/>
        <w:rPr>
          <w:noProof/>
        </w:rPr>
      </w:pPr>
      <w:r>
        <w:rPr>
          <w:noProof/>
        </w:rPr>
        <w:sym w:font="Wingdings" w:char="F0A8"/>
      </w:r>
      <w:r>
        <w:rPr>
          <w:noProof/>
        </w:rPr>
        <w:t>struktūrām, kuru darbību reglamentē dalībvalsts privāttiesības, kurām ir uzticēta publiskā un privātā sektora partnerības īstenošana un kuras sniedz pienācīgas finanšu garantijas;</w:t>
      </w:r>
    </w:p>
    <w:p w:rsidR="00132BAA" w:rsidRDefault="00B31A4A">
      <w:pPr>
        <w:pStyle w:val="ListDash2"/>
        <w:rPr>
          <w:noProof/>
        </w:rPr>
      </w:pPr>
      <w:r>
        <w:rPr>
          <w:noProof/>
        </w:rPr>
        <w:sym w:font="Wingdings" w:char="F0A8"/>
      </w:r>
      <w:r>
        <w:rPr>
          <w:noProof/>
        </w:rPr>
        <w:t>personām, kurām ir uzticēts veikt īp</w:t>
      </w:r>
      <w:r>
        <w:rPr>
          <w:noProof/>
        </w:rPr>
        <w:t>ašas darbības KĀDP saskaņā ar Līguma par Eiropas Savienību V sadaļu un kuras ir noteiktas attiecīgā pamataktā.</w:t>
      </w:r>
    </w:p>
    <w:p w:rsidR="00132BAA" w:rsidRDefault="00B31A4A">
      <w:pPr>
        <w:pStyle w:val="ListDash2"/>
        <w:rPr>
          <w:i/>
          <w:noProof/>
          <w:sz w:val="18"/>
          <w:u w:val="single"/>
        </w:rPr>
      </w:pPr>
      <w:r>
        <w:rPr>
          <w:i/>
          <w:noProof/>
          <w:sz w:val="18"/>
        </w:rPr>
        <w:t>Ja norādīti vairāki pārvaldības veidi, sniedziet papildu informāciju iedaļā “Piezīmes”.</w:t>
      </w:r>
    </w:p>
    <w:p w:rsidR="00132BAA" w:rsidRDefault="00B31A4A">
      <w:pPr>
        <w:rPr>
          <w:noProof/>
        </w:rPr>
      </w:pPr>
      <w:r>
        <w:rPr>
          <w:noProof/>
        </w:rPr>
        <w:t xml:space="preserve">Piezīmes </w:t>
      </w:r>
    </w:p>
    <w:p w:rsidR="00132BAA" w:rsidRDefault="00B31A4A">
      <w:pPr>
        <w:pBdr>
          <w:top w:val="single" w:sz="4" w:space="1" w:color="auto"/>
          <w:left w:val="single" w:sz="4" w:space="4" w:color="auto"/>
          <w:bottom w:val="single" w:sz="4" w:space="1" w:color="auto"/>
          <w:right w:val="single" w:sz="4" w:space="4" w:color="auto"/>
        </w:pBdr>
        <w:rPr>
          <w:noProof/>
        </w:rPr>
      </w:pPr>
      <w:r>
        <w:rPr>
          <w:noProof/>
        </w:rPr>
        <w:t>[…]</w:t>
      </w:r>
    </w:p>
    <w:p w:rsidR="00132BAA" w:rsidRDefault="00B31A4A">
      <w:pPr>
        <w:pBdr>
          <w:top w:val="single" w:sz="4" w:space="1" w:color="auto"/>
          <w:left w:val="single" w:sz="4" w:space="4" w:color="auto"/>
          <w:bottom w:val="single" w:sz="4" w:space="1" w:color="auto"/>
          <w:right w:val="single" w:sz="4" w:space="4" w:color="auto"/>
        </w:pBdr>
        <w:rPr>
          <w:noProof/>
        </w:rPr>
      </w:pPr>
      <w:r>
        <w:rPr>
          <w:noProof/>
        </w:rPr>
        <w:t>[…]</w:t>
      </w:r>
    </w:p>
    <w:p w:rsidR="00132BAA" w:rsidRDefault="00132BAA">
      <w:pPr>
        <w:rPr>
          <w:noProof/>
        </w:rPr>
        <w:sectPr w:rsidR="00132BAA">
          <w:pgSz w:w="11907" w:h="16840" w:code="9"/>
          <w:pgMar w:top="1134" w:right="1418" w:bottom="1134" w:left="1418" w:header="709" w:footer="709" w:gutter="0"/>
          <w:cols w:space="708"/>
          <w:docGrid w:linePitch="360"/>
        </w:sectPr>
      </w:pPr>
    </w:p>
    <w:p w:rsidR="00132BAA" w:rsidRDefault="00B31A4A">
      <w:pPr>
        <w:pStyle w:val="ManualHeading1"/>
        <w:rPr>
          <w:bCs/>
          <w:noProof/>
          <w:szCs w:val="24"/>
        </w:rPr>
      </w:pPr>
      <w:r>
        <w:lastRenderedPageBreak/>
        <w:t>2.</w:t>
      </w:r>
      <w:r>
        <w:tab/>
      </w:r>
      <w:r>
        <w:rPr>
          <w:noProof/>
        </w:rPr>
        <w:t xml:space="preserve">PĀRVALDĪBAS </w:t>
      </w:r>
      <w:r>
        <w:rPr>
          <w:noProof/>
        </w:rPr>
        <w:t xml:space="preserve">PASĀKUMI </w:t>
      </w:r>
    </w:p>
    <w:p w:rsidR="00132BAA" w:rsidRDefault="00B31A4A">
      <w:pPr>
        <w:pStyle w:val="ManualHeading2"/>
        <w:rPr>
          <w:noProof/>
        </w:rPr>
      </w:pPr>
      <w:r>
        <w:t>2.1.</w:t>
      </w:r>
      <w:r>
        <w:tab/>
      </w:r>
      <w:r>
        <w:rPr>
          <w:noProof/>
        </w:rPr>
        <w:t xml:space="preserve">Uzraudzības un ziņošanas noteikumi </w:t>
      </w:r>
    </w:p>
    <w:p w:rsidR="00132BAA" w:rsidRDefault="00B31A4A">
      <w:pPr>
        <w:pStyle w:val="Text1"/>
        <w:rPr>
          <w:i/>
          <w:noProof/>
          <w:sz w:val="20"/>
          <w:u w:val="single"/>
        </w:rPr>
      </w:pPr>
      <w:r>
        <w:rPr>
          <w:i/>
          <w:noProof/>
          <w:sz w:val="20"/>
        </w:rPr>
        <w:t>Norādīt periodiskumu un nosacījumus.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Attiecībā uz katru statistikas datu vākšanu ir ieviesta sīku ziņojumu sniegšana par kvalitātes īstenošanu saskaņā ar konkrētiem </w:t>
      </w:r>
      <w:r>
        <w:rPr>
          <w:i/>
          <w:noProof/>
        </w:rPr>
        <w:t>Eurostat</w:t>
      </w:r>
      <w:r>
        <w:rPr>
          <w:noProof/>
        </w:rPr>
        <w:t xml:space="preserve"> noteikumiem. Saskaņā ar jauno p</w:t>
      </w:r>
      <w:r>
        <w:rPr>
          <w:noProof/>
        </w:rPr>
        <w:t>riekšlikumu tas tiks turpināts un vēl vairāk uzlabots.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Dotāciju saņēmējiem jāsniedz savāktie dati un attiecīgais kvalitātes ziņojums. </w:t>
      </w:r>
    </w:p>
    <w:p w:rsidR="00132BAA" w:rsidRDefault="00B31A4A">
      <w:pPr>
        <w:pStyle w:val="ManualHeading2"/>
        <w:rPr>
          <w:bCs/>
          <w:noProof/>
          <w:szCs w:val="24"/>
        </w:rPr>
      </w:pPr>
      <w:r>
        <w:t>2.2.</w:t>
      </w:r>
      <w:r>
        <w:tab/>
      </w:r>
      <w:r>
        <w:rPr>
          <w:noProof/>
        </w:rPr>
        <w:t xml:space="preserve">Pārvaldības un kontroles sistēma </w:t>
      </w:r>
    </w:p>
    <w:p w:rsidR="00132BAA" w:rsidRDefault="00B31A4A">
      <w:pPr>
        <w:pStyle w:val="ManualHeading3"/>
        <w:rPr>
          <w:noProof/>
        </w:rPr>
      </w:pPr>
      <w:r>
        <w:t>2.2.1.</w:t>
      </w:r>
      <w:r>
        <w:tab/>
      </w:r>
      <w:r>
        <w:rPr>
          <w:noProof/>
        </w:rPr>
        <w:t xml:space="preserve">Apzinātie riski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Tā kā ir paredzēta tiešā pārvaldība, raksturīgie riski ir saistīti ar publisko iepirkumu un dotāciju pārvaldību. </w:t>
      </w:r>
    </w:p>
    <w:p w:rsidR="00132BAA" w:rsidRDefault="00B31A4A">
      <w:pPr>
        <w:pStyle w:val="ManualHeading3"/>
        <w:rPr>
          <w:bCs/>
          <w:noProof/>
          <w:szCs w:val="24"/>
        </w:rPr>
      </w:pPr>
      <w:r>
        <w:t>2.2.2.</w:t>
      </w:r>
      <w:r>
        <w:tab/>
      </w:r>
      <w:r>
        <w:rPr>
          <w:noProof/>
        </w:rPr>
        <w:t>Informācija par izveidoto iekšējās kontroles sistēmu</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ir definējis 2013.–2017. gada kontroles stratēģiju, kas papildina izdevum</w:t>
      </w:r>
      <w:r>
        <w:rPr>
          <w:noProof/>
        </w:rPr>
        <w:t xml:space="preserve">u īstenošanu. Šīs stratēģijas pasākumi un rīki ir pilnībā piemērojami ierosinātajai regulai. Vienkāršojot, piemērojot izmaksu lietderības principam atbilstošas uzraudzības procedūras, kā arī veicot uz risku balstītas </w:t>
      </w:r>
      <w:r>
        <w:rPr>
          <w:i/>
          <w:noProof/>
        </w:rPr>
        <w:t>ex-ante</w:t>
      </w:r>
      <w:r>
        <w:rPr>
          <w:noProof/>
        </w:rPr>
        <w:t xml:space="preserve"> un </w:t>
      </w:r>
      <w:r>
        <w:rPr>
          <w:i/>
          <w:noProof/>
        </w:rPr>
        <w:t>ex-post</w:t>
      </w:r>
      <w:r>
        <w:rPr>
          <w:noProof/>
        </w:rPr>
        <w:t xml:space="preserve"> kontroles, samazinās</w:t>
      </w:r>
      <w:r>
        <w:rPr>
          <w:noProof/>
        </w:rPr>
        <w:t>ies krāpšanas iespēja un tiks uzlabota krāpšanas novēršana. Kontroles stratēģijā ietilpst informēšanas pasākumi un atbilstoša apmācība saistībā ar krāpšanas apkarošanu.</w:t>
      </w:r>
    </w:p>
    <w:p w:rsidR="00132BAA" w:rsidRDefault="00B31A4A">
      <w:pPr>
        <w:pStyle w:val="ManualHeading3"/>
        <w:rPr>
          <w:noProof/>
        </w:rPr>
      </w:pPr>
      <w:r>
        <w:t>2.2.3.</w:t>
      </w:r>
      <w:r>
        <w:tab/>
      </w:r>
      <w:r>
        <w:rPr>
          <w:noProof/>
        </w:rPr>
        <w:t>Paredzamās pārbaužu izmaksas un ieguvumi un gaidāmā kļūdas riska līmeņa novērtēj</w:t>
      </w:r>
      <w:r>
        <w:rPr>
          <w:noProof/>
        </w:rPr>
        <w:t xml:space="preserve">ums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ir ieviesis kontroles stratēģiju, kuras mērķis kopumā ir panākt, lai neatbilstības risks būtu zemāks par būtiskuma kritēriju, proti, 2 %, atbilstīgi tā Stratēģiskajā plānā 2016.–2020. gadam noteiktajiem iekšējās kontroles un riska pārvaldības</w:t>
      </w:r>
      <w:r>
        <w:rPr>
          <w:noProof/>
        </w:rPr>
        <w:t xml:space="preserve"> mērķiem. 100 % finanšu darījumu (tādējādi 100 % budžeta) tiks veiktas obligātas </w:t>
      </w:r>
      <w:r>
        <w:rPr>
          <w:i/>
          <w:noProof/>
        </w:rPr>
        <w:t>ex-ante</w:t>
      </w:r>
      <w:r>
        <w:rPr>
          <w:noProof/>
        </w:rPr>
        <w:t xml:space="preserve"> kontroles saskaņā ar Finanšu regulu. Turklāt pēc ikgadējās riska analīzes tiks veiktas kontroles, izmantojot pamatīgu dokumentācijas analīzi. Tās var attiekties uz 4–6</w:t>
      </w:r>
      <w:r>
        <w:rPr>
          <w:noProof/>
        </w:rPr>
        <w:t xml:space="preserve"> % no kopējā budžeta, ko pārvalda </w:t>
      </w:r>
      <w:r>
        <w:rPr>
          <w:i/>
          <w:noProof/>
        </w:rPr>
        <w:t>Eurostat</w:t>
      </w:r>
      <w:r>
        <w:rPr>
          <w:noProof/>
        </w:rPr>
        <w:t xml:space="preserve">. </w:t>
      </w:r>
    </w:p>
    <w:p w:rsidR="00132BAA" w:rsidRDefault="00B31A4A">
      <w:pPr>
        <w:pStyle w:val="ManualHeading2"/>
        <w:rPr>
          <w:bCs/>
          <w:noProof/>
          <w:szCs w:val="24"/>
        </w:rPr>
      </w:pPr>
      <w:r>
        <w:t>2.3.</w:t>
      </w:r>
      <w:r>
        <w:tab/>
      </w:r>
      <w:r>
        <w:rPr>
          <w:noProof/>
        </w:rPr>
        <w:t xml:space="preserve">Krāpšanas un pārkāpumu novēršanas pasākumi </w:t>
      </w:r>
    </w:p>
    <w:p w:rsidR="00132BAA" w:rsidRDefault="00B31A4A">
      <w:pPr>
        <w:pStyle w:val="Text1"/>
        <w:rPr>
          <w:i/>
          <w:noProof/>
          <w:sz w:val="20"/>
        </w:rPr>
      </w:pPr>
      <w:r>
        <w:rPr>
          <w:i/>
          <w:noProof/>
          <w:sz w:val="20"/>
        </w:rPr>
        <w:t>Norādīt esošos vai plānotos novēršanas pasākumus un citus pretpasākumus.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2013. gada 30. oktobrī apstiprināja “Krāpšanas apkarošanas stratēģiju 2014.–2017. gadam” saskaņā ar Komisijas 2011. gada 24. jūnija krāpšanas apkarošanas stratēģiju (</w:t>
      </w:r>
      <w:r>
        <w:rPr>
          <w:i/>
          <w:noProof/>
        </w:rPr>
        <w:t>CAFS</w:t>
      </w:r>
      <w:r>
        <w:rPr>
          <w:noProof/>
        </w:rPr>
        <w:t xml:space="preserve">). </w:t>
      </w:r>
      <w:r>
        <w:rPr>
          <w:i/>
          <w:noProof/>
        </w:rPr>
        <w:t>Eurostat</w:t>
      </w:r>
      <w:r>
        <w:rPr>
          <w:noProof/>
        </w:rPr>
        <w:t xml:space="preserve"> Krāpšanas apkarošanas stratēģijā noteikti trīs darbības mērķi: i) stiprin</w:t>
      </w:r>
      <w:r>
        <w:rPr>
          <w:noProof/>
        </w:rPr>
        <w:t xml:space="preserve">āt esošos krāpšanas apkarošanas komponentus; ii) labāk integrēt </w:t>
      </w:r>
      <w:r>
        <w:rPr>
          <w:i/>
          <w:noProof/>
        </w:rPr>
        <w:t>Eurostat</w:t>
      </w:r>
      <w:r>
        <w:rPr>
          <w:noProof/>
        </w:rPr>
        <w:t xml:space="preserve"> riska novērtēšanā/riska pārvaldībā un revīzijās, plānošanā, ziņošanā un uzraudzībā krāpšanas apkarošanas elementus, iii) pastiprināt </w:t>
      </w:r>
      <w:r>
        <w:rPr>
          <w:i/>
          <w:noProof/>
        </w:rPr>
        <w:t>Eurostat</w:t>
      </w:r>
      <w:r>
        <w:rPr>
          <w:noProof/>
        </w:rPr>
        <w:t xml:space="preserve"> krāpšanas apkarošanas spēju un izpratni p</w:t>
      </w:r>
      <w:r>
        <w:rPr>
          <w:noProof/>
        </w:rPr>
        <w:t>ar to kā daļu no Komisijas krāpšanas apkarošanas kultūras. Krāpšanas apkarošanas stratēģiju papildina krāpšanas apkarošanas rīcības plāns. Tās piemērošanas laikā Krāpšanas apkarošanas stratēģijas īstenošanu uzrauga divas reizes gadā, sniedzot ziņojumus vad</w:t>
      </w:r>
      <w:r>
        <w:rPr>
          <w:noProof/>
        </w:rPr>
        <w:t>ībai.</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novērtēs stratēģijas ietekmi 2017. gadā un attiecīgi stratēģiju atjauninās. Nozīmīgu pavērsienu stratēģijas novērtēšanas jomā 2016. gadā iezīmēja </w:t>
      </w:r>
      <w:r>
        <w:rPr>
          <w:i/>
          <w:noProof/>
        </w:rPr>
        <w:t>Eurostat</w:t>
      </w:r>
      <w:r>
        <w:rPr>
          <w:noProof/>
        </w:rPr>
        <w:t xml:space="preserve">, pārskatot savu krāpšanas apkarošanas rīcības plānu. </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lastRenderedPageBreak/>
        <w:t>Stratēģijas un rīcības plāna pār</w:t>
      </w:r>
      <w:r>
        <w:rPr>
          <w:noProof/>
        </w:rPr>
        <w:t>skatīšana tiek veikta, pamatojoties uz atjauninātu OLAF metodoloģiju un 2016. gada februārī izdotajiem norādījumiem.</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Turklāt piešķīrumu ziņā visi iespējamie dotāciju saņēmēji ir publiskas struktūras (valstu statistikas iestādes un citas valstu iestādes, kā</w:t>
      </w:r>
      <w:r>
        <w:rPr>
          <w:noProof/>
        </w:rPr>
        <w:t xml:space="preserve"> noteikts, pamatojoties uz Regulu (EK) Nr. 223/2009). Bez tam dotācijas piešķirs, neizmantojot uzaicinājumus iesniegt priekšlikumus. Ir ieviesti kontroles pasākumi, ņemot vērā šīs konkrētās dotāciju procedūras, un tajās ir iekļauta ex ante un ex post analī</w:t>
      </w:r>
      <w:r>
        <w:rPr>
          <w:noProof/>
        </w:rPr>
        <w:t>ze par dotāciju pārvaldību.</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 xml:space="preserve">Vienības izmaksu un vienreizēju maksājumu izmantošana saskaņā ar Finanšu regulas 124. panta 1. punktu ievērojami mazina kļūdu risku saistībā ar dotāciju pārvaldību un atvieglina ievērojami vienkāršotu pārvaldi. </w:t>
      </w:r>
    </w:p>
    <w:p w:rsidR="00132BAA" w:rsidRDefault="00132BAA">
      <w:pPr>
        <w:rPr>
          <w:noProof/>
        </w:rPr>
        <w:sectPr w:rsidR="00132BAA">
          <w:pgSz w:w="11907" w:h="16840" w:code="9"/>
          <w:pgMar w:top="1134" w:right="1418" w:bottom="1134" w:left="1418" w:header="709" w:footer="709" w:gutter="0"/>
          <w:cols w:space="708"/>
          <w:docGrid w:linePitch="360"/>
        </w:sectPr>
      </w:pPr>
    </w:p>
    <w:p w:rsidR="00132BAA" w:rsidRDefault="00B31A4A">
      <w:pPr>
        <w:pStyle w:val="ManualHeading1"/>
        <w:rPr>
          <w:bCs/>
          <w:noProof/>
          <w:szCs w:val="24"/>
        </w:rPr>
      </w:pPr>
      <w:r>
        <w:lastRenderedPageBreak/>
        <w:t>3.</w:t>
      </w:r>
      <w:r>
        <w:tab/>
      </w:r>
      <w:r>
        <w:rPr>
          <w:noProof/>
        </w:rPr>
        <w:t xml:space="preserve">PRIEKŠLIKUMA/INICIATĪVAS PAREDZAMĀ FINANSIĀLĀ IETEKME </w:t>
      </w:r>
    </w:p>
    <w:p w:rsidR="00132BAA" w:rsidRDefault="00B31A4A">
      <w:pPr>
        <w:pStyle w:val="ManualHeading2"/>
        <w:rPr>
          <w:noProof/>
        </w:rPr>
      </w:pPr>
      <w:r>
        <w:t>3.1.</w:t>
      </w:r>
      <w:r>
        <w:tab/>
      </w:r>
      <w:r>
        <w:rPr>
          <w:noProof/>
        </w:rPr>
        <w:t xml:space="preserve">Attiecīgās daudzgadu finanšu shēmas izdevumu kategorijas un budžeta izdevumu pozīcijas </w:t>
      </w:r>
    </w:p>
    <w:p w:rsidR="00132BAA" w:rsidRDefault="00B31A4A">
      <w:pPr>
        <w:pStyle w:val="ListBullet1"/>
        <w:rPr>
          <w:noProof/>
        </w:rPr>
      </w:pPr>
      <w:r>
        <w:rPr>
          <w:noProof/>
        </w:rPr>
        <w:t xml:space="preserve">Esošās budžeta pozīcijas </w:t>
      </w:r>
    </w:p>
    <w:p w:rsidR="00132BAA" w:rsidRDefault="00B31A4A">
      <w:pPr>
        <w:pStyle w:val="Text1"/>
        <w:rPr>
          <w:noProof/>
        </w:rPr>
      </w:pPr>
      <w:r>
        <w:rPr>
          <w:noProof/>
          <w:u w:val="single"/>
        </w:rPr>
        <w:t>Sarindotas</w:t>
      </w:r>
      <w:r>
        <w:rPr>
          <w:noProof/>
        </w:rPr>
        <w:t xml:space="preserve"> pa daudzgadu finanšu shēmas izdevumu katego</w:t>
      </w:r>
      <w:r>
        <w:rPr>
          <w:noProof/>
        </w:rPr>
        <w:t>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32BAA">
        <w:tc>
          <w:tcPr>
            <w:tcW w:w="1080" w:type="dxa"/>
            <w:vMerge w:val="restart"/>
            <w:vAlign w:val="center"/>
          </w:tcPr>
          <w:p w:rsidR="00132BAA" w:rsidRDefault="00B31A4A">
            <w:pPr>
              <w:spacing w:before="60" w:after="60"/>
              <w:jc w:val="center"/>
              <w:rPr>
                <w:noProof/>
              </w:rPr>
            </w:pPr>
            <w:r>
              <w:rPr>
                <w:noProof/>
                <w:sz w:val="18"/>
              </w:rPr>
              <w:t>Daudzgadu finanšu shēmas izdevumu kategorija</w:t>
            </w:r>
          </w:p>
        </w:tc>
        <w:tc>
          <w:tcPr>
            <w:tcW w:w="3960" w:type="dxa"/>
            <w:vAlign w:val="center"/>
          </w:tcPr>
          <w:p w:rsidR="00132BAA" w:rsidRDefault="00B31A4A">
            <w:pPr>
              <w:spacing w:before="60" w:after="60"/>
              <w:jc w:val="center"/>
              <w:rPr>
                <w:noProof/>
              </w:rPr>
            </w:pPr>
            <w:r>
              <w:rPr>
                <w:noProof/>
                <w:sz w:val="20"/>
              </w:rPr>
              <w:t>Budžeta pozīcija</w:t>
            </w:r>
          </w:p>
        </w:tc>
        <w:tc>
          <w:tcPr>
            <w:tcW w:w="1080" w:type="dxa"/>
            <w:vAlign w:val="center"/>
          </w:tcPr>
          <w:p w:rsidR="00132BAA" w:rsidRDefault="00B31A4A">
            <w:pPr>
              <w:spacing w:before="60" w:after="60"/>
              <w:jc w:val="center"/>
              <w:rPr>
                <w:noProof/>
              </w:rPr>
            </w:pPr>
            <w:r>
              <w:rPr>
                <w:noProof/>
                <w:sz w:val="18"/>
              </w:rPr>
              <w:t>Izdevumu</w:t>
            </w:r>
            <w:r>
              <w:rPr>
                <w:noProof/>
              </w:rPr>
              <w:br/>
            </w:r>
            <w:r>
              <w:rPr>
                <w:noProof/>
                <w:sz w:val="18"/>
              </w:rPr>
              <w:t>veids</w:t>
            </w:r>
          </w:p>
        </w:tc>
        <w:tc>
          <w:tcPr>
            <w:tcW w:w="4440" w:type="dxa"/>
            <w:gridSpan w:val="4"/>
            <w:vAlign w:val="center"/>
          </w:tcPr>
          <w:p w:rsidR="00132BAA" w:rsidRDefault="00B31A4A">
            <w:pPr>
              <w:spacing w:before="60" w:after="60"/>
              <w:jc w:val="center"/>
              <w:rPr>
                <w:noProof/>
              </w:rPr>
            </w:pPr>
            <w:r>
              <w:rPr>
                <w:noProof/>
                <w:sz w:val="20"/>
              </w:rPr>
              <w:t xml:space="preserve">Iemaksas </w:t>
            </w:r>
          </w:p>
        </w:tc>
      </w:tr>
      <w:tr w:rsidR="00132BAA">
        <w:tc>
          <w:tcPr>
            <w:tcW w:w="1080" w:type="dxa"/>
            <w:vMerge/>
            <w:vAlign w:val="center"/>
          </w:tcPr>
          <w:p w:rsidR="00132BAA" w:rsidRDefault="00132BAA">
            <w:pPr>
              <w:jc w:val="center"/>
              <w:rPr>
                <w:noProof/>
              </w:rPr>
            </w:pPr>
          </w:p>
        </w:tc>
        <w:tc>
          <w:tcPr>
            <w:tcW w:w="3960" w:type="dxa"/>
            <w:vAlign w:val="center"/>
          </w:tcPr>
          <w:p w:rsidR="00132BAA" w:rsidRDefault="00B31A4A">
            <w:pPr>
              <w:rPr>
                <w:noProof/>
              </w:rPr>
            </w:pPr>
            <w:r>
              <w:rPr>
                <w:noProof/>
                <w:sz w:val="20"/>
              </w:rPr>
              <w:t>Numurs</w:t>
            </w:r>
            <w:r>
              <w:rPr>
                <w:noProof/>
                <w:sz w:val="22"/>
              </w:rPr>
              <w:br/>
            </w:r>
            <w:r>
              <w:rPr>
                <w:noProof/>
              </w:rPr>
              <w:t>[…]</w:t>
            </w:r>
            <w:r>
              <w:rPr>
                <w:noProof/>
                <w:sz w:val="20"/>
              </w:rPr>
              <w:t>[Pozīcija………………………………………...……….]</w:t>
            </w:r>
          </w:p>
        </w:tc>
        <w:tc>
          <w:tcPr>
            <w:tcW w:w="1080" w:type="dxa"/>
            <w:vAlign w:val="center"/>
          </w:tcPr>
          <w:p w:rsidR="00132BAA" w:rsidRDefault="00B31A4A">
            <w:pPr>
              <w:jc w:val="center"/>
              <w:rPr>
                <w:noProof/>
              </w:rPr>
            </w:pPr>
            <w:r>
              <w:rPr>
                <w:noProof/>
                <w:sz w:val="18"/>
              </w:rPr>
              <w:t>Dif./nedif.</w:t>
            </w:r>
            <w:r>
              <w:rPr>
                <w:rStyle w:val="FootnoteReference"/>
                <w:noProof/>
                <w:sz w:val="18"/>
              </w:rPr>
              <w:footnoteReference w:id="31"/>
            </w:r>
          </w:p>
        </w:tc>
        <w:tc>
          <w:tcPr>
            <w:tcW w:w="956" w:type="dxa"/>
            <w:vAlign w:val="center"/>
          </w:tcPr>
          <w:p w:rsidR="00132BAA" w:rsidRDefault="00B31A4A">
            <w:pPr>
              <w:jc w:val="center"/>
              <w:rPr>
                <w:noProof/>
              </w:rPr>
            </w:pPr>
            <w:r>
              <w:rPr>
                <w:noProof/>
                <w:sz w:val="18"/>
              </w:rPr>
              <w:t>no EBTA valstīm</w:t>
            </w:r>
            <w:r>
              <w:rPr>
                <w:rStyle w:val="FootnoteReference"/>
                <w:noProof/>
                <w:sz w:val="18"/>
              </w:rPr>
              <w:footnoteReference w:id="32"/>
            </w:r>
          </w:p>
          <w:p w:rsidR="00132BAA" w:rsidRDefault="00132BAA">
            <w:pPr>
              <w:spacing w:after="0"/>
              <w:jc w:val="center"/>
              <w:rPr>
                <w:b/>
                <w:noProof/>
                <w:sz w:val="18"/>
              </w:rPr>
            </w:pPr>
          </w:p>
        </w:tc>
        <w:tc>
          <w:tcPr>
            <w:tcW w:w="1080" w:type="dxa"/>
            <w:vAlign w:val="center"/>
          </w:tcPr>
          <w:p w:rsidR="00132BAA" w:rsidRDefault="00B31A4A">
            <w:pPr>
              <w:jc w:val="center"/>
              <w:rPr>
                <w:noProof/>
              </w:rPr>
            </w:pPr>
            <w:r>
              <w:rPr>
                <w:noProof/>
                <w:sz w:val="18"/>
              </w:rPr>
              <w:t>no kandidātvalstīm</w:t>
            </w:r>
            <w:r>
              <w:rPr>
                <w:rStyle w:val="FootnoteReference"/>
                <w:noProof/>
                <w:sz w:val="18"/>
              </w:rPr>
              <w:footnoteReference w:id="33"/>
            </w:r>
          </w:p>
          <w:p w:rsidR="00132BAA" w:rsidRDefault="00132BAA">
            <w:pPr>
              <w:spacing w:after="0"/>
              <w:jc w:val="center"/>
              <w:rPr>
                <w:noProof/>
                <w:sz w:val="18"/>
              </w:rPr>
            </w:pPr>
          </w:p>
        </w:tc>
        <w:tc>
          <w:tcPr>
            <w:tcW w:w="956" w:type="dxa"/>
            <w:vAlign w:val="center"/>
          </w:tcPr>
          <w:p w:rsidR="00132BAA" w:rsidRDefault="00B31A4A">
            <w:pPr>
              <w:jc w:val="center"/>
              <w:rPr>
                <w:noProof/>
                <w:sz w:val="18"/>
              </w:rPr>
            </w:pPr>
            <w:r>
              <w:rPr>
                <w:noProof/>
                <w:sz w:val="18"/>
              </w:rPr>
              <w:t>no trešām valstīm</w:t>
            </w:r>
          </w:p>
        </w:tc>
        <w:tc>
          <w:tcPr>
            <w:tcW w:w="1448" w:type="dxa"/>
            <w:vAlign w:val="center"/>
          </w:tcPr>
          <w:p w:rsidR="00132BAA" w:rsidRDefault="00B31A4A">
            <w:pPr>
              <w:jc w:val="center"/>
              <w:rPr>
                <w:noProof/>
              </w:rPr>
            </w:pPr>
            <w:r>
              <w:rPr>
                <w:noProof/>
                <w:sz w:val="16"/>
              </w:rPr>
              <w:t xml:space="preserve">Finanšu regulas 21. panta 2. punkta b) apakšpunkta nozīmē </w:t>
            </w:r>
          </w:p>
        </w:tc>
      </w:tr>
      <w:tr w:rsidR="00132BAA">
        <w:tc>
          <w:tcPr>
            <w:tcW w:w="1080" w:type="dxa"/>
            <w:vAlign w:val="center"/>
          </w:tcPr>
          <w:p w:rsidR="00132BAA" w:rsidRDefault="00B31A4A">
            <w:pPr>
              <w:jc w:val="center"/>
              <w:rPr>
                <w:noProof/>
              </w:rPr>
            </w:pPr>
            <w:r>
              <w:rPr>
                <w:noProof/>
              </w:rPr>
              <w:t>1a</w:t>
            </w:r>
          </w:p>
        </w:tc>
        <w:tc>
          <w:tcPr>
            <w:tcW w:w="3960" w:type="dxa"/>
            <w:vAlign w:val="center"/>
          </w:tcPr>
          <w:p w:rsidR="00132BAA" w:rsidRDefault="00B31A4A">
            <w:pPr>
              <w:spacing w:after="60"/>
              <w:rPr>
                <w:noProof/>
              </w:rPr>
            </w:pPr>
            <w:r>
              <w:rPr>
                <w:noProof/>
              </w:rPr>
              <w:t>29.020100 –ESP18_20 - Eiropas statistikas programma (ESP) 2018-2020</w:t>
            </w:r>
          </w:p>
        </w:tc>
        <w:tc>
          <w:tcPr>
            <w:tcW w:w="1080" w:type="dxa"/>
            <w:vAlign w:val="center"/>
          </w:tcPr>
          <w:p w:rsidR="00132BAA" w:rsidRDefault="00B31A4A">
            <w:pPr>
              <w:jc w:val="center"/>
              <w:rPr>
                <w:noProof/>
              </w:rPr>
            </w:pPr>
            <w:r>
              <w:rPr>
                <w:noProof/>
                <w:sz w:val="22"/>
              </w:rPr>
              <w:t>Dif.</w:t>
            </w:r>
          </w:p>
        </w:tc>
        <w:tc>
          <w:tcPr>
            <w:tcW w:w="956" w:type="dxa"/>
            <w:vAlign w:val="center"/>
          </w:tcPr>
          <w:p w:rsidR="00132BAA" w:rsidRDefault="00B31A4A">
            <w:pPr>
              <w:jc w:val="center"/>
              <w:rPr>
                <w:noProof/>
              </w:rPr>
            </w:pPr>
            <w:r>
              <w:rPr>
                <w:noProof/>
                <w:sz w:val="22"/>
              </w:rPr>
              <w:t>JĀ</w:t>
            </w:r>
          </w:p>
        </w:tc>
        <w:tc>
          <w:tcPr>
            <w:tcW w:w="1080" w:type="dxa"/>
            <w:vAlign w:val="center"/>
          </w:tcPr>
          <w:p w:rsidR="00132BAA" w:rsidRDefault="00B31A4A">
            <w:pPr>
              <w:jc w:val="center"/>
              <w:rPr>
                <w:noProof/>
              </w:rPr>
            </w:pPr>
            <w:r>
              <w:rPr>
                <w:noProof/>
                <w:sz w:val="22"/>
              </w:rPr>
              <w:t>NĒ</w:t>
            </w:r>
          </w:p>
        </w:tc>
        <w:tc>
          <w:tcPr>
            <w:tcW w:w="956" w:type="dxa"/>
            <w:vAlign w:val="center"/>
          </w:tcPr>
          <w:p w:rsidR="00132BAA" w:rsidRDefault="00B31A4A">
            <w:pPr>
              <w:jc w:val="center"/>
              <w:rPr>
                <w:noProof/>
              </w:rPr>
            </w:pPr>
            <w:r>
              <w:rPr>
                <w:noProof/>
                <w:sz w:val="22"/>
              </w:rPr>
              <w:t>NĒ</w:t>
            </w:r>
          </w:p>
        </w:tc>
        <w:tc>
          <w:tcPr>
            <w:tcW w:w="1448" w:type="dxa"/>
            <w:vAlign w:val="center"/>
          </w:tcPr>
          <w:p w:rsidR="00132BAA" w:rsidRDefault="00B31A4A">
            <w:pPr>
              <w:jc w:val="center"/>
              <w:rPr>
                <w:noProof/>
              </w:rPr>
            </w:pPr>
            <w:r>
              <w:rPr>
                <w:noProof/>
                <w:sz w:val="22"/>
              </w:rPr>
              <w:t>NĒ</w:t>
            </w:r>
          </w:p>
        </w:tc>
      </w:tr>
      <w:tr w:rsidR="00132BAA">
        <w:tc>
          <w:tcPr>
            <w:tcW w:w="1080" w:type="dxa"/>
            <w:vAlign w:val="center"/>
          </w:tcPr>
          <w:p w:rsidR="00132BAA" w:rsidRDefault="00B31A4A">
            <w:pPr>
              <w:jc w:val="center"/>
              <w:rPr>
                <w:noProof/>
              </w:rPr>
            </w:pPr>
            <w:r>
              <w:rPr>
                <w:noProof/>
                <w:sz w:val="22"/>
              </w:rPr>
              <w:t>1a</w:t>
            </w:r>
          </w:p>
        </w:tc>
        <w:tc>
          <w:tcPr>
            <w:tcW w:w="3960" w:type="dxa"/>
            <w:vAlign w:val="center"/>
          </w:tcPr>
          <w:p w:rsidR="00132BAA" w:rsidRDefault="00B31A4A">
            <w:pPr>
              <w:spacing w:after="60"/>
            </w:pPr>
            <w:r>
              <w:rPr>
                <w:noProof/>
              </w:rPr>
              <w:t xml:space="preserve">09.040201- Vadošā nozīme informācijas un komunikācijas tehnoloģijā (saistītā progr.: “APVĀRSNIS 2020” – </w:t>
            </w:r>
            <w:r>
              <w:rPr>
                <w:noProof/>
              </w:rPr>
              <w:t>Pētniecības un inovācijas pamatprogramma (“Apvārsnis 2020”)</w:t>
            </w:r>
          </w:p>
        </w:tc>
        <w:tc>
          <w:tcPr>
            <w:tcW w:w="1080" w:type="dxa"/>
            <w:vAlign w:val="center"/>
          </w:tcPr>
          <w:p w:rsidR="00132BAA" w:rsidRDefault="00B31A4A">
            <w:pPr>
              <w:jc w:val="center"/>
              <w:rPr>
                <w:noProof/>
                <w:sz w:val="22"/>
              </w:rPr>
            </w:pPr>
            <w:r>
              <w:rPr>
                <w:noProof/>
                <w:sz w:val="22"/>
              </w:rPr>
              <w:t>Dif.</w:t>
            </w:r>
          </w:p>
        </w:tc>
        <w:tc>
          <w:tcPr>
            <w:tcW w:w="956" w:type="dxa"/>
            <w:vAlign w:val="center"/>
          </w:tcPr>
          <w:p w:rsidR="00132BAA" w:rsidRDefault="00B31A4A">
            <w:pPr>
              <w:jc w:val="center"/>
              <w:rPr>
                <w:noProof/>
                <w:sz w:val="22"/>
              </w:rPr>
            </w:pPr>
            <w:r>
              <w:rPr>
                <w:noProof/>
                <w:sz w:val="22"/>
              </w:rPr>
              <w:t>JĀ</w:t>
            </w:r>
          </w:p>
        </w:tc>
        <w:tc>
          <w:tcPr>
            <w:tcW w:w="1080" w:type="dxa"/>
            <w:vAlign w:val="center"/>
          </w:tcPr>
          <w:p w:rsidR="00132BAA" w:rsidRDefault="00B31A4A">
            <w:pPr>
              <w:jc w:val="center"/>
              <w:rPr>
                <w:noProof/>
                <w:sz w:val="22"/>
              </w:rPr>
            </w:pPr>
            <w:r>
              <w:rPr>
                <w:noProof/>
                <w:sz w:val="22"/>
              </w:rPr>
              <w:t>NĒ</w:t>
            </w:r>
          </w:p>
        </w:tc>
        <w:tc>
          <w:tcPr>
            <w:tcW w:w="956" w:type="dxa"/>
            <w:vAlign w:val="center"/>
          </w:tcPr>
          <w:p w:rsidR="00132BAA" w:rsidRDefault="00B31A4A">
            <w:pPr>
              <w:jc w:val="center"/>
              <w:rPr>
                <w:noProof/>
                <w:sz w:val="22"/>
              </w:rPr>
            </w:pPr>
            <w:r>
              <w:rPr>
                <w:noProof/>
                <w:sz w:val="22"/>
              </w:rPr>
              <w:t>NĒ</w:t>
            </w:r>
          </w:p>
        </w:tc>
        <w:tc>
          <w:tcPr>
            <w:tcW w:w="1448" w:type="dxa"/>
            <w:vAlign w:val="center"/>
          </w:tcPr>
          <w:p w:rsidR="00132BAA" w:rsidRDefault="00B31A4A">
            <w:pPr>
              <w:jc w:val="center"/>
              <w:rPr>
                <w:noProof/>
                <w:sz w:val="22"/>
              </w:rPr>
            </w:pPr>
            <w:r>
              <w:rPr>
                <w:noProof/>
                <w:sz w:val="22"/>
              </w:rPr>
              <w:t>NĒ</w:t>
            </w:r>
          </w:p>
        </w:tc>
      </w:tr>
    </w:tbl>
    <w:p w:rsidR="00132BAA" w:rsidRDefault="00132BAA">
      <w:pPr>
        <w:rPr>
          <w:noProof/>
        </w:rPr>
        <w:sectPr w:rsidR="00132BAA">
          <w:pgSz w:w="11907" w:h="16840" w:code="1"/>
          <w:pgMar w:top="1134" w:right="1418" w:bottom="1134" w:left="1418" w:header="709" w:footer="709" w:gutter="0"/>
          <w:cols w:space="708"/>
          <w:docGrid w:linePitch="360"/>
        </w:sectPr>
      </w:pPr>
    </w:p>
    <w:p w:rsidR="00132BAA" w:rsidRDefault="00B31A4A">
      <w:pPr>
        <w:pStyle w:val="ManualHeading2"/>
        <w:rPr>
          <w:bCs/>
          <w:noProof/>
          <w:szCs w:val="24"/>
        </w:rPr>
      </w:pPr>
      <w:r>
        <w:lastRenderedPageBreak/>
        <w:t>3.2.</w:t>
      </w:r>
      <w:r>
        <w:tab/>
      </w:r>
      <w:r>
        <w:rPr>
          <w:noProof/>
        </w:rPr>
        <w:t xml:space="preserve">Paredzamā ietekme uz izdevumiem </w:t>
      </w:r>
    </w:p>
    <w:p w:rsidR="00132BAA" w:rsidRDefault="00B31A4A">
      <w:pPr>
        <w:pStyle w:val="ManualHeading3"/>
        <w:rPr>
          <w:noProof/>
          <w:u w:val="single"/>
        </w:rPr>
      </w:pPr>
      <w:r>
        <w:t>3.2.1.</w:t>
      </w:r>
      <w:r>
        <w:tab/>
      </w:r>
      <w:r>
        <w:rPr>
          <w:noProof/>
        </w:rPr>
        <w:t xml:space="preserve">Kopsavilkums par paredzamo ietekmi uz izdevumiem </w:t>
      </w:r>
    </w:p>
    <w:p w:rsidR="00132BAA" w:rsidRDefault="00B31A4A">
      <w:pPr>
        <w:jc w:val="right"/>
        <w:rPr>
          <w:noProof/>
          <w:sz w:val="20"/>
        </w:rPr>
      </w:pPr>
      <w:r>
        <w:rPr>
          <w:noProof/>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32BAA">
        <w:trPr>
          <w:jc w:val="center"/>
        </w:trPr>
        <w:tc>
          <w:tcPr>
            <w:tcW w:w="4744" w:type="dxa"/>
            <w:shd w:val="thinDiagStripe" w:color="C0C0C0" w:fill="auto"/>
            <w:vAlign w:val="center"/>
          </w:tcPr>
          <w:p w:rsidR="00132BAA" w:rsidRDefault="00B31A4A">
            <w:pPr>
              <w:spacing w:before="60" w:after="60"/>
              <w:jc w:val="center"/>
              <w:rPr>
                <w:b/>
                <w:noProof/>
              </w:rPr>
            </w:pPr>
            <w:r>
              <w:rPr>
                <w:b/>
                <w:noProof/>
                <w:sz w:val="22"/>
              </w:rPr>
              <w:t xml:space="preserve">Daudzgadu finanšu shēmas izdevumu </w:t>
            </w:r>
            <w:r>
              <w:rPr>
                <w:noProof/>
                <w:sz w:val="22"/>
              </w:rPr>
              <w:br/>
            </w:r>
            <w:r>
              <w:rPr>
                <w:b/>
                <w:noProof/>
                <w:sz w:val="22"/>
              </w:rPr>
              <w:t xml:space="preserve">kategorija </w:t>
            </w:r>
          </w:p>
        </w:tc>
        <w:tc>
          <w:tcPr>
            <w:tcW w:w="1080" w:type="dxa"/>
            <w:vAlign w:val="center"/>
          </w:tcPr>
          <w:p w:rsidR="00132BAA" w:rsidRDefault="00B31A4A">
            <w:pPr>
              <w:spacing w:before="60" w:after="60"/>
              <w:jc w:val="center"/>
              <w:rPr>
                <w:noProof/>
              </w:rPr>
            </w:pPr>
            <w:r>
              <w:rPr>
                <w:noProof/>
                <w:sz w:val="22"/>
              </w:rPr>
              <w:t>Numurs</w:t>
            </w:r>
          </w:p>
        </w:tc>
        <w:tc>
          <w:tcPr>
            <w:tcW w:w="7817" w:type="dxa"/>
            <w:vAlign w:val="center"/>
          </w:tcPr>
          <w:p w:rsidR="00132BAA" w:rsidRDefault="00B31A4A">
            <w:pPr>
              <w:spacing w:before="60" w:after="60"/>
              <w:rPr>
                <w:noProof/>
              </w:rPr>
            </w:pPr>
            <w:r>
              <w:rPr>
                <w:noProof/>
              </w:rPr>
              <w:t>1.a izdevumu kategorija Konkurētspēja izaugsmei un darbavietām</w:t>
            </w:r>
          </w:p>
        </w:tc>
      </w:tr>
    </w:tbl>
    <w:p w:rsidR="00132BAA" w:rsidRDefault="00132BAA">
      <w:pPr>
        <w:rPr>
          <w:noProof/>
          <w:sz w:val="16"/>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rsidR="00132BAA">
        <w:tc>
          <w:tcPr>
            <w:tcW w:w="3960" w:type="dxa"/>
            <w:vAlign w:val="center"/>
          </w:tcPr>
          <w:p w:rsidR="00132BAA" w:rsidRDefault="00B31A4A">
            <w:pPr>
              <w:jc w:val="center"/>
              <w:rPr>
                <w:noProof/>
              </w:rPr>
            </w:pPr>
            <w:r>
              <w:rPr>
                <w:noProof/>
                <w:sz w:val="22"/>
              </w:rPr>
              <w:t>ĢD ESTAT</w:t>
            </w:r>
          </w:p>
        </w:tc>
        <w:tc>
          <w:tcPr>
            <w:tcW w:w="1560" w:type="dxa"/>
            <w:gridSpan w:val="2"/>
          </w:tcPr>
          <w:p w:rsidR="00132BAA" w:rsidRDefault="00132BAA">
            <w:pPr>
              <w:rPr>
                <w:noProof/>
                <w:sz w:val="20"/>
              </w:rPr>
            </w:pPr>
          </w:p>
        </w:tc>
        <w:tc>
          <w:tcPr>
            <w:tcW w:w="534" w:type="dxa"/>
          </w:tcPr>
          <w:p w:rsidR="00132BAA" w:rsidRDefault="00132BAA">
            <w:pPr>
              <w:jc w:val="center"/>
              <w:rPr>
                <w:noProof/>
                <w:sz w:val="20"/>
              </w:rPr>
            </w:pPr>
          </w:p>
        </w:tc>
        <w:tc>
          <w:tcPr>
            <w:tcW w:w="2874" w:type="dxa"/>
            <w:vAlign w:val="center"/>
          </w:tcPr>
          <w:p w:rsidR="00132BAA" w:rsidRDefault="00B31A4A">
            <w:pPr>
              <w:jc w:val="center"/>
              <w:rPr>
                <w:noProof/>
                <w:sz w:val="20"/>
                <w:szCs w:val="20"/>
              </w:rPr>
            </w:pPr>
            <w:r>
              <w:rPr>
                <w:b/>
                <w:noProof/>
                <w:sz w:val="20"/>
                <w:szCs w:val="20"/>
              </w:rPr>
              <w:t>2019.</w:t>
            </w:r>
            <w:r>
              <w:rPr>
                <w:noProof/>
                <w:sz w:val="20"/>
                <w:szCs w:val="20"/>
              </w:rPr>
              <w:br/>
              <w:t>gads</w:t>
            </w:r>
          </w:p>
        </w:tc>
        <w:tc>
          <w:tcPr>
            <w:tcW w:w="2874" w:type="dxa"/>
            <w:vAlign w:val="center"/>
          </w:tcPr>
          <w:p w:rsidR="00132BAA" w:rsidRDefault="00B31A4A">
            <w:pPr>
              <w:jc w:val="center"/>
              <w:rPr>
                <w:noProof/>
                <w:sz w:val="20"/>
                <w:szCs w:val="20"/>
              </w:rPr>
            </w:pPr>
            <w:r>
              <w:rPr>
                <w:b/>
                <w:noProof/>
                <w:sz w:val="20"/>
                <w:szCs w:val="20"/>
              </w:rPr>
              <w:t>2020.</w:t>
            </w:r>
            <w:r>
              <w:rPr>
                <w:noProof/>
                <w:sz w:val="20"/>
                <w:szCs w:val="20"/>
              </w:rPr>
              <w:br/>
              <w:t>gads</w:t>
            </w:r>
          </w:p>
        </w:tc>
        <w:tc>
          <w:tcPr>
            <w:tcW w:w="2875" w:type="dxa"/>
            <w:vAlign w:val="center"/>
          </w:tcPr>
          <w:p w:rsidR="00132BAA" w:rsidRDefault="00B31A4A">
            <w:pPr>
              <w:jc w:val="center"/>
              <w:rPr>
                <w:b/>
                <w:noProof/>
                <w:sz w:val="20"/>
              </w:rPr>
            </w:pPr>
            <w:r>
              <w:rPr>
                <w:b/>
                <w:noProof/>
                <w:sz w:val="20"/>
              </w:rPr>
              <w:t>KOPĀ</w:t>
            </w:r>
          </w:p>
        </w:tc>
      </w:tr>
      <w:tr w:rsidR="00132BAA">
        <w:trPr>
          <w:trHeight w:val="213"/>
        </w:trPr>
        <w:tc>
          <w:tcPr>
            <w:tcW w:w="6054" w:type="dxa"/>
            <w:gridSpan w:val="4"/>
            <w:vAlign w:val="center"/>
          </w:tcPr>
          <w:p w:rsidR="00132BAA" w:rsidRDefault="00B31A4A">
            <w:pPr>
              <w:spacing w:before="20" w:after="20"/>
              <w:rPr>
                <w:noProof/>
                <w:sz w:val="21"/>
              </w:rPr>
            </w:pPr>
            <w:r>
              <w:rPr>
                <w:noProof/>
                <w:sz w:val="21"/>
              </w:rPr>
              <w:sym w:font="Wingdings" w:char="F09F"/>
            </w:r>
            <w:r>
              <w:rPr>
                <w:noProof/>
                <w:sz w:val="21"/>
              </w:rPr>
              <w:t xml:space="preserve"> Darbības apropriācijas</w:t>
            </w:r>
          </w:p>
        </w:tc>
        <w:tc>
          <w:tcPr>
            <w:tcW w:w="2874" w:type="dxa"/>
            <w:vAlign w:val="center"/>
          </w:tcPr>
          <w:p w:rsidR="00132BAA" w:rsidRDefault="00132BAA">
            <w:pPr>
              <w:rPr>
                <w:noProof/>
                <w:sz w:val="20"/>
              </w:rPr>
            </w:pPr>
          </w:p>
        </w:tc>
        <w:tc>
          <w:tcPr>
            <w:tcW w:w="2874" w:type="dxa"/>
            <w:vAlign w:val="center"/>
          </w:tcPr>
          <w:p w:rsidR="00132BAA" w:rsidRDefault="00132BAA">
            <w:pPr>
              <w:rPr>
                <w:noProof/>
                <w:sz w:val="20"/>
              </w:rPr>
            </w:pPr>
          </w:p>
        </w:tc>
        <w:tc>
          <w:tcPr>
            <w:tcW w:w="2875" w:type="dxa"/>
            <w:vAlign w:val="center"/>
          </w:tcPr>
          <w:p w:rsidR="00132BAA" w:rsidRDefault="00132BAA">
            <w:pPr>
              <w:rPr>
                <w:b/>
                <w:noProof/>
                <w:sz w:val="20"/>
              </w:rPr>
            </w:pPr>
          </w:p>
        </w:tc>
      </w:tr>
      <w:tr w:rsidR="00132BAA">
        <w:trPr>
          <w:trHeight w:val="277"/>
        </w:trPr>
        <w:tc>
          <w:tcPr>
            <w:tcW w:w="3960" w:type="dxa"/>
            <w:vMerge w:val="restart"/>
            <w:vAlign w:val="center"/>
          </w:tcPr>
          <w:p w:rsidR="00132BAA" w:rsidRDefault="00B31A4A">
            <w:pPr>
              <w:rPr>
                <w:noProof/>
              </w:rPr>
            </w:pPr>
            <w:r>
              <w:rPr>
                <w:noProof/>
                <w:sz w:val="20"/>
              </w:rPr>
              <w:t>Budžeta pozīcija 29.020100</w:t>
            </w:r>
          </w:p>
        </w:tc>
        <w:tc>
          <w:tcPr>
            <w:tcW w:w="1440" w:type="dxa"/>
            <w:vAlign w:val="center"/>
          </w:tcPr>
          <w:p w:rsidR="00132BAA" w:rsidRDefault="00B31A4A">
            <w:pPr>
              <w:spacing w:before="20" w:after="20"/>
              <w:rPr>
                <w:noProof/>
                <w:sz w:val="18"/>
              </w:rPr>
            </w:pPr>
            <w:r>
              <w:rPr>
                <w:noProof/>
                <w:sz w:val="18"/>
              </w:rPr>
              <w:t>Saistības</w:t>
            </w:r>
          </w:p>
        </w:tc>
        <w:tc>
          <w:tcPr>
            <w:tcW w:w="654" w:type="dxa"/>
            <w:gridSpan w:val="2"/>
            <w:vAlign w:val="center"/>
          </w:tcPr>
          <w:p w:rsidR="00132BAA" w:rsidRDefault="00B31A4A">
            <w:pPr>
              <w:spacing w:before="20" w:after="20"/>
              <w:jc w:val="center"/>
              <w:rPr>
                <w:noProof/>
                <w:sz w:val="14"/>
              </w:rPr>
            </w:pPr>
            <w:r>
              <w:rPr>
                <w:noProof/>
                <w:sz w:val="14"/>
              </w:rPr>
              <w:t>1)</w:t>
            </w:r>
          </w:p>
        </w:tc>
        <w:tc>
          <w:tcPr>
            <w:tcW w:w="2874" w:type="dxa"/>
            <w:vAlign w:val="center"/>
          </w:tcPr>
          <w:p w:rsidR="00132BAA" w:rsidRDefault="00B31A4A">
            <w:pPr>
              <w:spacing w:before="20" w:after="20"/>
              <w:jc w:val="right"/>
              <w:rPr>
                <w:noProof/>
                <w:sz w:val="20"/>
              </w:rPr>
            </w:pPr>
            <w:r>
              <w:rPr>
                <w:noProof/>
                <w:sz w:val="20"/>
              </w:rPr>
              <w:t>10,285</w:t>
            </w:r>
          </w:p>
        </w:tc>
        <w:tc>
          <w:tcPr>
            <w:tcW w:w="2874" w:type="dxa"/>
            <w:vAlign w:val="center"/>
          </w:tcPr>
          <w:p w:rsidR="00132BAA" w:rsidRDefault="00B31A4A">
            <w:pPr>
              <w:spacing w:before="20" w:after="20"/>
              <w:jc w:val="right"/>
              <w:rPr>
                <w:noProof/>
                <w:sz w:val="20"/>
              </w:rPr>
            </w:pPr>
            <w:r>
              <w:rPr>
                <w:noProof/>
                <w:sz w:val="20"/>
              </w:rPr>
              <w:t>9,185</w:t>
            </w:r>
          </w:p>
        </w:tc>
        <w:tc>
          <w:tcPr>
            <w:tcW w:w="2875" w:type="dxa"/>
            <w:vAlign w:val="center"/>
          </w:tcPr>
          <w:p w:rsidR="00132BAA" w:rsidRDefault="00B31A4A">
            <w:pPr>
              <w:spacing w:before="20" w:after="20"/>
              <w:jc w:val="right"/>
              <w:rPr>
                <w:b/>
                <w:noProof/>
                <w:sz w:val="20"/>
              </w:rPr>
            </w:pPr>
            <w:r>
              <w:rPr>
                <w:b/>
                <w:noProof/>
                <w:sz w:val="20"/>
              </w:rPr>
              <w:t>19,470</w:t>
            </w:r>
          </w:p>
        </w:tc>
      </w:tr>
      <w:tr w:rsidR="00132BAA">
        <w:tc>
          <w:tcPr>
            <w:tcW w:w="3960" w:type="dxa"/>
            <w:vMerge/>
          </w:tcPr>
          <w:p w:rsidR="00132BAA" w:rsidRDefault="00132BAA">
            <w:pPr>
              <w:jc w:val="center"/>
              <w:rPr>
                <w:noProof/>
                <w:sz w:val="20"/>
              </w:rPr>
            </w:pPr>
          </w:p>
        </w:tc>
        <w:tc>
          <w:tcPr>
            <w:tcW w:w="1440" w:type="dxa"/>
            <w:vAlign w:val="center"/>
          </w:tcPr>
          <w:p w:rsidR="00132BAA" w:rsidRDefault="00B31A4A">
            <w:pPr>
              <w:spacing w:before="20" w:after="20"/>
              <w:rPr>
                <w:noProof/>
                <w:sz w:val="18"/>
              </w:rPr>
            </w:pPr>
            <w:r>
              <w:rPr>
                <w:noProof/>
                <w:sz w:val="18"/>
              </w:rPr>
              <w:t>Maksājumi</w:t>
            </w:r>
          </w:p>
        </w:tc>
        <w:tc>
          <w:tcPr>
            <w:tcW w:w="654" w:type="dxa"/>
            <w:gridSpan w:val="2"/>
            <w:vAlign w:val="center"/>
          </w:tcPr>
          <w:p w:rsidR="00132BAA" w:rsidRDefault="00B31A4A">
            <w:pPr>
              <w:spacing w:before="20" w:after="20"/>
              <w:jc w:val="center"/>
              <w:rPr>
                <w:noProof/>
                <w:sz w:val="14"/>
              </w:rPr>
            </w:pPr>
            <w:r>
              <w:rPr>
                <w:noProof/>
                <w:sz w:val="14"/>
              </w:rPr>
              <w:t>2)</w:t>
            </w:r>
          </w:p>
        </w:tc>
        <w:tc>
          <w:tcPr>
            <w:tcW w:w="2874" w:type="dxa"/>
            <w:vAlign w:val="center"/>
          </w:tcPr>
          <w:p w:rsidR="00132BAA" w:rsidRDefault="00B31A4A">
            <w:pPr>
              <w:spacing w:before="20" w:after="20"/>
              <w:jc w:val="right"/>
              <w:rPr>
                <w:noProof/>
                <w:sz w:val="20"/>
              </w:rPr>
            </w:pPr>
            <w:r>
              <w:rPr>
                <w:noProof/>
                <w:sz w:val="20"/>
              </w:rPr>
              <w:t>1,029</w:t>
            </w:r>
          </w:p>
        </w:tc>
        <w:tc>
          <w:tcPr>
            <w:tcW w:w="2874" w:type="dxa"/>
            <w:vAlign w:val="center"/>
          </w:tcPr>
          <w:p w:rsidR="00132BAA" w:rsidRDefault="00B31A4A">
            <w:pPr>
              <w:spacing w:before="20" w:after="20"/>
              <w:jc w:val="right"/>
              <w:rPr>
                <w:noProof/>
                <w:sz w:val="20"/>
              </w:rPr>
            </w:pPr>
            <w:r>
              <w:rPr>
                <w:noProof/>
                <w:sz w:val="20"/>
              </w:rPr>
              <w:t>4,518</w:t>
            </w:r>
          </w:p>
        </w:tc>
        <w:tc>
          <w:tcPr>
            <w:tcW w:w="2875" w:type="dxa"/>
            <w:vAlign w:val="center"/>
          </w:tcPr>
          <w:p w:rsidR="00132BAA" w:rsidRDefault="00B31A4A">
            <w:pPr>
              <w:spacing w:before="20" w:after="20"/>
              <w:jc w:val="right"/>
              <w:rPr>
                <w:b/>
                <w:noProof/>
                <w:sz w:val="20"/>
              </w:rPr>
            </w:pPr>
            <w:r>
              <w:rPr>
                <w:b/>
                <w:noProof/>
                <w:sz w:val="20"/>
              </w:rPr>
              <w:t>5,547</w:t>
            </w:r>
          </w:p>
        </w:tc>
      </w:tr>
      <w:tr w:rsidR="00132BAA">
        <w:tc>
          <w:tcPr>
            <w:tcW w:w="3960" w:type="dxa"/>
            <w:vMerge w:val="restart"/>
            <w:vAlign w:val="center"/>
          </w:tcPr>
          <w:p w:rsidR="00132BAA" w:rsidRDefault="00B31A4A">
            <w:pPr>
              <w:rPr>
                <w:noProof/>
              </w:rPr>
            </w:pPr>
            <w:r>
              <w:rPr>
                <w:noProof/>
                <w:sz w:val="20"/>
              </w:rPr>
              <w:t>Budžeta pozīcijas numurs</w:t>
            </w:r>
          </w:p>
        </w:tc>
        <w:tc>
          <w:tcPr>
            <w:tcW w:w="1440" w:type="dxa"/>
            <w:vAlign w:val="center"/>
          </w:tcPr>
          <w:p w:rsidR="00132BAA" w:rsidRDefault="00B31A4A">
            <w:pPr>
              <w:spacing w:before="20" w:after="20"/>
              <w:rPr>
                <w:noProof/>
                <w:sz w:val="18"/>
              </w:rPr>
            </w:pPr>
            <w:r>
              <w:rPr>
                <w:noProof/>
                <w:sz w:val="18"/>
              </w:rPr>
              <w:t>Saistības</w:t>
            </w:r>
          </w:p>
        </w:tc>
        <w:tc>
          <w:tcPr>
            <w:tcW w:w="654" w:type="dxa"/>
            <w:gridSpan w:val="2"/>
            <w:vAlign w:val="center"/>
          </w:tcPr>
          <w:p w:rsidR="00132BAA" w:rsidRDefault="00B31A4A">
            <w:pPr>
              <w:spacing w:before="20" w:after="20"/>
              <w:jc w:val="center"/>
              <w:rPr>
                <w:noProof/>
                <w:sz w:val="14"/>
              </w:rPr>
            </w:pPr>
            <w:r>
              <w:rPr>
                <w:noProof/>
                <w:sz w:val="14"/>
              </w:rPr>
              <w:t>(1a)</w:t>
            </w:r>
          </w:p>
        </w:tc>
        <w:tc>
          <w:tcPr>
            <w:tcW w:w="2874" w:type="dxa"/>
            <w:vAlign w:val="center"/>
          </w:tcPr>
          <w:p w:rsidR="00132BAA" w:rsidRDefault="00132BAA">
            <w:pPr>
              <w:spacing w:before="20" w:after="20"/>
              <w:jc w:val="right"/>
              <w:rPr>
                <w:noProof/>
                <w:sz w:val="20"/>
              </w:rPr>
            </w:pPr>
          </w:p>
        </w:tc>
        <w:tc>
          <w:tcPr>
            <w:tcW w:w="2874" w:type="dxa"/>
            <w:vAlign w:val="center"/>
          </w:tcPr>
          <w:p w:rsidR="00132BAA" w:rsidRDefault="00132BAA">
            <w:pPr>
              <w:spacing w:before="20" w:after="20"/>
              <w:jc w:val="right"/>
              <w:rPr>
                <w:noProof/>
                <w:sz w:val="20"/>
              </w:rPr>
            </w:pPr>
          </w:p>
        </w:tc>
        <w:tc>
          <w:tcPr>
            <w:tcW w:w="2875" w:type="dxa"/>
            <w:vAlign w:val="center"/>
          </w:tcPr>
          <w:p w:rsidR="00132BAA" w:rsidRDefault="00132BAA">
            <w:pPr>
              <w:spacing w:before="20" w:after="20"/>
              <w:jc w:val="right"/>
              <w:rPr>
                <w:b/>
                <w:noProof/>
                <w:sz w:val="20"/>
              </w:rPr>
            </w:pPr>
          </w:p>
        </w:tc>
      </w:tr>
      <w:tr w:rsidR="00132BAA">
        <w:tc>
          <w:tcPr>
            <w:tcW w:w="3960" w:type="dxa"/>
            <w:vMerge/>
          </w:tcPr>
          <w:p w:rsidR="00132BAA" w:rsidRDefault="00132BAA">
            <w:pPr>
              <w:jc w:val="center"/>
              <w:rPr>
                <w:noProof/>
                <w:sz w:val="20"/>
              </w:rPr>
            </w:pPr>
          </w:p>
        </w:tc>
        <w:tc>
          <w:tcPr>
            <w:tcW w:w="1440" w:type="dxa"/>
            <w:vAlign w:val="center"/>
          </w:tcPr>
          <w:p w:rsidR="00132BAA" w:rsidRDefault="00B31A4A">
            <w:pPr>
              <w:spacing w:before="20" w:after="20"/>
              <w:rPr>
                <w:noProof/>
                <w:sz w:val="18"/>
              </w:rPr>
            </w:pPr>
            <w:r>
              <w:rPr>
                <w:noProof/>
                <w:sz w:val="18"/>
              </w:rPr>
              <w:t>Maksājumi</w:t>
            </w:r>
          </w:p>
        </w:tc>
        <w:tc>
          <w:tcPr>
            <w:tcW w:w="654" w:type="dxa"/>
            <w:gridSpan w:val="2"/>
            <w:vAlign w:val="center"/>
          </w:tcPr>
          <w:p w:rsidR="00132BAA" w:rsidRDefault="00B31A4A">
            <w:pPr>
              <w:spacing w:before="20" w:after="20"/>
              <w:jc w:val="center"/>
              <w:rPr>
                <w:noProof/>
                <w:sz w:val="14"/>
              </w:rPr>
            </w:pPr>
            <w:r>
              <w:rPr>
                <w:noProof/>
                <w:sz w:val="14"/>
              </w:rPr>
              <w:t>(2a)</w:t>
            </w:r>
          </w:p>
        </w:tc>
        <w:tc>
          <w:tcPr>
            <w:tcW w:w="2874" w:type="dxa"/>
            <w:vAlign w:val="center"/>
          </w:tcPr>
          <w:p w:rsidR="00132BAA" w:rsidRDefault="00132BAA">
            <w:pPr>
              <w:spacing w:before="20" w:after="20"/>
              <w:jc w:val="right"/>
              <w:rPr>
                <w:noProof/>
                <w:sz w:val="20"/>
              </w:rPr>
            </w:pPr>
          </w:p>
        </w:tc>
        <w:tc>
          <w:tcPr>
            <w:tcW w:w="2874" w:type="dxa"/>
            <w:vAlign w:val="center"/>
          </w:tcPr>
          <w:p w:rsidR="00132BAA" w:rsidRDefault="00132BAA">
            <w:pPr>
              <w:spacing w:before="20" w:after="20"/>
              <w:jc w:val="right"/>
              <w:rPr>
                <w:noProof/>
                <w:sz w:val="20"/>
              </w:rPr>
            </w:pPr>
          </w:p>
        </w:tc>
        <w:tc>
          <w:tcPr>
            <w:tcW w:w="2875" w:type="dxa"/>
            <w:vAlign w:val="center"/>
          </w:tcPr>
          <w:p w:rsidR="00132BAA" w:rsidRDefault="00132BAA">
            <w:pPr>
              <w:spacing w:before="20" w:after="20"/>
              <w:jc w:val="right"/>
              <w:rPr>
                <w:b/>
                <w:noProof/>
                <w:sz w:val="20"/>
              </w:rPr>
            </w:pPr>
          </w:p>
        </w:tc>
      </w:tr>
      <w:tr w:rsidR="00132BAA">
        <w:trPr>
          <w:trHeight w:val="231"/>
        </w:trPr>
        <w:tc>
          <w:tcPr>
            <w:tcW w:w="6054" w:type="dxa"/>
            <w:gridSpan w:val="4"/>
            <w:vAlign w:val="center"/>
          </w:tcPr>
          <w:p w:rsidR="00132BAA" w:rsidRDefault="00B31A4A">
            <w:pPr>
              <w:spacing w:before="20" w:after="20"/>
              <w:rPr>
                <w:noProof/>
              </w:rPr>
            </w:pPr>
            <w:r>
              <w:rPr>
                <w:noProof/>
                <w:sz w:val="21"/>
              </w:rPr>
              <w:t>Administratīvās apropriācijas, kas tiek finansētas no konkrētu programmu piešķīrumiem</w:t>
            </w:r>
            <w:r>
              <w:rPr>
                <w:rStyle w:val="FootnoteReference"/>
                <w:noProof/>
                <w:sz w:val="21"/>
              </w:rPr>
              <w:footnoteReference w:id="34"/>
            </w:r>
            <w:r>
              <w:rPr>
                <w:noProof/>
                <w:sz w:val="21"/>
              </w:rPr>
              <w:t xml:space="preserve"> </w:t>
            </w:r>
          </w:p>
          <w:p w:rsidR="00132BAA" w:rsidRDefault="00132BAA">
            <w:pPr>
              <w:spacing w:after="0"/>
              <w:rPr>
                <w:noProof/>
              </w:rPr>
            </w:pPr>
          </w:p>
        </w:tc>
        <w:tc>
          <w:tcPr>
            <w:tcW w:w="2874" w:type="dxa"/>
            <w:vAlign w:val="center"/>
          </w:tcPr>
          <w:p w:rsidR="00132BAA" w:rsidRDefault="00132BAA">
            <w:pPr>
              <w:rPr>
                <w:b/>
                <w:noProof/>
                <w:sz w:val="20"/>
              </w:rPr>
            </w:pPr>
          </w:p>
        </w:tc>
        <w:tc>
          <w:tcPr>
            <w:tcW w:w="2874" w:type="dxa"/>
            <w:vAlign w:val="center"/>
          </w:tcPr>
          <w:p w:rsidR="00132BAA" w:rsidRDefault="00132BAA">
            <w:pPr>
              <w:rPr>
                <w:b/>
                <w:noProof/>
                <w:sz w:val="20"/>
              </w:rPr>
            </w:pPr>
          </w:p>
        </w:tc>
        <w:tc>
          <w:tcPr>
            <w:tcW w:w="2875" w:type="dxa"/>
            <w:vAlign w:val="center"/>
          </w:tcPr>
          <w:p w:rsidR="00132BAA" w:rsidRDefault="00132BAA">
            <w:pPr>
              <w:rPr>
                <w:b/>
                <w:noProof/>
                <w:sz w:val="20"/>
              </w:rPr>
            </w:pPr>
          </w:p>
        </w:tc>
      </w:tr>
      <w:tr w:rsidR="00132BAA">
        <w:trPr>
          <w:trHeight w:val="319"/>
        </w:trPr>
        <w:tc>
          <w:tcPr>
            <w:tcW w:w="3960" w:type="dxa"/>
            <w:vAlign w:val="center"/>
          </w:tcPr>
          <w:p w:rsidR="00132BAA" w:rsidRDefault="00B31A4A">
            <w:pPr>
              <w:spacing w:before="60" w:after="60"/>
              <w:rPr>
                <w:noProof/>
              </w:rPr>
            </w:pPr>
            <w:r>
              <w:rPr>
                <w:noProof/>
                <w:sz w:val="20"/>
              </w:rPr>
              <w:t>Budžeta pozīcijas numurs</w:t>
            </w:r>
          </w:p>
        </w:tc>
        <w:tc>
          <w:tcPr>
            <w:tcW w:w="1440" w:type="dxa"/>
            <w:vAlign w:val="center"/>
          </w:tcPr>
          <w:p w:rsidR="00132BAA" w:rsidRDefault="00132BAA">
            <w:pPr>
              <w:spacing w:before="40" w:after="40"/>
              <w:jc w:val="right"/>
              <w:rPr>
                <w:noProof/>
                <w:sz w:val="18"/>
              </w:rPr>
            </w:pPr>
          </w:p>
        </w:tc>
        <w:tc>
          <w:tcPr>
            <w:tcW w:w="654" w:type="dxa"/>
            <w:gridSpan w:val="2"/>
            <w:vAlign w:val="center"/>
          </w:tcPr>
          <w:p w:rsidR="00132BAA" w:rsidRDefault="00B31A4A">
            <w:pPr>
              <w:spacing w:before="40" w:after="40"/>
              <w:jc w:val="center"/>
              <w:rPr>
                <w:noProof/>
                <w:sz w:val="14"/>
              </w:rPr>
            </w:pPr>
            <w:r>
              <w:rPr>
                <w:noProof/>
                <w:sz w:val="14"/>
              </w:rPr>
              <w:t>3)</w:t>
            </w:r>
          </w:p>
        </w:tc>
        <w:tc>
          <w:tcPr>
            <w:tcW w:w="2874" w:type="dxa"/>
            <w:vAlign w:val="center"/>
          </w:tcPr>
          <w:p w:rsidR="00132BAA" w:rsidRDefault="00132BAA">
            <w:pPr>
              <w:spacing w:before="40" w:after="40"/>
              <w:jc w:val="right"/>
              <w:rPr>
                <w:b/>
                <w:noProof/>
                <w:sz w:val="20"/>
              </w:rPr>
            </w:pPr>
          </w:p>
        </w:tc>
        <w:tc>
          <w:tcPr>
            <w:tcW w:w="2874" w:type="dxa"/>
            <w:vAlign w:val="center"/>
          </w:tcPr>
          <w:p w:rsidR="00132BAA" w:rsidRDefault="00132BAA">
            <w:pPr>
              <w:spacing w:before="40" w:after="40"/>
              <w:jc w:val="right"/>
              <w:rPr>
                <w:b/>
                <w:noProof/>
                <w:sz w:val="20"/>
              </w:rPr>
            </w:pPr>
          </w:p>
        </w:tc>
        <w:tc>
          <w:tcPr>
            <w:tcW w:w="2875" w:type="dxa"/>
            <w:vAlign w:val="center"/>
          </w:tcPr>
          <w:p w:rsidR="00132BAA" w:rsidRDefault="00132BAA">
            <w:pPr>
              <w:spacing w:before="40" w:after="40"/>
              <w:jc w:val="right"/>
              <w:rPr>
                <w:b/>
                <w:noProof/>
                <w:sz w:val="20"/>
              </w:rPr>
            </w:pPr>
          </w:p>
        </w:tc>
      </w:tr>
      <w:tr w:rsidR="00132BAA">
        <w:tc>
          <w:tcPr>
            <w:tcW w:w="3960" w:type="dxa"/>
            <w:vMerge w:val="restart"/>
            <w:vAlign w:val="center"/>
          </w:tcPr>
          <w:p w:rsidR="00132BAA" w:rsidRDefault="00B31A4A">
            <w:pPr>
              <w:jc w:val="center"/>
              <w:rPr>
                <w:b/>
                <w:noProof/>
              </w:rPr>
            </w:pPr>
            <w:r>
              <w:rPr>
                <w:noProof/>
              </w:rPr>
              <w:t>KOPĀ apropriācijas</w:t>
            </w:r>
            <w:r>
              <w:rPr>
                <w:noProof/>
                <w:sz w:val="22"/>
              </w:rPr>
              <w:br/>
            </w:r>
            <w:r>
              <w:rPr>
                <w:b/>
                <w:noProof/>
                <w:sz w:val="22"/>
              </w:rPr>
              <w:t>ESTAT ĢD</w:t>
            </w:r>
          </w:p>
        </w:tc>
        <w:tc>
          <w:tcPr>
            <w:tcW w:w="1440" w:type="dxa"/>
            <w:vAlign w:val="center"/>
          </w:tcPr>
          <w:p w:rsidR="00132BAA" w:rsidRDefault="00B31A4A">
            <w:pPr>
              <w:rPr>
                <w:noProof/>
                <w:sz w:val="18"/>
              </w:rPr>
            </w:pPr>
            <w:r>
              <w:rPr>
                <w:noProof/>
                <w:sz w:val="18"/>
              </w:rPr>
              <w:t>Saistības</w:t>
            </w:r>
          </w:p>
        </w:tc>
        <w:tc>
          <w:tcPr>
            <w:tcW w:w="654" w:type="dxa"/>
            <w:gridSpan w:val="2"/>
            <w:vAlign w:val="center"/>
          </w:tcPr>
          <w:p w:rsidR="00132BAA" w:rsidRDefault="00B31A4A">
            <w:pPr>
              <w:jc w:val="center"/>
              <w:rPr>
                <w:noProof/>
                <w:sz w:val="14"/>
              </w:rPr>
            </w:pPr>
            <w:r>
              <w:rPr>
                <w:noProof/>
                <w:sz w:val="14"/>
              </w:rPr>
              <w:t>=1+1.a +3</w:t>
            </w:r>
          </w:p>
        </w:tc>
        <w:tc>
          <w:tcPr>
            <w:tcW w:w="2874" w:type="dxa"/>
            <w:vAlign w:val="center"/>
          </w:tcPr>
          <w:p w:rsidR="00132BAA" w:rsidRDefault="00B31A4A">
            <w:pPr>
              <w:spacing w:before="20" w:after="20"/>
              <w:jc w:val="right"/>
              <w:rPr>
                <w:noProof/>
                <w:sz w:val="20"/>
              </w:rPr>
            </w:pPr>
            <w:r>
              <w:rPr>
                <w:noProof/>
                <w:sz w:val="20"/>
              </w:rPr>
              <w:t>10,285</w:t>
            </w:r>
          </w:p>
        </w:tc>
        <w:tc>
          <w:tcPr>
            <w:tcW w:w="2874" w:type="dxa"/>
            <w:vAlign w:val="center"/>
          </w:tcPr>
          <w:p w:rsidR="00132BAA" w:rsidRDefault="00B31A4A">
            <w:pPr>
              <w:spacing w:before="20" w:after="20"/>
              <w:jc w:val="right"/>
              <w:rPr>
                <w:noProof/>
                <w:sz w:val="20"/>
              </w:rPr>
            </w:pPr>
            <w:r>
              <w:rPr>
                <w:noProof/>
                <w:sz w:val="20"/>
              </w:rPr>
              <w:t>9,185</w:t>
            </w:r>
          </w:p>
        </w:tc>
        <w:tc>
          <w:tcPr>
            <w:tcW w:w="2875" w:type="dxa"/>
            <w:vAlign w:val="center"/>
          </w:tcPr>
          <w:p w:rsidR="00132BAA" w:rsidRDefault="00B31A4A">
            <w:pPr>
              <w:spacing w:before="20" w:after="20"/>
              <w:jc w:val="right"/>
              <w:rPr>
                <w:b/>
                <w:noProof/>
                <w:sz w:val="20"/>
              </w:rPr>
            </w:pPr>
            <w:r>
              <w:rPr>
                <w:b/>
                <w:noProof/>
                <w:sz w:val="20"/>
              </w:rPr>
              <w:t>19,470</w:t>
            </w:r>
          </w:p>
        </w:tc>
      </w:tr>
      <w:tr w:rsidR="00132BAA">
        <w:tc>
          <w:tcPr>
            <w:tcW w:w="3960" w:type="dxa"/>
            <w:vMerge/>
          </w:tcPr>
          <w:p w:rsidR="00132BAA" w:rsidRDefault="00132BAA">
            <w:pPr>
              <w:rPr>
                <w:noProof/>
                <w:sz w:val="20"/>
              </w:rPr>
            </w:pPr>
          </w:p>
        </w:tc>
        <w:tc>
          <w:tcPr>
            <w:tcW w:w="1440" w:type="dxa"/>
            <w:vAlign w:val="center"/>
          </w:tcPr>
          <w:p w:rsidR="00132BAA" w:rsidRDefault="00B31A4A">
            <w:pPr>
              <w:rPr>
                <w:noProof/>
                <w:sz w:val="18"/>
              </w:rPr>
            </w:pPr>
            <w:r>
              <w:rPr>
                <w:noProof/>
                <w:sz w:val="18"/>
              </w:rPr>
              <w:t>Maksājumi</w:t>
            </w:r>
          </w:p>
        </w:tc>
        <w:tc>
          <w:tcPr>
            <w:tcW w:w="654" w:type="dxa"/>
            <w:gridSpan w:val="2"/>
            <w:vAlign w:val="center"/>
          </w:tcPr>
          <w:p w:rsidR="00132BAA" w:rsidRDefault="00B31A4A">
            <w:pPr>
              <w:jc w:val="center"/>
              <w:rPr>
                <w:noProof/>
                <w:sz w:val="14"/>
              </w:rPr>
            </w:pPr>
            <w:r>
              <w:rPr>
                <w:noProof/>
                <w:sz w:val="14"/>
              </w:rPr>
              <w:t>=2+2.a</w:t>
            </w:r>
          </w:p>
          <w:p w:rsidR="00132BAA" w:rsidRDefault="00B31A4A">
            <w:pPr>
              <w:jc w:val="center"/>
              <w:rPr>
                <w:noProof/>
                <w:sz w:val="14"/>
              </w:rPr>
            </w:pPr>
            <w:r>
              <w:rPr>
                <w:noProof/>
                <w:sz w:val="14"/>
              </w:rPr>
              <w:t>+3</w:t>
            </w:r>
          </w:p>
        </w:tc>
        <w:tc>
          <w:tcPr>
            <w:tcW w:w="2874" w:type="dxa"/>
            <w:vAlign w:val="center"/>
          </w:tcPr>
          <w:p w:rsidR="00132BAA" w:rsidRDefault="00B31A4A">
            <w:pPr>
              <w:spacing w:before="20" w:after="20"/>
              <w:jc w:val="right"/>
              <w:rPr>
                <w:noProof/>
                <w:sz w:val="20"/>
              </w:rPr>
            </w:pPr>
            <w:r>
              <w:rPr>
                <w:noProof/>
                <w:sz w:val="20"/>
              </w:rPr>
              <w:t>1,029</w:t>
            </w:r>
          </w:p>
        </w:tc>
        <w:tc>
          <w:tcPr>
            <w:tcW w:w="2874" w:type="dxa"/>
            <w:vAlign w:val="center"/>
          </w:tcPr>
          <w:p w:rsidR="00132BAA" w:rsidRDefault="00B31A4A">
            <w:pPr>
              <w:spacing w:before="20" w:after="20"/>
              <w:jc w:val="right"/>
              <w:rPr>
                <w:noProof/>
                <w:sz w:val="20"/>
              </w:rPr>
            </w:pPr>
            <w:r>
              <w:rPr>
                <w:noProof/>
                <w:sz w:val="20"/>
              </w:rPr>
              <w:t>4,518</w:t>
            </w:r>
          </w:p>
        </w:tc>
        <w:tc>
          <w:tcPr>
            <w:tcW w:w="2875" w:type="dxa"/>
            <w:vAlign w:val="center"/>
          </w:tcPr>
          <w:p w:rsidR="00132BAA" w:rsidRDefault="00B31A4A">
            <w:pPr>
              <w:spacing w:before="20" w:after="20"/>
              <w:jc w:val="right"/>
              <w:rPr>
                <w:b/>
                <w:noProof/>
                <w:sz w:val="20"/>
              </w:rPr>
            </w:pPr>
            <w:r>
              <w:rPr>
                <w:b/>
                <w:noProof/>
                <w:sz w:val="20"/>
              </w:rPr>
              <w:t>5,547</w:t>
            </w:r>
          </w:p>
        </w:tc>
      </w:tr>
    </w:tbl>
    <w:p w:rsidR="00132BAA" w:rsidRDefault="00B31A4A">
      <w:pPr>
        <w:rPr>
          <w:noProof/>
        </w:rPr>
      </w:pPr>
      <w:r>
        <w:rPr>
          <w:noProof/>
        </w:rPr>
        <w:br/>
      </w:r>
      <w:r>
        <w:rPr>
          <w:noProof/>
        </w:rPr>
        <w:br/>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2874"/>
        <w:gridCol w:w="2874"/>
        <w:gridCol w:w="2875"/>
      </w:tblGrid>
      <w:tr w:rsidR="00132BAA">
        <w:tc>
          <w:tcPr>
            <w:tcW w:w="3960" w:type="dxa"/>
            <w:vAlign w:val="center"/>
          </w:tcPr>
          <w:p w:rsidR="00132BAA" w:rsidRDefault="00B31A4A">
            <w:pPr>
              <w:jc w:val="center"/>
              <w:rPr>
                <w:noProof/>
                <w:sz w:val="20"/>
                <w:szCs w:val="20"/>
              </w:rPr>
            </w:pPr>
            <w:r>
              <w:rPr>
                <w:noProof/>
                <w:sz w:val="20"/>
                <w:szCs w:val="20"/>
              </w:rPr>
              <w:lastRenderedPageBreak/>
              <w:t>CNECT ĢD</w:t>
            </w:r>
          </w:p>
        </w:tc>
        <w:tc>
          <w:tcPr>
            <w:tcW w:w="1560" w:type="dxa"/>
            <w:gridSpan w:val="2"/>
          </w:tcPr>
          <w:p w:rsidR="00132BAA" w:rsidRDefault="00132BAA">
            <w:pPr>
              <w:rPr>
                <w:noProof/>
                <w:sz w:val="20"/>
                <w:szCs w:val="20"/>
              </w:rPr>
            </w:pPr>
          </w:p>
        </w:tc>
        <w:tc>
          <w:tcPr>
            <w:tcW w:w="534" w:type="dxa"/>
          </w:tcPr>
          <w:p w:rsidR="00132BAA" w:rsidRDefault="00132BAA">
            <w:pPr>
              <w:jc w:val="center"/>
              <w:rPr>
                <w:noProof/>
                <w:sz w:val="20"/>
                <w:szCs w:val="20"/>
              </w:rPr>
            </w:pPr>
          </w:p>
        </w:tc>
        <w:tc>
          <w:tcPr>
            <w:tcW w:w="2874" w:type="dxa"/>
            <w:vAlign w:val="center"/>
          </w:tcPr>
          <w:p w:rsidR="00132BAA" w:rsidRDefault="00B31A4A">
            <w:pPr>
              <w:jc w:val="center"/>
              <w:rPr>
                <w:noProof/>
                <w:sz w:val="20"/>
                <w:szCs w:val="20"/>
              </w:rPr>
            </w:pPr>
            <w:r>
              <w:rPr>
                <w:b/>
                <w:noProof/>
                <w:sz w:val="20"/>
                <w:szCs w:val="20"/>
              </w:rPr>
              <w:t>2019.</w:t>
            </w:r>
            <w:r>
              <w:rPr>
                <w:noProof/>
                <w:sz w:val="20"/>
                <w:szCs w:val="20"/>
              </w:rPr>
              <w:br/>
              <w:t>gads</w:t>
            </w:r>
          </w:p>
        </w:tc>
        <w:tc>
          <w:tcPr>
            <w:tcW w:w="2874" w:type="dxa"/>
            <w:vAlign w:val="center"/>
          </w:tcPr>
          <w:p w:rsidR="00132BAA" w:rsidRDefault="00B31A4A">
            <w:pPr>
              <w:jc w:val="center"/>
              <w:rPr>
                <w:noProof/>
                <w:sz w:val="20"/>
                <w:szCs w:val="20"/>
              </w:rPr>
            </w:pPr>
            <w:r>
              <w:rPr>
                <w:b/>
                <w:noProof/>
                <w:sz w:val="20"/>
                <w:szCs w:val="20"/>
              </w:rPr>
              <w:t>2020.</w:t>
            </w:r>
            <w:r>
              <w:rPr>
                <w:noProof/>
                <w:sz w:val="20"/>
                <w:szCs w:val="20"/>
              </w:rPr>
              <w:br/>
              <w:t>gads</w:t>
            </w:r>
          </w:p>
        </w:tc>
        <w:tc>
          <w:tcPr>
            <w:tcW w:w="2875" w:type="dxa"/>
            <w:vAlign w:val="center"/>
          </w:tcPr>
          <w:p w:rsidR="00132BAA" w:rsidRDefault="00B31A4A">
            <w:pPr>
              <w:jc w:val="center"/>
              <w:rPr>
                <w:b/>
                <w:noProof/>
                <w:sz w:val="20"/>
                <w:szCs w:val="20"/>
              </w:rPr>
            </w:pPr>
            <w:r>
              <w:rPr>
                <w:b/>
                <w:noProof/>
                <w:sz w:val="20"/>
                <w:szCs w:val="20"/>
              </w:rPr>
              <w:t>KOPĀ</w:t>
            </w:r>
          </w:p>
        </w:tc>
      </w:tr>
      <w:tr w:rsidR="00132BAA">
        <w:trPr>
          <w:trHeight w:val="213"/>
        </w:trPr>
        <w:tc>
          <w:tcPr>
            <w:tcW w:w="6054" w:type="dxa"/>
            <w:gridSpan w:val="4"/>
            <w:vAlign w:val="center"/>
          </w:tcPr>
          <w:p w:rsidR="00132BAA" w:rsidRDefault="00B31A4A">
            <w:pPr>
              <w:spacing w:before="20" w:after="20"/>
              <w:rPr>
                <w:noProof/>
                <w:sz w:val="21"/>
              </w:rPr>
            </w:pPr>
            <w:r>
              <w:rPr>
                <w:noProof/>
                <w:sz w:val="21"/>
              </w:rPr>
              <w:sym w:font="Wingdings" w:char="F09F"/>
            </w:r>
            <w:r>
              <w:rPr>
                <w:noProof/>
                <w:sz w:val="21"/>
              </w:rPr>
              <w:t xml:space="preserve"> Darbības apropriācijas</w:t>
            </w:r>
          </w:p>
        </w:tc>
        <w:tc>
          <w:tcPr>
            <w:tcW w:w="2874" w:type="dxa"/>
            <w:vAlign w:val="center"/>
          </w:tcPr>
          <w:p w:rsidR="00132BAA" w:rsidRDefault="00132BAA">
            <w:pPr>
              <w:rPr>
                <w:noProof/>
                <w:sz w:val="20"/>
              </w:rPr>
            </w:pPr>
          </w:p>
        </w:tc>
        <w:tc>
          <w:tcPr>
            <w:tcW w:w="2874" w:type="dxa"/>
            <w:vAlign w:val="center"/>
          </w:tcPr>
          <w:p w:rsidR="00132BAA" w:rsidRDefault="00132BAA">
            <w:pPr>
              <w:rPr>
                <w:noProof/>
                <w:sz w:val="20"/>
              </w:rPr>
            </w:pPr>
          </w:p>
        </w:tc>
        <w:tc>
          <w:tcPr>
            <w:tcW w:w="2875" w:type="dxa"/>
            <w:vAlign w:val="center"/>
          </w:tcPr>
          <w:p w:rsidR="00132BAA" w:rsidRDefault="00132BAA">
            <w:pPr>
              <w:rPr>
                <w:b/>
                <w:noProof/>
                <w:sz w:val="20"/>
              </w:rPr>
            </w:pPr>
          </w:p>
        </w:tc>
      </w:tr>
      <w:tr w:rsidR="00132BAA">
        <w:trPr>
          <w:trHeight w:val="277"/>
        </w:trPr>
        <w:tc>
          <w:tcPr>
            <w:tcW w:w="3960" w:type="dxa"/>
            <w:vMerge w:val="restart"/>
            <w:vAlign w:val="center"/>
          </w:tcPr>
          <w:p w:rsidR="00132BAA" w:rsidRDefault="00B31A4A">
            <w:pPr>
              <w:rPr>
                <w:noProof/>
              </w:rPr>
            </w:pPr>
            <w:r>
              <w:rPr>
                <w:noProof/>
                <w:sz w:val="20"/>
              </w:rPr>
              <w:t>Budžeta pozīcija 09.040201</w:t>
            </w:r>
          </w:p>
        </w:tc>
        <w:tc>
          <w:tcPr>
            <w:tcW w:w="1440" w:type="dxa"/>
            <w:vAlign w:val="center"/>
          </w:tcPr>
          <w:p w:rsidR="00132BAA" w:rsidRDefault="00B31A4A">
            <w:pPr>
              <w:spacing w:before="20" w:after="20"/>
              <w:rPr>
                <w:noProof/>
                <w:sz w:val="18"/>
              </w:rPr>
            </w:pPr>
            <w:r>
              <w:rPr>
                <w:noProof/>
                <w:sz w:val="18"/>
              </w:rPr>
              <w:t>Saistības</w:t>
            </w:r>
          </w:p>
        </w:tc>
        <w:tc>
          <w:tcPr>
            <w:tcW w:w="654" w:type="dxa"/>
            <w:gridSpan w:val="2"/>
            <w:vAlign w:val="center"/>
          </w:tcPr>
          <w:p w:rsidR="00132BAA" w:rsidRDefault="00B31A4A">
            <w:pPr>
              <w:spacing w:before="20" w:after="20"/>
              <w:jc w:val="center"/>
              <w:rPr>
                <w:noProof/>
                <w:sz w:val="14"/>
              </w:rPr>
            </w:pPr>
            <w:r>
              <w:rPr>
                <w:noProof/>
                <w:sz w:val="14"/>
              </w:rPr>
              <w:t>1)</w:t>
            </w:r>
          </w:p>
        </w:tc>
        <w:tc>
          <w:tcPr>
            <w:tcW w:w="2874" w:type="dxa"/>
            <w:vAlign w:val="center"/>
          </w:tcPr>
          <w:p w:rsidR="00132BAA" w:rsidRDefault="00B31A4A">
            <w:pPr>
              <w:spacing w:before="20" w:after="20"/>
              <w:jc w:val="right"/>
              <w:rPr>
                <w:noProof/>
                <w:sz w:val="20"/>
              </w:rPr>
            </w:pPr>
            <w:r>
              <w:rPr>
                <w:noProof/>
                <w:sz w:val="20"/>
              </w:rPr>
              <w:t>1,000</w:t>
            </w:r>
          </w:p>
        </w:tc>
        <w:tc>
          <w:tcPr>
            <w:tcW w:w="2874" w:type="dxa"/>
            <w:vAlign w:val="center"/>
          </w:tcPr>
          <w:p w:rsidR="00132BAA" w:rsidRDefault="00B31A4A">
            <w:pPr>
              <w:spacing w:before="20" w:after="20"/>
              <w:jc w:val="right"/>
              <w:rPr>
                <w:noProof/>
                <w:sz w:val="20"/>
              </w:rPr>
            </w:pPr>
            <w:r>
              <w:rPr>
                <w:noProof/>
                <w:sz w:val="20"/>
              </w:rPr>
              <w:t>1,000</w:t>
            </w:r>
          </w:p>
        </w:tc>
        <w:tc>
          <w:tcPr>
            <w:tcW w:w="2875" w:type="dxa"/>
            <w:vAlign w:val="center"/>
          </w:tcPr>
          <w:p w:rsidR="00132BAA" w:rsidRDefault="00B31A4A">
            <w:pPr>
              <w:spacing w:before="20" w:after="20"/>
              <w:jc w:val="right"/>
              <w:rPr>
                <w:b/>
                <w:noProof/>
                <w:sz w:val="20"/>
              </w:rPr>
            </w:pPr>
            <w:r>
              <w:rPr>
                <w:b/>
                <w:noProof/>
                <w:sz w:val="20"/>
              </w:rPr>
              <w:t>2,000</w:t>
            </w:r>
          </w:p>
        </w:tc>
      </w:tr>
      <w:tr w:rsidR="00132BAA">
        <w:tc>
          <w:tcPr>
            <w:tcW w:w="3960" w:type="dxa"/>
            <w:vMerge/>
          </w:tcPr>
          <w:p w:rsidR="00132BAA" w:rsidRDefault="00132BAA">
            <w:pPr>
              <w:jc w:val="center"/>
              <w:rPr>
                <w:noProof/>
                <w:sz w:val="20"/>
              </w:rPr>
            </w:pPr>
          </w:p>
        </w:tc>
        <w:tc>
          <w:tcPr>
            <w:tcW w:w="1440" w:type="dxa"/>
            <w:vAlign w:val="center"/>
          </w:tcPr>
          <w:p w:rsidR="00132BAA" w:rsidRDefault="00B31A4A">
            <w:pPr>
              <w:spacing w:before="20" w:after="20"/>
              <w:rPr>
                <w:noProof/>
                <w:sz w:val="18"/>
              </w:rPr>
            </w:pPr>
            <w:r>
              <w:rPr>
                <w:noProof/>
                <w:sz w:val="18"/>
              </w:rPr>
              <w:t>Maksājumi</w:t>
            </w:r>
          </w:p>
        </w:tc>
        <w:tc>
          <w:tcPr>
            <w:tcW w:w="654" w:type="dxa"/>
            <w:gridSpan w:val="2"/>
            <w:vAlign w:val="center"/>
          </w:tcPr>
          <w:p w:rsidR="00132BAA" w:rsidRDefault="00B31A4A">
            <w:pPr>
              <w:spacing w:before="20" w:after="20"/>
              <w:jc w:val="center"/>
              <w:rPr>
                <w:noProof/>
                <w:sz w:val="14"/>
              </w:rPr>
            </w:pPr>
            <w:r>
              <w:rPr>
                <w:noProof/>
                <w:sz w:val="14"/>
              </w:rPr>
              <w:t>2)</w:t>
            </w:r>
          </w:p>
        </w:tc>
        <w:tc>
          <w:tcPr>
            <w:tcW w:w="2874" w:type="dxa"/>
            <w:vAlign w:val="center"/>
          </w:tcPr>
          <w:p w:rsidR="00132BAA" w:rsidRDefault="00B31A4A">
            <w:pPr>
              <w:spacing w:before="20" w:after="20"/>
              <w:jc w:val="right"/>
              <w:rPr>
                <w:noProof/>
                <w:sz w:val="20"/>
              </w:rPr>
            </w:pPr>
            <w:r>
              <w:rPr>
                <w:noProof/>
                <w:sz w:val="20"/>
              </w:rPr>
              <w:t>0,100</w:t>
            </w:r>
          </w:p>
        </w:tc>
        <w:tc>
          <w:tcPr>
            <w:tcW w:w="2874" w:type="dxa"/>
            <w:vAlign w:val="center"/>
          </w:tcPr>
          <w:p w:rsidR="00132BAA" w:rsidRDefault="00B31A4A">
            <w:pPr>
              <w:spacing w:before="20" w:after="20"/>
              <w:jc w:val="right"/>
              <w:rPr>
                <w:noProof/>
                <w:sz w:val="20"/>
              </w:rPr>
            </w:pPr>
            <w:r>
              <w:rPr>
                <w:noProof/>
                <w:sz w:val="20"/>
              </w:rPr>
              <w:t>0,450</w:t>
            </w:r>
          </w:p>
        </w:tc>
        <w:tc>
          <w:tcPr>
            <w:tcW w:w="2875" w:type="dxa"/>
            <w:vAlign w:val="center"/>
          </w:tcPr>
          <w:p w:rsidR="00132BAA" w:rsidRDefault="00B31A4A">
            <w:pPr>
              <w:spacing w:before="20" w:after="20"/>
              <w:jc w:val="right"/>
              <w:rPr>
                <w:b/>
                <w:noProof/>
                <w:sz w:val="20"/>
              </w:rPr>
            </w:pPr>
            <w:r>
              <w:rPr>
                <w:b/>
                <w:noProof/>
                <w:sz w:val="20"/>
              </w:rPr>
              <w:t>0,550</w:t>
            </w:r>
          </w:p>
        </w:tc>
      </w:tr>
      <w:tr w:rsidR="00132BAA">
        <w:tc>
          <w:tcPr>
            <w:tcW w:w="3960" w:type="dxa"/>
            <w:vMerge w:val="restart"/>
            <w:vAlign w:val="center"/>
          </w:tcPr>
          <w:p w:rsidR="00132BAA" w:rsidRDefault="00B31A4A">
            <w:pPr>
              <w:rPr>
                <w:noProof/>
              </w:rPr>
            </w:pPr>
            <w:r>
              <w:rPr>
                <w:noProof/>
                <w:sz w:val="20"/>
              </w:rPr>
              <w:t xml:space="preserve">Budžeta </w:t>
            </w:r>
            <w:r>
              <w:rPr>
                <w:noProof/>
                <w:sz w:val="20"/>
              </w:rPr>
              <w:t>pozīcijas numurs</w:t>
            </w:r>
          </w:p>
        </w:tc>
        <w:tc>
          <w:tcPr>
            <w:tcW w:w="1440" w:type="dxa"/>
            <w:vAlign w:val="center"/>
          </w:tcPr>
          <w:p w:rsidR="00132BAA" w:rsidRDefault="00B31A4A">
            <w:pPr>
              <w:spacing w:before="20" w:after="20"/>
              <w:rPr>
                <w:noProof/>
                <w:sz w:val="18"/>
              </w:rPr>
            </w:pPr>
            <w:r>
              <w:rPr>
                <w:noProof/>
                <w:sz w:val="18"/>
              </w:rPr>
              <w:t>Saistības</w:t>
            </w:r>
          </w:p>
        </w:tc>
        <w:tc>
          <w:tcPr>
            <w:tcW w:w="654" w:type="dxa"/>
            <w:gridSpan w:val="2"/>
            <w:vAlign w:val="center"/>
          </w:tcPr>
          <w:p w:rsidR="00132BAA" w:rsidRDefault="00B31A4A">
            <w:pPr>
              <w:spacing w:before="20" w:after="20"/>
              <w:jc w:val="center"/>
              <w:rPr>
                <w:noProof/>
                <w:sz w:val="14"/>
              </w:rPr>
            </w:pPr>
            <w:r>
              <w:rPr>
                <w:noProof/>
                <w:sz w:val="14"/>
              </w:rPr>
              <w:t>(1a)</w:t>
            </w:r>
          </w:p>
        </w:tc>
        <w:tc>
          <w:tcPr>
            <w:tcW w:w="2874" w:type="dxa"/>
            <w:vAlign w:val="center"/>
          </w:tcPr>
          <w:p w:rsidR="00132BAA" w:rsidRDefault="00132BAA">
            <w:pPr>
              <w:spacing w:before="20" w:after="20"/>
              <w:jc w:val="right"/>
              <w:rPr>
                <w:noProof/>
                <w:sz w:val="20"/>
              </w:rPr>
            </w:pPr>
          </w:p>
        </w:tc>
        <w:tc>
          <w:tcPr>
            <w:tcW w:w="2874" w:type="dxa"/>
            <w:vAlign w:val="center"/>
          </w:tcPr>
          <w:p w:rsidR="00132BAA" w:rsidRDefault="00132BAA">
            <w:pPr>
              <w:spacing w:before="20" w:after="20"/>
              <w:jc w:val="right"/>
              <w:rPr>
                <w:noProof/>
                <w:sz w:val="20"/>
              </w:rPr>
            </w:pPr>
          </w:p>
        </w:tc>
        <w:tc>
          <w:tcPr>
            <w:tcW w:w="2875" w:type="dxa"/>
            <w:vAlign w:val="center"/>
          </w:tcPr>
          <w:p w:rsidR="00132BAA" w:rsidRDefault="00132BAA">
            <w:pPr>
              <w:spacing w:before="20" w:after="20"/>
              <w:jc w:val="right"/>
              <w:rPr>
                <w:b/>
                <w:noProof/>
                <w:sz w:val="20"/>
              </w:rPr>
            </w:pPr>
          </w:p>
        </w:tc>
      </w:tr>
      <w:tr w:rsidR="00132BAA">
        <w:tc>
          <w:tcPr>
            <w:tcW w:w="3960" w:type="dxa"/>
            <w:vMerge/>
          </w:tcPr>
          <w:p w:rsidR="00132BAA" w:rsidRDefault="00132BAA">
            <w:pPr>
              <w:jc w:val="center"/>
              <w:rPr>
                <w:noProof/>
                <w:sz w:val="20"/>
              </w:rPr>
            </w:pPr>
          </w:p>
        </w:tc>
        <w:tc>
          <w:tcPr>
            <w:tcW w:w="1440" w:type="dxa"/>
            <w:vAlign w:val="center"/>
          </w:tcPr>
          <w:p w:rsidR="00132BAA" w:rsidRDefault="00B31A4A">
            <w:pPr>
              <w:spacing w:before="20" w:after="20"/>
              <w:rPr>
                <w:noProof/>
                <w:sz w:val="18"/>
              </w:rPr>
            </w:pPr>
            <w:r>
              <w:rPr>
                <w:noProof/>
                <w:sz w:val="18"/>
              </w:rPr>
              <w:t>Maksājumi</w:t>
            </w:r>
          </w:p>
        </w:tc>
        <w:tc>
          <w:tcPr>
            <w:tcW w:w="654" w:type="dxa"/>
            <w:gridSpan w:val="2"/>
            <w:vAlign w:val="center"/>
          </w:tcPr>
          <w:p w:rsidR="00132BAA" w:rsidRDefault="00B31A4A">
            <w:pPr>
              <w:spacing w:before="20" w:after="20"/>
              <w:jc w:val="center"/>
              <w:rPr>
                <w:noProof/>
                <w:sz w:val="14"/>
              </w:rPr>
            </w:pPr>
            <w:r>
              <w:rPr>
                <w:noProof/>
                <w:sz w:val="14"/>
              </w:rPr>
              <w:t>(2 a)</w:t>
            </w:r>
          </w:p>
        </w:tc>
        <w:tc>
          <w:tcPr>
            <w:tcW w:w="2874" w:type="dxa"/>
            <w:vAlign w:val="center"/>
          </w:tcPr>
          <w:p w:rsidR="00132BAA" w:rsidRDefault="00132BAA">
            <w:pPr>
              <w:spacing w:before="20" w:after="20"/>
              <w:jc w:val="right"/>
              <w:rPr>
                <w:noProof/>
                <w:sz w:val="20"/>
              </w:rPr>
            </w:pPr>
          </w:p>
        </w:tc>
        <w:tc>
          <w:tcPr>
            <w:tcW w:w="2874" w:type="dxa"/>
            <w:vAlign w:val="center"/>
          </w:tcPr>
          <w:p w:rsidR="00132BAA" w:rsidRDefault="00132BAA">
            <w:pPr>
              <w:spacing w:before="20" w:after="20"/>
              <w:jc w:val="right"/>
              <w:rPr>
                <w:noProof/>
                <w:sz w:val="20"/>
              </w:rPr>
            </w:pPr>
          </w:p>
        </w:tc>
        <w:tc>
          <w:tcPr>
            <w:tcW w:w="2875" w:type="dxa"/>
            <w:vAlign w:val="center"/>
          </w:tcPr>
          <w:p w:rsidR="00132BAA" w:rsidRDefault="00132BAA">
            <w:pPr>
              <w:spacing w:before="20" w:after="20"/>
              <w:jc w:val="right"/>
              <w:rPr>
                <w:b/>
                <w:noProof/>
                <w:sz w:val="20"/>
              </w:rPr>
            </w:pPr>
          </w:p>
        </w:tc>
      </w:tr>
      <w:tr w:rsidR="00132BAA">
        <w:trPr>
          <w:trHeight w:val="231"/>
        </w:trPr>
        <w:tc>
          <w:tcPr>
            <w:tcW w:w="6054" w:type="dxa"/>
            <w:gridSpan w:val="4"/>
            <w:vAlign w:val="center"/>
          </w:tcPr>
          <w:p w:rsidR="00132BAA" w:rsidRDefault="00B31A4A">
            <w:pPr>
              <w:spacing w:before="20" w:after="20"/>
              <w:rPr>
                <w:noProof/>
              </w:rPr>
            </w:pPr>
            <w:r>
              <w:rPr>
                <w:noProof/>
                <w:sz w:val="21"/>
              </w:rPr>
              <w:t>Administratīvās apropriācijas, kas tiek finansētas no konkrētu programmu piešķīrumiem</w:t>
            </w:r>
            <w:r>
              <w:rPr>
                <w:rStyle w:val="FootnoteReference"/>
                <w:noProof/>
                <w:sz w:val="21"/>
              </w:rPr>
              <w:footnoteReference w:id="35"/>
            </w:r>
            <w:r>
              <w:rPr>
                <w:noProof/>
                <w:sz w:val="21"/>
              </w:rPr>
              <w:t xml:space="preserve"> </w:t>
            </w:r>
          </w:p>
          <w:p w:rsidR="00132BAA" w:rsidRDefault="00132BAA">
            <w:pPr>
              <w:spacing w:after="0"/>
              <w:rPr>
                <w:noProof/>
              </w:rPr>
            </w:pPr>
          </w:p>
        </w:tc>
        <w:tc>
          <w:tcPr>
            <w:tcW w:w="2874" w:type="dxa"/>
            <w:vAlign w:val="center"/>
          </w:tcPr>
          <w:p w:rsidR="00132BAA" w:rsidRDefault="00132BAA">
            <w:pPr>
              <w:rPr>
                <w:b/>
                <w:noProof/>
                <w:sz w:val="20"/>
              </w:rPr>
            </w:pPr>
          </w:p>
        </w:tc>
        <w:tc>
          <w:tcPr>
            <w:tcW w:w="2874" w:type="dxa"/>
            <w:vAlign w:val="center"/>
          </w:tcPr>
          <w:p w:rsidR="00132BAA" w:rsidRDefault="00132BAA">
            <w:pPr>
              <w:rPr>
                <w:b/>
                <w:noProof/>
                <w:sz w:val="20"/>
              </w:rPr>
            </w:pPr>
          </w:p>
        </w:tc>
        <w:tc>
          <w:tcPr>
            <w:tcW w:w="2875" w:type="dxa"/>
            <w:vAlign w:val="center"/>
          </w:tcPr>
          <w:p w:rsidR="00132BAA" w:rsidRDefault="00132BAA">
            <w:pPr>
              <w:rPr>
                <w:b/>
                <w:noProof/>
                <w:sz w:val="20"/>
              </w:rPr>
            </w:pPr>
          </w:p>
        </w:tc>
      </w:tr>
      <w:tr w:rsidR="00132BAA">
        <w:trPr>
          <w:trHeight w:val="319"/>
        </w:trPr>
        <w:tc>
          <w:tcPr>
            <w:tcW w:w="3960" w:type="dxa"/>
            <w:vAlign w:val="center"/>
          </w:tcPr>
          <w:p w:rsidR="00132BAA" w:rsidRDefault="00B31A4A">
            <w:pPr>
              <w:spacing w:before="60" w:after="60"/>
              <w:rPr>
                <w:noProof/>
              </w:rPr>
            </w:pPr>
            <w:r>
              <w:rPr>
                <w:noProof/>
                <w:sz w:val="20"/>
              </w:rPr>
              <w:t>Budžeta pozīcijas numurs</w:t>
            </w:r>
          </w:p>
        </w:tc>
        <w:tc>
          <w:tcPr>
            <w:tcW w:w="1440" w:type="dxa"/>
            <w:vAlign w:val="center"/>
          </w:tcPr>
          <w:p w:rsidR="00132BAA" w:rsidRDefault="00132BAA">
            <w:pPr>
              <w:spacing w:before="40" w:after="40"/>
              <w:jc w:val="right"/>
              <w:rPr>
                <w:noProof/>
                <w:sz w:val="18"/>
              </w:rPr>
            </w:pPr>
          </w:p>
        </w:tc>
        <w:tc>
          <w:tcPr>
            <w:tcW w:w="654" w:type="dxa"/>
            <w:gridSpan w:val="2"/>
            <w:vAlign w:val="center"/>
          </w:tcPr>
          <w:p w:rsidR="00132BAA" w:rsidRDefault="00B31A4A">
            <w:pPr>
              <w:spacing w:before="40" w:after="40"/>
              <w:jc w:val="center"/>
              <w:rPr>
                <w:noProof/>
                <w:sz w:val="14"/>
              </w:rPr>
            </w:pPr>
            <w:r>
              <w:rPr>
                <w:noProof/>
                <w:sz w:val="14"/>
              </w:rPr>
              <w:t>3)</w:t>
            </w:r>
          </w:p>
        </w:tc>
        <w:tc>
          <w:tcPr>
            <w:tcW w:w="2874" w:type="dxa"/>
            <w:vAlign w:val="center"/>
          </w:tcPr>
          <w:p w:rsidR="00132BAA" w:rsidRDefault="00132BAA">
            <w:pPr>
              <w:spacing w:before="40" w:after="40"/>
              <w:jc w:val="right"/>
              <w:rPr>
                <w:b/>
                <w:noProof/>
                <w:sz w:val="20"/>
              </w:rPr>
            </w:pPr>
          </w:p>
        </w:tc>
        <w:tc>
          <w:tcPr>
            <w:tcW w:w="2874" w:type="dxa"/>
            <w:vAlign w:val="center"/>
          </w:tcPr>
          <w:p w:rsidR="00132BAA" w:rsidRDefault="00132BAA">
            <w:pPr>
              <w:spacing w:before="40" w:after="40"/>
              <w:jc w:val="right"/>
              <w:rPr>
                <w:b/>
                <w:noProof/>
                <w:sz w:val="20"/>
              </w:rPr>
            </w:pPr>
          </w:p>
        </w:tc>
        <w:tc>
          <w:tcPr>
            <w:tcW w:w="2875" w:type="dxa"/>
            <w:vAlign w:val="center"/>
          </w:tcPr>
          <w:p w:rsidR="00132BAA" w:rsidRDefault="00132BAA">
            <w:pPr>
              <w:spacing w:before="40" w:after="40"/>
              <w:jc w:val="right"/>
              <w:rPr>
                <w:b/>
                <w:noProof/>
                <w:sz w:val="20"/>
              </w:rPr>
            </w:pPr>
          </w:p>
        </w:tc>
      </w:tr>
      <w:tr w:rsidR="00132BAA">
        <w:tc>
          <w:tcPr>
            <w:tcW w:w="3960" w:type="dxa"/>
            <w:vMerge w:val="restart"/>
            <w:vAlign w:val="center"/>
          </w:tcPr>
          <w:p w:rsidR="00132BAA" w:rsidRDefault="00B31A4A">
            <w:pPr>
              <w:jc w:val="center"/>
              <w:rPr>
                <w:b/>
                <w:noProof/>
              </w:rPr>
            </w:pPr>
            <w:r>
              <w:rPr>
                <w:b/>
                <w:noProof/>
                <w:sz w:val="22"/>
              </w:rPr>
              <w:t>KOPĀ apropriācijas</w:t>
            </w:r>
            <w:r>
              <w:rPr>
                <w:noProof/>
                <w:sz w:val="22"/>
              </w:rPr>
              <w:br/>
            </w:r>
            <w:r>
              <w:rPr>
                <w:b/>
                <w:noProof/>
                <w:sz w:val="22"/>
              </w:rPr>
              <w:t>CNECT ĢD</w:t>
            </w:r>
          </w:p>
        </w:tc>
        <w:tc>
          <w:tcPr>
            <w:tcW w:w="1440" w:type="dxa"/>
            <w:vAlign w:val="center"/>
          </w:tcPr>
          <w:p w:rsidR="00132BAA" w:rsidRDefault="00B31A4A">
            <w:pPr>
              <w:rPr>
                <w:noProof/>
                <w:sz w:val="18"/>
              </w:rPr>
            </w:pPr>
            <w:r>
              <w:rPr>
                <w:noProof/>
                <w:sz w:val="18"/>
              </w:rPr>
              <w:t>Saistības</w:t>
            </w:r>
          </w:p>
        </w:tc>
        <w:tc>
          <w:tcPr>
            <w:tcW w:w="654" w:type="dxa"/>
            <w:gridSpan w:val="2"/>
            <w:vAlign w:val="center"/>
          </w:tcPr>
          <w:p w:rsidR="00132BAA" w:rsidRDefault="00B31A4A">
            <w:pPr>
              <w:jc w:val="center"/>
              <w:rPr>
                <w:noProof/>
                <w:sz w:val="14"/>
              </w:rPr>
            </w:pPr>
            <w:r>
              <w:rPr>
                <w:noProof/>
                <w:sz w:val="14"/>
              </w:rPr>
              <w:t>=1+1.a +3</w:t>
            </w:r>
          </w:p>
        </w:tc>
        <w:tc>
          <w:tcPr>
            <w:tcW w:w="2874" w:type="dxa"/>
            <w:vAlign w:val="center"/>
          </w:tcPr>
          <w:p w:rsidR="00132BAA" w:rsidRDefault="00B31A4A">
            <w:pPr>
              <w:spacing w:before="20" w:after="20"/>
              <w:jc w:val="right"/>
              <w:rPr>
                <w:noProof/>
                <w:sz w:val="20"/>
              </w:rPr>
            </w:pPr>
            <w:r>
              <w:rPr>
                <w:noProof/>
                <w:sz w:val="20"/>
              </w:rPr>
              <w:t>1,000</w:t>
            </w:r>
          </w:p>
        </w:tc>
        <w:tc>
          <w:tcPr>
            <w:tcW w:w="2874" w:type="dxa"/>
            <w:vAlign w:val="center"/>
          </w:tcPr>
          <w:p w:rsidR="00132BAA" w:rsidRDefault="00B31A4A">
            <w:pPr>
              <w:spacing w:before="20" w:after="20"/>
              <w:jc w:val="right"/>
              <w:rPr>
                <w:noProof/>
                <w:sz w:val="20"/>
              </w:rPr>
            </w:pPr>
            <w:r>
              <w:rPr>
                <w:noProof/>
                <w:sz w:val="20"/>
              </w:rPr>
              <w:t>1,000</w:t>
            </w:r>
          </w:p>
        </w:tc>
        <w:tc>
          <w:tcPr>
            <w:tcW w:w="2875" w:type="dxa"/>
            <w:vAlign w:val="center"/>
          </w:tcPr>
          <w:p w:rsidR="00132BAA" w:rsidRDefault="00B31A4A">
            <w:pPr>
              <w:spacing w:before="20" w:after="20"/>
              <w:jc w:val="right"/>
              <w:rPr>
                <w:b/>
                <w:noProof/>
                <w:sz w:val="20"/>
              </w:rPr>
            </w:pPr>
            <w:r>
              <w:rPr>
                <w:b/>
                <w:noProof/>
                <w:sz w:val="20"/>
              </w:rPr>
              <w:t>2,000</w:t>
            </w:r>
          </w:p>
        </w:tc>
      </w:tr>
      <w:tr w:rsidR="00132BAA">
        <w:tc>
          <w:tcPr>
            <w:tcW w:w="3960" w:type="dxa"/>
            <w:vMerge/>
          </w:tcPr>
          <w:p w:rsidR="00132BAA" w:rsidRDefault="00132BAA">
            <w:pPr>
              <w:rPr>
                <w:noProof/>
                <w:sz w:val="20"/>
              </w:rPr>
            </w:pPr>
          </w:p>
        </w:tc>
        <w:tc>
          <w:tcPr>
            <w:tcW w:w="1440" w:type="dxa"/>
            <w:vAlign w:val="center"/>
          </w:tcPr>
          <w:p w:rsidR="00132BAA" w:rsidRDefault="00B31A4A">
            <w:pPr>
              <w:rPr>
                <w:noProof/>
                <w:sz w:val="18"/>
              </w:rPr>
            </w:pPr>
            <w:r>
              <w:rPr>
                <w:noProof/>
                <w:sz w:val="18"/>
              </w:rPr>
              <w:t>Maksājumi</w:t>
            </w:r>
          </w:p>
        </w:tc>
        <w:tc>
          <w:tcPr>
            <w:tcW w:w="654" w:type="dxa"/>
            <w:gridSpan w:val="2"/>
            <w:vAlign w:val="center"/>
          </w:tcPr>
          <w:p w:rsidR="00132BAA" w:rsidRDefault="00B31A4A">
            <w:pPr>
              <w:jc w:val="center"/>
              <w:rPr>
                <w:noProof/>
                <w:sz w:val="14"/>
              </w:rPr>
            </w:pPr>
            <w:r>
              <w:rPr>
                <w:noProof/>
                <w:sz w:val="14"/>
              </w:rPr>
              <w:t>=2+2.a</w:t>
            </w:r>
          </w:p>
          <w:p w:rsidR="00132BAA" w:rsidRDefault="00B31A4A">
            <w:pPr>
              <w:jc w:val="center"/>
              <w:rPr>
                <w:noProof/>
                <w:sz w:val="14"/>
              </w:rPr>
            </w:pPr>
            <w:r>
              <w:rPr>
                <w:noProof/>
                <w:sz w:val="14"/>
              </w:rPr>
              <w:t>+3</w:t>
            </w:r>
          </w:p>
        </w:tc>
        <w:tc>
          <w:tcPr>
            <w:tcW w:w="2874" w:type="dxa"/>
            <w:vAlign w:val="center"/>
          </w:tcPr>
          <w:p w:rsidR="00132BAA" w:rsidRDefault="00B31A4A">
            <w:pPr>
              <w:spacing w:before="20" w:after="20"/>
              <w:jc w:val="right"/>
              <w:rPr>
                <w:noProof/>
                <w:sz w:val="20"/>
              </w:rPr>
            </w:pPr>
            <w:r>
              <w:rPr>
                <w:noProof/>
                <w:sz w:val="20"/>
              </w:rPr>
              <w:t>0,100</w:t>
            </w:r>
          </w:p>
        </w:tc>
        <w:tc>
          <w:tcPr>
            <w:tcW w:w="2874" w:type="dxa"/>
            <w:vAlign w:val="center"/>
          </w:tcPr>
          <w:p w:rsidR="00132BAA" w:rsidRDefault="00B31A4A">
            <w:pPr>
              <w:spacing w:before="20" w:after="20"/>
              <w:jc w:val="right"/>
              <w:rPr>
                <w:noProof/>
                <w:sz w:val="20"/>
              </w:rPr>
            </w:pPr>
            <w:r>
              <w:rPr>
                <w:noProof/>
                <w:sz w:val="20"/>
              </w:rPr>
              <w:t>0,450</w:t>
            </w:r>
          </w:p>
        </w:tc>
        <w:tc>
          <w:tcPr>
            <w:tcW w:w="2875" w:type="dxa"/>
            <w:vAlign w:val="center"/>
          </w:tcPr>
          <w:p w:rsidR="00132BAA" w:rsidRDefault="00B31A4A">
            <w:pPr>
              <w:spacing w:before="20" w:after="20"/>
              <w:jc w:val="right"/>
              <w:rPr>
                <w:b/>
                <w:noProof/>
                <w:sz w:val="20"/>
              </w:rPr>
            </w:pPr>
            <w:r>
              <w:rPr>
                <w:b/>
                <w:noProof/>
                <w:sz w:val="20"/>
              </w:rPr>
              <w:t>0,550</w:t>
            </w:r>
          </w:p>
        </w:tc>
      </w:tr>
    </w:tbl>
    <w:p w:rsidR="00132BAA" w:rsidRDefault="00132BAA">
      <w:pPr>
        <w:rPr>
          <w:noProof/>
        </w:rPr>
      </w:pPr>
    </w:p>
    <w:p w:rsidR="00132BAA" w:rsidRDefault="00B31A4A">
      <w:pPr>
        <w:spacing w:after="40"/>
        <w:rPr>
          <w:b/>
          <w:noProof/>
          <w:sz w:val="22"/>
          <w:u w:val="single"/>
        </w:rPr>
      </w:pPr>
      <w:r>
        <w:rPr>
          <w:b/>
          <w:noProof/>
          <w:sz w:val="22"/>
          <w:u w:val="single"/>
        </w:rPr>
        <w:t>Ja priekšlikums/iniciatīva ietekmē vairākas izdevumu kategorijas</w:t>
      </w:r>
    </w:p>
    <w:tbl>
      <w:tblPr>
        <w:tblW w:w="1467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138"/>
        <w:gridCol w:w="2874"/>
        <w:gridCol w:w="2875"/>
      </w:tblGrid>
      <w:tr w:rsidR="00132BAA">
        <w:trPr>
          <w:trHeight w:val="277"/>
        </w:trPr>
        <w:tc>
          <w:tcPr>
            <w:tcW w:w="3960" w:type="dxa"/>
            <w:vMerge w:val="restart"/>
            <w:tcBorders>
              <w:top w:val="single" w:sz="4" w:space="0" w:color="auto"/>
              <w:left w:val="single" w:sz="4" w:space="0" w:color="auto"/>
              <w:bottom w:val="single" w:sz="4" w:space="0" w:color="auto"/>
            </w:tcBorders>
            <w:vAlign w:val="center"/>
          </w:tcPr>
          <w:p w:rsidR="00132BAA" w:rsidRDefault="00B31A4A">
            <w:pPr>
              <w:spacing w:before="20" w:after="20"/>
              <w:rPr>
                <w:noProof/>
              </w:rPr>
            </w:pPr>
            <w:r>
              <w:rPr>
                <w:noProof/>
                <w:sz w:val="21"/>
              </w:rPr>
              <w:sym w:font="Wingdings" w:char="F09F"/>
            </w:r>
            <w:r>
              <w:rPr>
                <w:noProof/>
                <w:sz w:val="21"/>
              </w:rPr>
              <w:t xml:space="preserve"> KOPĀ darbības apropriācijas</w:t>
            </w:r>
          </w:p>
        </w:tc>
        <w:tc>
          <w:tcPr>
            <w:tcW w:w="1440" w:type="dxa"/>
            <w:tcBorders>
              <w:top w:val="single" w:sz="4" w:space="0" w:color="auto"/>
              <w:bottom w:val="single" w:sz="4" w:space="0" w:color="auto"/>
            </w:tcBorders>
            <w:vAlign w:val="center"/>
          </w:tcPr>
          <w:p w:rsidR="00132BAA" w:rsidRDefault="00B31A4A">
            <w:pPr>
              <w:spacing w:beforeLines="20" w:before="48" w:afterLines="20" w:after="48"/>
              <w:rPr>
                <w:noProof/>
                <w:sz w:val="18"/>
              </w:rPr>
            </w:pPr>
            <w:r>
              <w:rPr>
                <w:noProof/>
                <w:sz w:val="18"/>
              </w:rPr>
              <w:t>Saistības</w:t>
            </w:r>
          </w:p>
        </w:tc>
        <w:tc>
          <w:tcPr>
            <w:tcW w:w="654" w:type="dxa"/>
            <w:tcBorders>
              <w:top w:val="single" w:sz="4" w:space="0" w:color="auto"/>
              <w:bottom w:val="single" w:sz="4" w:space="0" w:color="auto"/>
            </w:tcBorders>
            <w:vAlign w:val="center"/>
          </w:tcPr>
          <w:p w:rsidR="00132BAA" w:rsidRDefault="00B31A4A">
            <w:pPr>
              <w:spacing w:beforeLines="20" w:before="48" w:afterLines="20" w:after="48"/>
              <w:jc w:val="center"/>
              <w:rPr>
                <w:noProof/>
                <w:sz w:val="14"/>
              </w:rPr>
            </w:pPr>
            <w:r>
              <w:rPr>
                <w:noProof/>
                <w:sz w:val="14"/>
              </w:rPr>
              <w:t>4)</w:t>
            </w:r>
          </w:p>
        </w:tc>
        <w:tc>
          <w:tcPr>
            <w:tcW w:w="2874" w:type="dxa"/>
            <w:gridSpan w:val="3"/>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11,285</w:t>
            </w:r>
          </w:p>
        </w:tc>
        <w:tc>
          <w:tcPr>
            <w:tcW w:w="2874" w:type="dxa"/>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10,185</w:t>
            </w:r>
          </w:p>
        </w:tc>
        <w:tc>
          <w:tcPr>
            <w:tcW w:w="2875" w:type="dxa"/>
            <w:tcBorders>
              <w:top w:val="single" w:sz="4" w:space="0" w:color="auto"/>
              <w:bottom w:val="single" w:sz="4" w:space="0" w:color="auto"/>
              <w:right w:val="single" w:sz="4" w:space="0" w:color="auto"/>
            </w:tcBorders>
            <w:vAlign w:val="center"/>
          </w:tcPr>
          <w:p w:rsidR="00132BAA" w:rsidRDefault="00B31A4A">
            <w:pPr>
              <w:spacing w:before="20" w:after="20"/>
              <w:jc w:val="right"/>
              <w:rPr>
                <w:b/>
                <w:noProof/>
                <w:sz w:val="20"/>
              </w:rPr>
            </w:pPr>
            <w:r>
              <w:rPr>
                <w:b/>
                <w:noProof/>
                <w:sz w:val="20"/>
              </w:rPr>
              <w:t>21,470</w:t>
            </w:r>
          </w:p>
        </w:tc>
      </w:tr>
      <w:tr w:rsidR="00132BAA">
        <w:tc>
          <w:tcPr>
            <w:tcW w:w="3960" w:type="dxa"/>
            <w:vMerge/>
            <w:tcBorders>
              <w:top w:val="single" w:sz="4" w:space="0" w:color="auto"/>
              <w:left w:val="single" w:sz="4" w:space="0" w:color="auto"/>
              <w:bottom w:val="single" w:sz="4" w:space="0" w:color="auto"/>
            </w:tcBorders>
          </w:tcPr>
          <w:p w:rsidR="00132BAA" w:rsidRDefault="00132BAA">
            <w:pPr>
              <w:jc w:val="center"/>
              <w:rPr>
                <w:noProof/>
                <w:sz w:val="20"/>
              </w:rPr>
            </w:pPr>
          </w:p>
        </w:tc>
        <w:tc>
          <w:tcPr>
            <w:tcW w:w="1440" w:type="dxa"/>
            <w:tcBorders>
              <w:top w:val="single" w:sz="4" w:space="0" w:color="auto"/>
              <w:bottom w:val="single" w:sz="4" w:space="0" w:color="auto"/>
            </w:tcBorders>
            <w:vAlign w:val="center"/>
          </w:tcPr>
          <w:p w:rsidR="00132BAA" w:rsidRDefault="00B31A4A">
            <w:pPr>
              <w:spacing w:beforeLines="20" w:before="48" w:afterLines="20" w:after="48"/>
              <w:rPr>
                <w:noProof/>
                <w:sz w:val="18"/>
              </w:rPr>
            </w:pPr>
            <w:r>
              <w:rPr>
                <w:noProof/>
                <w:sz w:val="18"/>
              </w:rPr>
              <w:t>Maksājumi</w:t>
            </w:r>
          </w:p>
        </w:tc>
        <w:tc>
          <w:tcPr>
            <w:tcW w:w="654" w:type="dxa"/>
            <w:tcBorders>
              <w:top w:val="single" w:sz="4" w:space="0" w:color="auto"/>
              <w:bottom w:val="single" w:sz="4" w:space="0" w:color="auto"/>
            </w:tcBorders>
            <w:vAlign w:val="center"/>
          </w:tcPr>
          <w:p w:rsidR="00132BAA" w:rsidRDefault="00B31A4A">
            <w:pPr>
              <w:spacing w:beforeLines="20" w:before="48" w:afterLines="20" w:after="48"/>
              <w:jc w:val="center"/>
              <w:rPr>
                <w:noProof/>
                <w:sz w:val="14"/>
              </w:rPr>
            </w:pPr>
            <w:r>
              <w:rPr>
                <w:noProof/>
                <w:sz w:val="14"/>
              </w:rPr>
              <w:t>5)</w:t>
            </w:r>
          </w:p>
        </w:tc>
        <w:tc>
          <w:tcPr>
            <w:tcW w:w="2874" w:type="dxa"/>
            <w:gridSpan w:val="3"/>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1,129</w:t>
            </w:r>
          </w:p>
        </w:tc>
        <w:tc>
          <w:tcPr>
            <w:tcW w:w="2874" w:type="dxa"/>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4,968</w:t>
            </w:r>
          </w:p>
        </w:tc>
        <w:tc>
          <w:tcPr>
            <w:tcW w:w="2875" w:type="dxa"/>
            <w:tcBorders>
              <w:top w:val="single" w:sz="4" w:space="0" w:color="auto"/>
              <w:bottom w:val="single" w:sz="4" w:space="0" w:color="auto"/>
              <w:right w:val="single" w:sz="4" w:space="0" w:color="auto"/>
            </w:tcBorders>
            <w:vAlign w:val="center"/>
          </w:tcPr>
          <w:p w:rsidR="00132BAA" w:rsidRDefault="00B31A4A">
            <w:pPr>
              <w:spacing w:before="20" w:after="20"/>
              <w:jc w:val="right"/>
              <w:rPr>
                <w:b/>
                <w:noProof/>
                <w:sz w:val="20"/>
              </w:rPr>
            </w:pPr>
            <w:r>
              <w:rPr>
                <w:b/>
                <w:noProof/>
                <w:sz w:val="20"/>
              </w:rPr>
              <w:t>6,097</w:t>
            </w:r>
          </w:p>
        </w:tc>
      </w:tr>
      <w:tr w:rsidR="00132BAA">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rsidR="00132BAA" w:rsidRDefault="00B31A4A">
            <w:pPr>
              <w:spacing w:beforeLines="20" w:before="48" w:afterLines="20" w:after="48"/>
              <w:rPr>
                <w:noProof/>
              </w:rPr>
            </w:pPr>
            <w:r>
              <w:rPr>
                <w:noProof/>
                <w:sz w:val="21"/>
              </w:rPr>
              <w:sym w:font="Wingdings" w:char="F09F"/>
            </w:r>
            <w:r>
              <w:rPr>
                <w:noProof/>
                <w:sz w:val="21"/>
              </w:rPr>
              <w:t xml:space="preserve">KOPĀ administratīvās apropriācijas, kas tiek </w:t>
            </w:r>
            <w:r>
              <w:rPr>
                <w:noProof/>
                <w:sz w:val="21"/>
              </w:rPr>
              <w:t>finansētas no konkrētu programmu piešķīrumiem</w:t>
            </w:r>
          </w:p>
        </w:tc>
        <w:tc>
          <w:tcPr>
            <w:tcW w:w="654" w:type="dxa"/>
            <w:tcBorders>
              <w:bottom w:val="single" w:sz="4" w:space="0" w:color="auto"/>
            </w:tcBorders>
            <w:vAlign w:val="center"/>
          </w:tcPr>
          <w:p w:rsidR="00132BAA" w:rsidRDefault="00B31A4A">
            <w:pPr>
              <w:spacing w:beforeLines="20" w:before="48" w:afterLines="20" w:after="48"/>
              <w:jc w:val="center"/>
              <w:rPr>
                <w:noProof/>
                <w:sz w:val="14"/>
              </w:rPr>
            </w:pPr>
            <w:r>
              <w:rPr>
                <w:noProof/>
                <w:sz w:val="14"/>
              </w:rPr>
              <w:t>6)</w:t>
            </w:r>
          </w:p>
        </w:tc>
        <w:tc>
          <w:tcPr>
            <w:tcW w:w="2874" w:type="dxa"/>
            <w:gridSpan w:val="3"/>
            <w:tcBorders>
              <w:bottom w:val="single" w:sz="4" w:space="0" w:color="auto"/>
            </w:tcBorders>
            <w:vAlign w:val="center"/>
          </w:tcPr>
          <w:p w:rsidR="00132BAA" w:rsidRDefault="00132BAA">
            <w:pPr>
              <w:spacing w:before="20" w:after="20"/>
              <w:jc w:val="right"/>
              <w:rPr>
                <w:b/>
                <w:noProof/>
                <w:sz w:val="20"/>
              </w:rPr>
            </w:pPr>
          </w:p>
        </w:tc>
        <w:tc>
          <w:tcPr>
            <w:tcW w:w="2874" w:type="dxa"/>
            <w:tcBorders>
              <w:bottom w:val="single" w:sz="4" w:space="0" w:color="auto"/>
            </w:tcBorders>
            <w:vAlign w:val="center"/>
          </w:tcPr>
          <w:p w:rsidR="00132BAA" w:rsidRDefault="00132BAA">
            <w:pPr>
              <w:spacing w:before="20" w:after="20"/>
              <w:jc w:val="right"/>
              <w:rPr>
                <w:b/>
                <w:noProof/>
                <w:sz w:val="20"/>
              </w:rPr>
            </w:pPr>
          </w:p>
        </w:tc>
        <w:tc>
          <w:tcPr>
            <w:tcW w:w="2875" w:type="dxa"/>
            <w:tcBorders>
              <w:bottom w:val="single" w:sz="4" w:space="0" w:color="auto"/>
            </w:tcBorders>
            <w:vAlign w:val="center"/>
          </w:tcPr>
          <w:p w:rsidR="00132BAA" w:rsidRDefault="00132BAA">
            <w:pPr>
              <w:spacing w:before="20" w:after="20"/>
              <w:jc w:val="right"/>
              <w:rPr>
                <w:b/>
                <w:noProof/>
                <w:sz w:val="20"/>
              </w:rPr>
            </w:pPr>
          </w:p>
        </w:tc>
      </w:tr>
      <w:tr w:rsidR="00132BAA">
        <w:tc>
          <w:tcPr>
            <w:tcW w:w="3960" w:type="dxa"/>
            <w:vMerge w:val="restart"/>
            <w:tcBorders>
              <w:top w:val="single" w:sz="4" w:space="0" w:color="auto"/>
              <w:left w:val="single" w:sz="4" w:space="0" w:color="auto"/>
              <w:bottom w:val="single" w:sz="4" w:space="0" w:color="auto"/>
            </w:tcBorders>
            <w:shd w:val="thinDiagStripe" w:color="C0C0C0" w:fill="auto"/>
            <w:vAlign w:val="center"/>
          </w:tcPr>
          <w:p w:rsidR="00132BAA" w:rsidRDefault="00B31A4A">
            <w:pPr>
              <w:jc w:val="center"/>
              <w:rPr>
                <w:b/>
                <w:noProof/>
              </w:rPr>
            </w:pPr>
            <w:r>
              <w:rPr>
                <w:b/>
                <w:noProof/>
                <w:sz w:val="22"/>
              </w:rPr>
              <w:t>KOPĀ apropriācijas</w:t>
            </w:r>
            <w:r>
              <w:rPr>
                <w:noProof/>
                <w:sz w:val="22"/>
              </w:rPr>
              <w:br/>
              <w:t xml:space="preserve">daudzgadu finanšu shēmas </w:t>
            </w:r>
            <w:r>
              <w:rPr>
                <w:noProof/>
                <w:sz w:val="22"/>
              </w:rPr>
              <w:br/>
            </w:r>
            <w:r>
              <w:rPr>
                <w:b/>
                <w:noProof/>
                <w:sz w:val="22"/>
              </w:rPr>
              <w:t>1. līdz 4. IZDEVUMU KATEGORIJAS</w:t>
            </w:r>
            <w:r>
              <w:rPr>
                <w:noProof/>
                <w:sz w:val="22"/>
              </w:rPr>
              <w:br/>
            </w:r>
            <w:r>
              <w:rPr>
                <w:noProof/>
                <w:sz w:val="20"/>
              </w:rPr>
              <w:t>(Pamatsumma)</w:t>
            </w:r>
          </w:p>
        </w:tc>
        <w:tc>
          <w:tcPr>
            <w:tcW w:w="1440" w:type="dxa"/>
            <w:tcBorders>
              <w:top w:val="single" w:sz="4" w:space="0" w:color="auto"/>
              <w:bottom w:val="single" w:sz="4" w:space="0" w:color="auto"/>
            </w:tcBorders>
            <w:vAlign w:val="center"/>
          </w:tcPr>
          <w:p w:rsidR="00132BAA" w:rsidRDefault="00B31A4A">
            <w:pPr>
              <w:rPr>
                <w:noProof/>
                <w:sz w:val="18"/>
              </w:rPr>
            </w:pPr>
            <w:r>
              <w:rPr>
                <w:noProof/>
                <w:sz w:val="18"/>
              </w:rPr>
              <w:t>Saistības</w:t>
            </w:r>
          </w:p>
        </w:tc>
        <w:tc>
          <w:tcPr>
            <w:tcW w:w="654" w:type="dxa"/>
            <w:tcBorders>
              <w:top w:val="single" w:sz="4" w:space="0" w:color="auto"/>
              <w:bottom w:val="single" w:sz="4" w:space="0" w:color="auto"/>
            </w:tcBorders>
            <w:vAlign w:val="center"/>
          </w:tcPr>
          <w:p w:rsidR="00132BAA" w:rsidRDefault="00B31A4A">
            <w:pPr>
              <w:jc w:val="center"/>
              <w:rPr>
                <w:noProof/>
                <w:sz w:val="14"/>
              </w:rPr>
            </w:pPr>
            <w:r>
              <w:rPr>
                <w:noProof/>
                <w:sz w:val="14"/>
              </w:rPr>
              <w:t>=4+ 6</w:t>
            </w:r>
          </w:p>
        </w:tc>
        <w:tc>
          <w:tcPr>
            <w:tcW w:w="2874" w:type="dxa"/>
            <w:gridSpan w:val="3"/>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11,285</w:t>
            </w:r>
          </w:p>
        </w:tc>
        <w:tc>
          <w:tcPr>
            <w:tcW w:w="2874" w:type="dxa"/>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10,185</w:t>
            </w:r>
          </w:p>
        </w:tc>
        <w:tc>
          <w:tcPr>
            <w:tcW w:w="2875" w:type="dxa"/>
            <w:tcBorders>
              <w:top w:val="single" w:sz="4" w:space="0" w:color="auto"/>
              <w:bottom w:val="single" w:sz="4" w:space="0" w:color="auto"/>
              <w:right w:val="single" w:sz="4" w:space="0" w:color="auto"/>
            </w:tcBorders>
            <w:vAlign w:val="center"/>
          </w:tcPr>
          <w:p w:rsidR="00132BAA" w:rsidRDefault="00B31A4A">
            <w:pPr>
              <w:spacing w:before="20" w:after="20"/>
              <w:jc w:val="right"/>
              <w:rPr>
                <w:noProof/>
                <w:sz w:val="20"/>
              </w:rPr>
            </w:pPr>
            <w:r>
              <w:rPr>
                <w:b/>
                <w:noProof/>
                <w:sz w:val="20"/>
              </w:rPr>
              <w:t>21,470</w:t>
            </w:r>
          </w:p>
        </w:tc>
      </w:tr>
      <w:tr w:rsidR="00132BAA">
        <w:tc>
          <w:tcPr>
            <w:tcW w:w="3960" w:type="dxa"/>
            <w:vMerge/>
            <w:tcBorders>
              <w:top w:val="single" w:sz="4" w:space="0" w:color="auto"/>
              <w:left w:val="single" w:sz="4" w:space="0" w:color="auto"/>
              <w:bottom w:val="single" w:sz="4" w:space="0" w:color="auto"/>
            </w:tcBorders>
            <w:shd w:val="thinDiagStripe" w:color="C0C0C0" w:fill="auto"/>
          </w:tcPr>
          <w:p w:rsidR="00132BAA" w:rsidRDefault="00132BAA">
            <w:pPr>
              <w:rPr>
                <w:noProof/>
                <w:sz w:val="20"/>
              </w:rPr>
            </w:pPr>
          </w:p>
        </w:tc>
        <w:tc>
          <w:tcPr>
            <w:tcW w:w="1440" w:type="dxa"/>
            <w:tcBorders>
              <w:top w:val="single" w:sz="4" w:space="0" w:color="auto"/>
              <w:bottom w:val="single" w:sz="4" w:space="0" w:color="auto"/>
            </w:tcBorders>
            <w:vAlign w:val="center"/>
          </w:tcPr>
          <w:p w:rsidR="00132BAA" w:rsidRDefault="00B31A4A">
            <w:pPr>
              <w:rPr>
                <w:noProof/>
                <w:sz w:val="18"/>
              </w:rPr>
            </w:pPr>
            <w:r>
              <w:rPr>
                <w:noProof/>
                <w:sz w:val="18"/>
              </w:rPr>
              <w:t>Maksājumi</w:t>
            </w:r>
          </w:p>
        </w:tc>
        <w:tc>
          <w:tcPr>
            <w:tcW w:w="654" w:type="dxa"/>
            <w:tcBorders>
              <w:top w:val="single" w:sz="4" w:space="0" w:color="auto"/>
              <w:bottom w:val="single" w:sz="4" w:space="0" w:color="auto"/>
            </w:tcBorders>
            <w:vAlign w:val="center"/>
          </w:tcPr>
          <w:p w:rsidR="00132BAA" w:rsidRDefault="00B31A4A">
            <w:pPr>
              <w:jc w:val="center"/>
              <w:rPr>
                <w:noProof/>
                <w:sz w:val="14"/>
              </w:rPr>
            </w:pPr>
            <w:r>
              <w:rPr>
                <w:noProof/>
                <w:sz w:val="14"/>
              </w:rPr>
              <w:t>=5+ 6</w:t>
            </w:r>
          </w:p>
        </w:tc>
        <w:tc>
          <w:tcPr>
            <w:tcW w:w="868" w:type="dxa"/>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1,129</w:t>
            </w:r>
          </w:p>
        </w:tc>
        <w:tc>
          <w:tcPr>
            <w:tcW w:w="868" w:type="dxa"/>
            <w:tcBorders>
              <w:top w:val="single" w:sz="4" w:space="0" w:color="auto"/>
              <w:bottom w:val="single" w:sz="4" w:space="0" w:color="auto"/>
            </w:tcBorders>
            <w:vAlign w:val="center"/>
          </w:tcPr>
          <w:p w:rsidR="00132BAA" w:rsidRDefault="00B31A4A">
            <w:pPr>
              <w:spacing w:before="20" w:after="20"/>
              <w:jc w:val="right"/>
              <w:rPr>
                <w:noProof/>
                <w:sz w:val="20"/>
              </w:rPr>
            </w:pPr>
            <w:r>
              <w:rPr>
                <w:noProof/>
                <w:sz w:val="20"/>
              </w:rPr>
              <w:t>4,968</w:t>
            </w:r>
          </w:p>
        </w:tc>
        <w:tc>
          <w:tcPr>
            <w:tcW w:w="6887" w:type="dxa"/>
            <w:gridSpan w:val="3"/>
            <w:tcBorders>
              <w:top w:val="single" w:sz="4" w:space="0" w:color="auto"/>
              <w:bottom w:val="single" w:sz="4" w:space="0" w:color="auto"/>
              <w:right w:val="single" w:sz="4" w:space="0" w:color="auto"/>
            </w:tcBorders>
            <w:vAlign w:val="center"/>
          </w:tcPr>
          <w:p w:rsidR="00132BAA" w:rsidRDefault="00B31A4A">
            <w:pPr>
              <w:spacing w:before="20" w:after="20"/>
              <w:jc w:val="right"/>
              <w:rPr>
                <w:noProof/>
                <w:sz w:val="20"/>
              </w:rPr>
            </w:pPr>
            <w:r>
              <w:rPr>
                <w:b/>
                <w:noProof/>
                <w:sz w:val="20"/>
              </w:rPr>
              <w:t>6,097</w:t>
            </w:r>
          </w:p>
        </w:tc>
      </w:tr>
    </w:tbl>
    <w:p w:rsidR="00132BAA" w:rsidRDefault="00132BAA">
      <w:pPr>
        <w:rPr>
          <w:noProof/>
        </w:rPr>
      </w:pPr>
    </w:p>
    <w:p w:rsidR="00132BAA" w:rsidRDefault="00B31A4A">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32BAA">
        <w:trPr>
          <w:jc w:val="center"/>
        </w:trPr>
        <w:tc>
          <w:tcPr>
            <w:tcW w:w="4744" w:type="dxa"/>
            <w:shd w:val="thinDiagStripe" w:color="C0C0C0" w:fill="auto"/>
            <w:vAlign w:val="center"/>
          </w:tcPr>
          <w:p w:rsidR="00132BAA" w:rsidRDefault="00B31A4A">
            <w:pPr>
              <w:spacing w:before="60" w:after="60"/>
              <w:jc w:val="center"/>
              <w:rPr>
                <w:b/>
                <w:noProof/>
              </w:rPr>
            </w:pPr>
            <w:r>
              <w:rPr>
                <w:noProof/>
              </w:rPr>
              <w:lastRenderedPageBreak/>
              <w:br w:type="page"/>
            </w:r>
            <w:r>
              <w:rPr>
                <w:b/>
                <w:noProof/>
              </w:rPr>
              <w:t xml:space="preserve">Daudzgadu finanšu shēmas izdevumu </w:t>
            </w:r>
            <w:r>
              <w:rPr>
                <w:noProof/>
              </w:rPr>
              <w:br/>
            </w:r>
            <w:r>
              <w:rPr>
                <w:b/>
                <w:noProof/>
              </w:rPr>
              <w:t>kategorija:</w:t>
            </w:r>
            <w:r>
              <w:rPr>
                <w:b/>
                <w:noProof/>
                <w:sz w:val="22"/>
              </w:rPr>
              <w:t xml:space="preserve"> </w:t>
            </w:r>
          </w:p>
        </w:tc>
        <w:tc>
          <w:tcPr>
            <w:tcW w:w="1080" w:type="dxa"/>
            <w:shd w:val="thinDiagStripe" w:color="C0C0C0" w:fill="auto"/>
            <w:vAlign w:val="center"/>
          </w:tcPr>
          <w:p w:rsidR="00132BAA" w:rsidRDefault="00B31A4A">
            <w:pPr>
              <w:spacing w:before="60" w:after="60"/>
              <w:jc w:val="center"/>
              <w:rPr>
                <w:noProof/>
              </w:rPr>
            </w:pPr>
            <w:r>
              <w:rPr>
                <w:b/>
                <w:noProof/>
                <w:sz w:val="22"/>
              </w:rPr>
              <w:t>5</w:t>
            </w:r>
          </w:p>
        </w:tc>
        <w:tc>
          <w:tcPr>
            <w:tcW w:w="7817" w:type="dxa"/>
            <w:vAlign w:val="center"/>
          </w:tcPr>
          <w:p w:rsidR="00132BAA" w:rsidRDefault="00B31A4A">
            <w:pPr>
              <w:spacing w:before="60" w:after="60"/>
              <w:rPr>
                <w:noProof/>
              </w:rPr>
            </w:pPr>
            <w:r>
              <w:rPr>
                <w:noProof/>
                <w:sz w:val="22"/>
              </w:rPr>
              <w:t>“Administratīvie izdevumi”</w:t>
            </w:r>
          </w:p>
        </w:tc>
      </w:tr>
    </w:tbl>
    <w:p w:rsidR="00132BAA" w:rsidRDefault="00B31A4A">
      <w:pPr>
        <w:jc w:val="right"/>
        <w:rPr>
          <w:noProof/>
          <w:sz w:val="20"/>
        </w:rPr>
      </w:pPr>
      <w:r>
        <w:rPr>
          <w:noProof/>
          <w:sz w:val="20"/>
        </w:rPr>
        <w:t>EUR miljonos (trīs zīmes aiz komata)</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rsidR="00132BAA">
        <w:tc>
          <w:tcPr>
            <w:tcW w:w="3960" w:type="dxa"/>
            <w:tcBorders>
              <w:top w:val="nil"/>
              <w:left w:val="nil"/>
              <w:right w:val="nil"/>
            </w:tcBorders>
            <w:vAlign w:val="center"/>
          </w:tcPr>
          <w:p w:rsidR="00132BAA" w:rsidRDefault="00132BAA">
            <w:pPr>
              <w:jc w:val="center"/>
              <w:rPr>
                <w:noProof/>
                <w:sz w:val="20"/>
                <w:szCs w:val="20"/>
              </w:rPr>
            </w:pPr>
          </w:p>
        </w:tc>
        <w:tc>
          <w:tcPr>
            <w:tcW w:w="1560" w:type="dxa"/>
            <w:tcBorders>
              <w:top w:val="nil"/>
              <w:left w:val="nil"/>
              <w:right w:val="nil"/>
            </w:tcBorders>
          </w:tcPr>
          <w:p w:rsidR="00132BAA" w:rsidRDefault="00132BAA">
            <w:pPr>
              <w:rPr>
                <w:noProof/>
                <w:sz w:val="20"/>
                <w:szCs w:val="20"/>
              </w:rPr>
            </w:pPr>
          </w:p>
        </w:tc>
        <w:tc>
          <w:tcPr>
            <w:tcW w:w="534" w:type="dxa"/>
            <w:tcBorders>
              <w:top w:val="nil"/>
              <w:left w:val="nil"/>
            </w:tcBorders>
          </w:tcPr>
          <w:p w:rsidR="00132BAA" w:rsidRDefault="00132BAA">
            <w:pPr>
              <w:jc w:val="center"/>
              <w:rPr>
                <w:noProof/>
                <w:sz w:val="20"/>
                <w:szCs w:val="20"/>
              </w:rPr>
            </w:pPr>
          </w:p>
        </w:tc>
        <w:tc>
          <w:tcPr>
            <w:tcW w:w="2874" w:type="dxa"/>
            <w:vAlign w:val="center"/>
          </w:tcPr>
          <w:p w:rsidR="00132BAA" w:rsidRDefault="00B31A4A">
            <w:pPr>
              <w:jc w:val="center"/>
              <w:rPr>
                <w:noProof/>
                <w:sz w:val="20"/>
                <w:szCs w:val="20"/>
              </w:rPr>
            </w:pPr>
            <w:r>
              <w:rPr>
                <w:b/>
                <w:noProof/>
                <w:sz w:val="20"/>
                <w:szCs w:val="20"/>
              </w:rPr>
              <w:t>2019.</w:t>
            </w:r>
            <w:r>
              <w:rPr>
                <w:noProof/>
                <w:sz w:val="20"/>
                <w:szCs w:val="20"/>
              </w:rPr>
              <w:br/>
              <w:t>gads</w:t>
            </w:r>
          </w:p>
        </w:tc>
        <w:tc>
          <w:tcPr>
            <w:tcW w:w="2874" w:type="dxa"/>
            <w:vAlign w:val="center"/>
          </w:tcPr>
          <w:p w:rsidR="00132BAA" w:rsidRDefault="00B31A4A">
            <w:pPr>
              <w:jc w:val="center"/>
              <w:rPr>
                <w:noProof/>
                <w:sz w:val="20"/>
                <w:szCs w:val="20"/>
              </w:rPr>
            </w:pPr>
            <w:r>
              <w:rPr>
                <w:b/>
                <w:noProof/>
                <w:sz w:val="20"/>
                <w:szCs w:val="20"/>
              </w:rPr>
              <w:t>2020.</w:t>
            </w:r>
            <w:r>
              <w:rPr>
                <w:noProof/>
                <w:sz w:val="20"/>
                <w:szCs w:val="20"/>
              </w:rPr>
              <w:br/>
              <w:t>gads</w:t>
            </w:r>
          </w:p>
        </w:tc>
        <w:tc>
          <w:tcPr>
            <w:tcW w:w="2875" w:type="dxa"/>
            <w:vAlign w:val="center"/>
          </w:tcPr>
          <w:p w:rsidR="00132BAA" w:rsidRDefault="00B31A4A">
            <w:pPr>
              <w:jc w:val="center"/>
              <w:rPr>
                <w:b/>
                <w:noProof/>
                <w:sz w:val="20"/>
                <w:szCs w:val="20"/>
              </w:rPr>
            </w:pPr>
            <w:r>
              <w:rPr>
                <w:b/>
                <w:noProof/>
                <w:sz w:val="20"/>
                <w:szCs w:val="20"/>
              </w:rPr>
              <w:t>KOPĀ</w:t>
            </w:r>
          </w:p>
        </w:tc>
      </w:tr>
      <w:tr w:rsidR="00132BAA">
        <w:trPr>
          <w:gridAfter w:val="5"/>
          <w:wAfter w:w="10717" w:type="dxa"/>
        </w:trPr>
        <w:tc>
          <w:tcPr>
            <w:tcW w:w="3960" w:type="dxa"/>
            <w:vAlign w:val="center"/>
          </w:tcPr>
          <w:p w:rsidR="00132BAA" w:rsidRDefault="00B31A4A">
            <w:pPr>
              <w:spacing w:before="60" w:after="60"/>
              <w:jc w:val="center"/>
              <w:rPr>
                <w:noProof/>
              </w:rPr>
            </w:pPr>
            <w:r>
              <w:rPr>
                <w:noProof/>
                <w:sz w:val="22"/>
              </w:rPr>
              <w:t>ĢD ESTAT</w:t>
            </w:r>
          </w:p>
        </w:tc>
      </w:tr>
      <w:tr w:rsidR="00132BAA">
        <w:trPr>
          <w:trHeight w:val="313"/>
        </w:trPr>
        <w:tc>
          <w:tcPr>
            <w:tcW w:w="6054" w:type="dxa"/>
            <w:gridSpan w:val="3"/>
            <w:vAlign w:val="center"/>
          </w:tcPr>
          <w:p w:rsidR="00132BAA" w:rsidRDefault="00B31A4A">
            <w:pPr>
              <w:spacing w:before="20" w:after="20"/>
              <w:rPr>
                <w:noProof/>
              </w:rPr>
            </w:pPr>
            <w:r>
              <w:rPr>
                <w:noProof/>
                <w:sz w:val="22"/>
              </w:rPr>
              <w:sym w:font="Wingdings" w:char="F09F"/>
            </w:r>
            <w:r>
              <w:rPr>
                <w:noProof/>
                <w:sz w:val="22"/>
              </w:rPr>
              <w:t>Cilvēkresursi</w:t>
            </w:r>
          </w:p>
        </w:tc>
        <w:tc>
          <w:tcPr>
            <w:tcW w:w="2874" w:type="dxa"/>
            <w:vAlign w:val="center"/>
          </w:tcPr>
          <w:p w:rsidR="00132BAA" w:rsidRDefault="00B31A4A">
            <w:pPr>
              <w:spacing w:before="20" w:after="20"/>
              <w:jc w:val="right"/>
              <w:rPr>
                <w:noProof/>
                <w:sz w:val="20"/>
              </w:rPr>
            </w:pPr>
            <w:r>
              <w:rPr>
                <w:noProof/>
                <w:sz w:val="16"/>
              </w:rPr>
              <w:t>11,850</w:t>
            </w:r>
          </w:p>
        </w:tc>
        <w:tc>
          <w:tcPr>
            <w:tcW w:w="2874" w:type="dxa"/>
            <w:vAlign w:val="center"/>
          </w:tcPr>
          <w:p w:rsidR="00132BAA" w:rsidRDefault="00B31A4A">
            <w:pPr>
              <w:spacing w:before="20" w:after="20"/>
              <w:jc w:val="right"/>
              <w:rPr>
                <w:noProof/>
                <w:sz w:val="20"/>
              </w:rPr>
            </w:pPr>
            <w:r>
              <w:rPr>
                <w:noProof/>
                <w:sz w:val="16"/>
              </w:rPr>
              <w:t>11,883</w:t>
            </w:r>
          </w:p>
        </w:tc>
        <w:tc>
          <w:tcPr>
            <w:tcW w:w="2875" w:type="dxa"/>
            <w:vAlign w:val="center"/>
          </w:tcPr>
          <w:p w:rsidR="00132BAA" w:rsidRDefault="00B31A4A">
            <w:pPr>
              <w:spacing w:before="20" w:after="20"/>
              <w:jc w:val="right"/>
              <w:rPr>
                <w:b/>
                <w:noProof/>
                <w:sz w:val="20"/>
              </w:rPr>
            </w:pPr>
            <w:r>
              <w:rPr>
                <w:b/>
                <w:noProof/>
                <w:sz w:val="20"/>
              </w:rPr>
              <w:t>23,733</w:t>
            </w:r>
          </w:p>
        </w:tc>
      </w:tr>
      <w:tr w:rsidR="00132BAA">
        <w:trPr>
          <w:trHeight w:val="351"/>
        </w:trPr>
        <w:tc>
          <w:tcPr>
            <w:tcW w:w="6054" w:type="dxa"/>
            <w:gridSpan w:val="3"/>
            <w:vAlign w:val="center"/>
          </w:tcPr>
          <w:p w:rsidR="00132BAA" w:rsidRDefault="00B31A4A">
            <w:pPr>
              <w:spacing w:before="20" w:after="20"/>
              <w:rPr>
                <w:noProof/>
              </w:rPr>
            </w:pPr>
            <w:r>
              <w:rPr>
                <w:noProof/>
                <w:sz w:val="22"/>
              </w:rPr>
              <w:sym w:font="Wingdings" w:char="F09F"/>
            </w:r>
            <w:r>
              <w:rPr>
                <w:noProof/>
                <w:sz w:val="22"/>
              </w:rPr>
              <w:t xml:space="preserve"> Pārējie administratīvie izdevumi</w:t>
            </w:r>
          </w:p>
        </w:tc>
        <w:tc>
          <w:tcPr>
            <w:tcW w:w="2874" w:type="dxa"/>
            <w:vAlign w:val="center"/>
          </w:tcPr>
          <w:p w:rsidR="00132BAA" w:rsidRDefault="00B31A4A">
            <w:pPr>
              <w:spacing w:before="20" w:after="20"/>
              <w:jc w:val="right"/>
              <w:rPr>
                <w:b/>
                <w:noProof/>
                <w:sz w:val="20"/>
              </w:rPr>
            </w:pPr>
            <w:r>
              <w:rPr>
                <w:noProof/>
                <w:sz w:val="16"/>
              </w:rPr>
              <w:t>0,625</w:t>
            </w:r>
          </w:p>
        </w:tc>
        <w:tc>
          <w:tcPr>
            <w:tcW w:w="2874" w:type="dxa"/>
            <w:vAlign w:val="center"/>
          </w:tcPr>
          <w:p w:rsidR="00132BAA" w:rsidRDefault="00B31A4A">
            <w:pPr>
              <w:spacing w:before="20" w:after="20"/>
              <w:jc w:val="right"/>
              <w:rPr>
                <w:b/>
                <w:noProof/>
                <w:sz w:val="20"/>
              </w:rPr>
            </w:pPr>
            <w:r>
              <w:rPr>
                <w:noProof/>
                <w:sz w:val="16"/>
              </w:rPr>
              <w:t>0,625</w:t>
            </w:r>
          </w:p>
        </w:tc>
        <w:tc>
          <w:tcPr>
            <w:tcW w:w="2875" w:type="dxa"/>
            <w:vAlign w:val="center"/>
          </w:tcPr>
          <w:p w:rsidR="00132BAA" w:rsidRDefault="00B31A4A">
            <w:pPr>
              <w:spacing w:before="20" w:after="20"/>
              <w:jc w:val="right"/>
              <w:rPr>
                <w:b/>
                <w:noProof/>
                <w:sz w:val="20"/>
              </w:rPr>
            </w:pPr>
            <w:r>
              <w:rPr>
                <w:b/>
                <w:noProof/>
                <w:sz w:val="20"/>
              </w:rPr>
              <w:t>1,250</w:t>
            </w:r>
          </w:p>
        </w:tc>
      </w:tr>
      <w:tr w:rsidR="00132BAA">
        <w:tc>
          <w:tcPr>
            <w:tcW w:w="3960" w:type="dxa"/>
            <w:vAlign w:val="center"/>
          </w:tcPr>
          <w:p w:rsidR="00132BAA" w:rsidRDefault="00B31A4A">
            <w:pPr>
              <w:jc w:val="center"/>
              <w:rPr>
                <w:b/>
                <w:noProof/>
              </w:rPr>
            </w:pPr>
            <w:r>
              <w:rPr>
                <w:b/>
                <w:noProof/>
              </w:rPr>
              <w:t>KOPĀ</w:t>
            </w:r>
            <w:r>
              <w:rPr>
                <w:noProof/>
              </w:rPr>
              <w:t xml:space="preserve"> — </w:t>
            </w:r>
            <w:r>
              <w:rPr>
                <w:b/>
                <w:noProof/>
                <w:sz w:val="22"/>
              </w:rPr>
              <w:t>ĢD</w:t>
            </w:r>
            <w:r>
              <w:rPr>
                <w:noProof/>
              </w:rPr>
              <w:t xml:space="preserve"> ESTAT</w:t>
            </w:r>
          </w:p>
        </w:tc>
        <w:tc>
          <w:tcPr>
            <w:tcW w:w="2094" w:type="dxa"/>
            <w:gridSpan w:val="2"/>
            <w:vAlign w:val="center"/>
          </w:tcPr>
          <w:p w:rsidR="00132BAA" w:rsidRDefault="00132BAA">
            <w:pPr>
              <w:rPr>
                <w:noProof/>
                <w:sz w:val="14"/>
              </w:rPr>
            </w:pPr>
          </w:p>
        </w:tc>
        <w:tc>
          <w:tcPr>
            <w:tcW w:w="2874" w:type="dxa"/>
            <w:vAlign w:val="center"/>
          </w:tcPr>
          <w:p w:rsidR="00132BAA" w:rsidRDefault="00B31A4A">
            <w:pPr>
              <w:spacing w:before="60" w:after="60"/>
              <w:jc w:val="right"/>
              <w:rPr>
                <w:noProof/>
                <w:sz w:val="20"/>
              </w:rPr>
            </w:pPr>
            <w:r>
              <w:rPr>
                <w:noProof/>
                <w:sz w:val="16"/>
              </w:rPr>
              <w:t>12,475</w:t>
            </w:r>
          </w:p>
        </w:tc>
        <w:tc>
          <w:tcPr>
            <w:tcW w:w="2874" w:type="dxa"/>
            <w:vAlign w:val="center"/>
          </w:tcPr>
          <w:p w:rsidR="00132BAA" w:rsidRDefault="00B31A4A">
            <w:pPr>
              <w:spacing w:before="20" w:after="20"/>
              <w:jc w:val="right"/>
              <w:rPr>
                <w:noProof/>
                <w:sz w:val="20"/>
              </w:rPr>
            </w:pPr>
            <w:r>
              <w:rPr>
                <w:noProof/>
                <w:sz w:val="20"/>
              </w:rPr>
              <w:t>12,508</w:t>
            </w:r>
          </w:p>
        </w:tc>
        <w:tc>
          <w:tcPr>
            <w:tcW w:w="2875" w:type="dxa"/>
            <w:vAlign w:val="center"/>
          </w:tcPr>
          <w:p w:rsidR="00132BAA" w:rsidRDefault="00B31A4A">
            <w:pPr>
              <w:spacing w:before="20" w:after="20"/>
              <w:jc w:val="right"/>
              <w:rPr>
                <w:b/>
                <w:noProof/>
                <w:sz w:val="20"/>
              </w:rPr>
            </w:pPr>
            <w:r>
              <w:rPr>
                <w:b/>
                <w:noProof/>
                <w:sz w:val="20"/>
              </w:rPr>
              <w:t>24,983</w:t>
            </w:r>
          </w:p>
        </w:tc>
      </w:tr>
    </w:tbl>
    <w:p w:rsidR="00132BAA" w:rsidRDefault="00132BAA">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2874"/>
        <w:gridCol w:w="2874"/>
        <w:gridCol w:w="2875"/>
      </w:tblGrid>
      <w:tr w:rsidR="00132BAA">
        <w:tc>
          <w:tcPr>
            <w:tcW w:w="3960" w:type="dxa"/>
            <w:shd w:val="thinDiagStripe" w:color="C0C0C0" w:fill="auto"/>
            <w:vAlign w:val="center"/>
          </w:tcPr>
          <w:p w:rsidR="00132BAA" w:rsidRDefault="00B31A4A">
            <w:pPr>
              <w:jc w:val="center"/>
              <w:rPr>
                <w:b/>
                <w:noProof/>
              </w:rPr>
            </w:pPr>
            <w:r>
              <w:rPr>
                <w:b/>
                <w:noProof/>
                <w:sz w:val="22"/>
              </w:rPr>
              <w:t>KOPĀ</w:t>
            </w:r>
            <w:r>
              <w:rPr>
                <w:b/>
                <w:noProof/>
                <w:sz w:val="22"/>
              </w:rPr>
              <w:t xml:space="preserve"> apropriācijas</w:t>
            </w:r>
            <w:r>
              <w:rPr>
                <w:noProof/>
                <w:sz w:val="22"/>
              </w:rPr>
              <w:br/>
              <w:t xml:space="preserve">daudzgadu finanšu shēmas </w:t>
            </w:r>
            <w:r>
              <w:rPr>
                <w:noProof/>
                <w:sz w:val="22"/>
              </w:rPr>
              <w:br/>
            </w:r>
            <w:r>
              <w:rPr>
                <w:b/>
                <w:noProof/>
                <w:sz w:val="22"/>
              </w:rPr>
              <w:t xml:space="preserve">5. IZDEVUMU KATEGORIJA </w:t>
            </w:r>
          </w:p>
        </w:tc>
        <w:tc>
          <w:tcPr>
            <w:tcW w:w="2094" w:type="dxa"/>
            <w:vAlign w:val="center"/>
          </w:tcPr>
          <w:p w:rsidR="00132BAA" w:rsidRDefault="00B31A4A">
            <w:pPr>
              <w:spacing w:before="40" w:after="40"/>
              <w:rPr>
                <w:noProof/>
              </w:rPr>
            </w:pPr>
            <w:r>
              <w:rPr>
                <w:noProof/>
                <w:sz w:val="18"/>
              </w:rPr>
              <w:t>(Saistību summa = maksājumu summa)</w:t>
            </w:r>
          </w:p>
        </w:tc>
        <w:tc>
          <w:tcPr>
            <w:tcW w:w="2874" w:type="dxa"/>
            <w:vAlign w:val="center"/>
          </w:tcPr>
          <w:p w:rsidR="00132BAA" w:rsidRDefault="00B31A4A">
            <w:pPr>
              <w:spacing w:before="20" w:after="20"/>
              <w:jc w:val="right"/>
              <w:rPr>
                <w:noProof/>
                <w:sz w:val="20"/>
              </w:rPr>
            </w:pPr>
            <w:r>
              <w:rPr>
                <w:noProof/>
                <w:sz w:val="20"/>
              </w:rPr>
              <w:t>12,475</w:t>
            </w:r>
          </w:p>
        </w:tc>
        <w:tc>
          <w:tcPr>
            <w:tcW w:w="2874" w:type="dxa"/>
            <w:vAlign w:val="center"/>
          </w:tcPr>
          <w:p w:rsidR="00132BAA" w:rsidRDefault="00B31A4A">
            <w:pPr>
              <w:spacing w:before="20" w:after="20"/>
              <w:jc w:val="right"/>
              <w:rPr>
                <w:noProof/>
                <w:sz w:val="20"/>
              </w:rPr>
            </w:pPr>
            <w:r>
              <w:rPr>
                <w:noProof/>
                <w:sz w:val="20"/>
              </w:rPr>
              <w:t>12,508</w:t>
            </w:r>
          </w:p>
        </w:tc>
        <w:tc>
          <w:tcPr>
            <w:tcW w:w="2875" w:type="dxa"/>
            <w:vAlign w:val="center"/>
          </w:tcPr>
          <w:p w:rsidR="00132BAA" w:rsidRDefault="00B31A4A">
            <w:pPr>
              <w:spacing w:before="20" w:after="20"/>
              <w:jc w:val="right"/>
              <w:rPr>
                <w:b/>
                <w:noProof/>
                <w:sz w:val="20"/>
              </w:rPr>
            </w:pPr>
            <w:r>
              <w:rPr>
                <w:b/>
                <w:noProof/>
                <w:sz w:val="20"/>
              </w:rPr>
              <w:t>24,983</w:t>
            </w:r>
          </w:p>
        </w:tc>
      </w:tr>
    </w:tbl>
    <w:p w:rsidR="00132BAA" w:rsidRDefault="00B31A4A">
      <w:pPr>
        <w:jc w:val="right"/>
        <w:rPr>
          <w:noProof/>
          <w:sz w:val="20"/>
        </w:rPr>
      </w:pPr>
      <w:r>
        <w:rPr>
          <w:noProof/>
          <w:sz w:val="20"/>
        </w:rPr>
        <w:t>EUR miljonos (trīs zīmes aiz komata)</w:t>
      </w: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2874"/>
        <w:gridCol w:w="2874"/>
        <w:gridCol w:w="2875"/>
      </w:tblGrid>
      <w:tr w:rsidR="00132BAA">
        <w:tc>
          <w:tcPr>
            <w:tcW w:w="3960" w:type="dxa"/>
            <w:tcBorders>
              <w:top w:val="nil"/>
              <w:left w:val="nil"/>
              <w:right w:val="nil"/>
            </w:tcBorders>
            <w:vAlign w:val="center"/>
          </w:tcPr>
          <w:p w:rsidR="00132BAA" w:rsidRDefault="00132BAA">
            <w:pPr>
              <w:jc w:val="center"/>
              <w:rPr>
                <w:noProof/>
                <w:sz w:val="20"/>
                <w:szCs w:val="20"/>
              </w:rPr>
            </w:pPr>
          </w:p>
        </w:tc>
        <w:tc>
          <w:tcPr>
            <w:tcW w:w="1560" w:type="dxa"/>
            <w:tcBorders>
              <w:top w:val="nil"/>
              <w:left w:val="nil"/>
              <w:right w:val="nil"/>
            </w:tcBorders>
          </w:tcPr>
          <w:p w:rsidR="00132BAA" w:rsidRDefault="00132BAA">
            <w:pPr>
              <w:rPr>
                <w:noProof/>
                <w:sz w:val="20"/>
                <w:szCs w:val="20"/>
              </w:rPr>
            </w:pPr>
          </w:p>
        </w:tc>
        <w:tc>
          <w:tcPr>
            <w:tcW w:w="534" w:type="dxa"/>
            <w:tcBorders>
              <w:top w:val="nil"/>
              <w:left w:val="nil"/>
            </w:tcBorders>
          </w:tcPr>
          <w:p w:rsidR="00132BAA" w:rsidRDefault="00132BAA">
            <w:pPr>
              <w:jc w:val="center"/>
              <w:rPr>
                <w:noProof/>
                <w:sz w:val="20"/>
                <w:szCs w:val="20"/>
              </w:rPr>
            </w:pPr>
          </w:p>
        </w:tc>
        <w:tc>
          <w:tcPr>
            <w:tcW w:w="2874" w:type="dxa"/>
            <w:vAlign w:val="center"/>
          </w:tcPr>
          <w:p w:rsidR="00132BAA" w:rsidRDefault="00B31A4A">
            <w:pPr>
              <w:jc w:val="center"/>
              <w:rPr>
                <w:noProof/>
                <w:sz w:val="20"/>
                <w:szCs w:val="20"/>
              </w:rPr>
            </w:pPr>
            <w:r>
              <w:rPr>
                <w:b/>
                <w:noProof/>
                <w:sz w:val="20"/>
                <w:szCs w:val="20"/>
              </w:rPr>
              <w:t>2019.</w:t>
            </w:r>
            <w:r>
              <w:rPr>
                <w:noProof/>
                <w:sz w:val="20"/>
                <w:szCs w:val="20"/>
              </w:rPr>
              <w:br/>
              <w:t>gads</w:t>
            </w:r>
          </w:p>
        </w:tc>
        <w:tc>
          <w:tcPr>
            <w:tcW w:w="2874" w:type="dxa"/>
            <w:vAlign w:val="center"/>
          </w:tcPr>
          <w:p w:rsidR="00132BAA" w:rsidRDefault="00B31A4A">
            <w:pPr>
              <w:jc w:val="center"/>
              <w:rPr>
                <w:noProof/>
                <w:sz w:val="20"/>
                <w:szCs w:val="20"/>
              </w:rPr>
            </w:pPr>
            <w:r>
              <w:rPr>
                <w:b/>
                <w:noProof/>
                <w:sz w:val="20"/>
                <w:szCs w:val="20"/>
              </w:rPr>
              <w:t>2020.</w:t>
            </w:r>
            <w:r>
              <w:rPr>
                <w:noProof/>
                <w:sz w:val="20"/>
                <w:szCs w:val="20"/>
              </w:rPr>
              <w:br/>
              <w:t>gads</w:t>
            </w:r>
          </w:p>
        </w:tc>
        <w:tc>
          <w:tcPr>
            <w:tcW w:w="2875" w:type="dxa"/>
            <w:vAlign w:val="center"/>
          </w:tcPr>
          <w:p w:rsidR="00132BAA" w:rsidRDefault="00B31A4A">
            <w:pPr>
              <w:jc w:val="center"/>
              <w:rPr>
                <w:b/>
                <w:noProof/>
                <w:sz w:val="20"/>
                <w:szCs w:val="20"/>
              </w:rPr>
            </w:pPr>
            <w:r>
              <w:rPr>
                <w:b/>
                <w:noProof/>
                <w:sz w:val="20"/>
                <w:szCs w:val="20"/>
              </w:rPr>
              <w:t>KOPĀ</w:t>
            </w:r>
          </w:p>
        </w:tc>
      </w:tr>
      <w:tr w:rsidR="00132BAA">
        <w:tc>
          <w:tcPr>
            <w:tcW w:w="3960" w:type="dxa"/>
            <w:vMerge w:val="restart"/>
            <w:shd w:val="clear" w:color="auto" w:fill="C0C0C0"/>
            <w:vAlign w:val="center"/>
          </w:tcPr>
          <w:p w:rsidR="00132BAA" w:rsidRDefault="00B31A4A">
            <w:pPr>
              <w:jc w:val="center"/>
              <w:rPr>
                <w:b/>
                <w:noProof/>
              </w:rPr>
            </w:pPr>
            <w:r>
              <w:rPr>
                <w:b/>
                <w:noProof/>
                <w:sz w:val="22"/>
              </w:rPr>
              <w:t>KOPĀ apropriācijas</w:t>
            </w:r>
            <w:r>
              <w:rPr>
                <w:noProof/>
                <w:sz w:val="22"/>
              </w:rPr>
              <w:br/>
              <w:t xml:space="preserve">daudzgadu finanšu shēmas </w:t>
            </w:r>
            <w:r>
              <w:rPr>
                <w:noProof/>
                <w:sz w:val="22"/>
              </w:rPr>
              <w:br/>
            </w:r>
            <w:r>
              <w:rPr>
                <w:b/>
                <w:noProof/>
                <w:sz w:val="22"/>
              </w:rPr>
              <w:t xml:space="preserve">1. līdz 5. IZDEVUMU KATEGORIJAS </w:t>
            </w:r>
          </w:p>
        </w:tc>
        <w:tc>
          <w:tcPr>
            <w:tcW w:w="2094" w:type="dxa"/>
            <w:gridSpan w:val="2"/>
            <w:vAlign w:val="center"/>
          </w:tcPr>
          <w:p w:rsidR="00132BAA" w:rsidRDefault="00B31A4A">
            <w:pPr>
              <w:rPr>
                <w:noProof/>
                <w:sz w:val="14"/>
              </w:rPr>
            </w:pPr>
            <w:r>
              <w:rPr>
                <w:noProof/>
                <w:sz w:val="18"/>
              </w:rPr>
              <w:t>Saistības</w:t>
            </w:r>
          </w:p>
        </w:tc>
        <w:tc>
          <w:tcPr>
            <w:tcW w:w="2874" w:type="dxa"/>
            <w:vAlign w:val="center"/>
          </w:tcPr>
          <w:p w:rsidR="00132BAA" w:rsidRDefault="00B31A4A">
            <w:pPr>
              <w:spacing w:before="60" w:after="60"/>
              <w:jc w:val="right"/>
              <w:rPr>
                <w:noProof/>
                <w:sz w:val="20"/>
              </w:rPr>
            </w:pPr>
            <w:r>
              <w:rPr>
                <w:noProof/>
                <w:sz w:val="20"/>
              </w:rPr>
              <w:t>23,760</w:t>
            </w:r>
          </w:p>
        </w:tc>
        <w:tc>
          <w:tcPr>
            <w:tcW w:w="2874" w:type="dxa"/>
            <w:vAlign w:val="center"/>
          </w:tcPr>
          <w:p w:rsidR="00132BAA" w:rsidRDefault="00B31A4A">
            <w:pPr>
              <w:spacing w:before="60" w:after="60"/>
              <w:jc w:val="right"/>
              <w:rPr>
                <w:noProof/>
                <w:sz w:val="20"/>
              </w:rPr>
            </w:pPr>
            <w:r>
              <w:rPr>
                <w:noProof/>
                <w:sz w:val="20"/>
              </w:rPr>
              <w:t>22,693</w:t>
            </w:r>
          </w:p>
        </w:tc>
        <w:tc>
          <w:tcPr>
            <w:tcW w:w="2875" w:type="dxa"/>
            <w:vAlign w:val="center"/>
          </w:tcPr>
          <w:p w:rsidR="00132BAA" w:rsidRDefault="00B31A4A">
            <w:pPr>
              <w:spacing w:before="60" w:after="60"/>
              <w:jc w:val="right"/>
              <w:rPr>
                <w:b/>
                <w:noProof/>
                <w:sz w:val="20"/>
              </w:rPr>
            </w:pPr>
            <w:r>
              <w:rPr>
                <w:b/>
                <w:noProof/>
                <w:sz w:val="20"/>
              </w:rPr>
              <w:t>46,453</w:t>
            </w:r>
          </w:p>
        </w:tc>
      </w:tr>
      <w:tr w:rsidR="00132BAA">
        <w:tc>
          <w:tcPr>
            <w:tcW w:w="3960" w:type="dxa"/>
            <w:vMerge/>
            <w:shd w:val="clear" w:color="auto" w:fill="C0C0C0"/>
          </w:tcPr>
          <w:p w:rsidR="00132BAA" w:rsidRDefault="00132BAA">
            <w:pPr>
              <w:rPr>
                <w:noProof/>
                <w:sz w:val="20"/>
              </w:rPr>
            </w:pPr>
          </w:p>
        </w:tc>
        <w:tc>
          <w:tcPr>
            <w:tcW w:w="2094" w:type="dxa"/>
            <w:gridSpan w:val="2"/>
            <w:vAlign w:val="center"/>
          </w:tcPr>
          <w:p w:rsidR="00132BAA" w:rsidRDefault="00B31A4A">
            <w:pPr>
              <w:rPr>
                <w:noProof/>
                <w:sz w:val="14"/>
              </w:rPr>
            </w:pPr>
            <w:r>
              <w:rPr>
                <w:noProof/>
                <w:sz w:val="18"/>
              </w:rPr>
              <w:t>Maksājumi</w:t>
            </w:r>
          </w:p>
        </w:tc>
        <w:tc>
          <w:tcPr>
            <w:tcW w:w="2874" w:type="dxa"/>
            <w:vAlign w:val="center"/>
          </w:tcPr>
          <w:p w:rsidR="00132BAA" w:rsidRDefault="00B31A4A">
            <w:pPr>
              <w:spacing w:before="60" w:after="60"/>
              <w:jc w:val="right"/>
              <w:rPr>
                <w:noProof/>
                <w:sz w:val="20"/>
              </w:rPr>
            </w:pPr>
            <w:r>
              <w:rPr>
                <w:noProof/>
                <w:sz w:val="20"/>
              </w:rPr>
              <w:t>13,604</w:t>
            </w:r>
          </w:p>
        </w:tc>
        <w:tc>
          <w:tcPr>
            <w:tcW w:w="2874" w:type="dxa"/>
            <w:vAlign w:val="center"/>
          </w:tcPr>
          <w:p w:rsidR="00132BAA" w:rsidRDefault="00B31A4A">
            <w:pPr>
              <w:spacing w:before="60" w:after="60"/>
              <w:jc w:val="right"/>
              <w:rPr>
                <w:noProof/>
                <w:sz w:val="20"/>
              </w:rPr>
            </w:pPr>
            <w:r>
              <w:rPr>
                <w:noProof/>
                <w:sz w:val="20"/>
              </w:rPr>
              <w:t>17,476</w:t>
            </w:r>
          </w:p>
        </w:tc>
        <w:tc>
          <w:tcPr>
            <w:tcW w:w="2875" w:type="dxa"/>
            <w:vAlign w:val="center"/>
          </w:tcPr>
          <w:p w:rsidR="00132BAA" w:rsidRDefault="00B31A4A">
            <w:pPr>
              <w:spacing w:before="60" w:after="60"/>
              <w:jc w:val="right"/>
              <w:rPr>
                <w:b/>
                <w:noProof/>
                <w:sz w:val="20"/>
              </w:rPr>
            </w:pPr>
            <w:r>
              <w:rPr>
                <w:b/>
                <w:noProof/>
                <w:sz w:val="20"/>
              </w:rPr>
              <w:t>31,080</w:t>
            </w:r>
          </w:p>
        </w:tc>
      </w:tr>
    </w:tbl>
    <w:p w:rsidR="00132BAA" w:rsidRDefault="00132BAA">
      <w:pPr>
        <w:rPr>
          <w:noProof/>
        </w:rPr>
        <w:sectPr w:rsidR="00132BAA">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132BAA" w:rsidRDefault="00B31A4A">
      <w:pPr>
        <w:pStyle w:val="ManualHeading3"/>
        <w:rPr>
          <w:bCs/>
          <w:noProof/>
          <w:szCs w:val="24"/>
        </w:rPr>
      </w:pPr>
      <w:r>
        <w:lastRenderedPageBreak/>
        <w:t>3.2.2.</w:t>
      </w:r>
      <w:r>
        <w:tab/>
      </w:r>
      <w:r>
        <w:rPr>
          <w:noProof/>
        </w:rPr>
        <w:t xml:space="preserve">Paredzamā ietekme uz darbības apropriācijām </w:t>
      </w:r>
    </w:p>
    <w:p w:rsidR="00132BAA" w:rsidRDefault="00B31A4A">
      <w:pPr>
        <w:pStyle w:val="ListDash1"/>
        <w:rPr>
          <w:noProof/>
        </w:rPr>
      </w:pPr>
      <w:r>
        <w:rPr>
          <w:noProof/>
        </w:rPr>
        <w:sym w:font="Wingdings" w:char="F0A8"/>
      </w:r>
      <w:r>
        <w:rPr>
          <w:noProof/>
        </w:rPr>
        <w:tab/>
        <w:t xml:space="preserve"> Priekšlikums/iniciatīva neparedz izmantot darbības apropriācijas </w:t>
      </w:r>
    </w:p>
    <w:p w:rsidR="00132BAA" w:rsidRDefault="00B31A4A">
      <w:pPr>
        <w:pStyle w:val="ListDash1"/>
        <w:rPr>
          <w:noProof/>
        </w:rPr>
      </w:pPr>
      <w:r>
        <w:rPr>
          <w:noProof/>
        </w:rPr>
        <w:sym w:font="Wingdings" w:char="F0FD"/>
      </w:r>
      <w:r>
        <w:rPr>
          <w:noProof/>
        </w:rPr>
        <w:tab/>
        <w:t xml:space="preserve"> Priekšlikums/iniciatīva paredz darbības apropriācijas izmantot šādā veidā:</w:t>
      </w:r>
    </w:p>
    <w:p w:rsidR="00132BAA" w:rsidRDefault="00B31A4A">
      <w:pPr>
        <w:jc w:val="right"/>
        <w:rPr>
          <w:noProof/>
          <w:sz w:val="20"/>
        </w:rPr>
      </w:pPr>
      <w:r>
        <w:rPr>
          <w:noProof/>
          <w:sz w:val="20"/>
        </w:rPr>
        <w:t>Saistību apropriācijas EUR miljonos (trīs zīmes aiz komata)</w:t>
      </w:r>
    </w:p>
    <w:tbl>
      <w:tblPr>
        <w:tblpPr w:leftFromText="180" w:rightFromText="180" w:vertAnchor="text" w:tblpXSpec="center" w:tblpY="1"/>
        <w:tblOverlap w:val="never"/>
        <w:tblW w:w="1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676"/>
        <w:gridCol w:w="9"/>
        <w:gridCol w:w="700"/>
        <w:gridCol w:w="754"/>
        <w:gridCol w:w="725"/>
        <w:gridCol w:w="8"/>
        <w:gridCol w:w="373"/>
        <w:gridCol w:w="159"/>
        <w:gridCol w:w="561"/>
        <w:gridCol w:w="159"/>
        <w:gridCol w:w="214"/>
        <w:gridCol w:w="20"/>
        <w:gridCol w:w="147"/>
        <w:gridCol w:w="339"/>
        <w:gridCol w:w="381"/>
        <w:gridCol w:w="555"/>
        <w:gridCol w:w="32"/>
        <w:gridCol w:w="32"/>
        <w:gridCol w:w="101"/>
        <w:gridCol w:w="520"/>
        <w:gridCol w:w="416"/>
        <w:gridCol w:w="304"/>
        <w:gridCol w:w="102"/>
        <w:gridCol w:w="43"/>
        <w:gridCol w:w="236"/>
        <w:gridCol w:w="159"/>
        <w:gridCol w:w="561"/>
        <w:gridCol w:w="87"/>
        <w:gridCol w:w="388"/>
        <w:gridCol w:w="44"/>
        <w:gridCol w:w="11"/>
        <w:gridCol w:w="11"/>
        <w:gridCol w:w="648"/>
        <w:gridCol w:w="50"/>
        <w:gridCol w:w="382"/>
        <w:gridCol w:w="158"/>
        <w:gridCol w:w="171"/>
        <w:gridCol w:w="71"/>
        <w:gridCol w:w="320"/>
        <w:gridCol w:w="158"/>
        <w:gridCol w:w="382"/>
        <w:gridCol w:w="338"/>
        <w:gridCol w:w="254"/>
        <w:gridCol w:w="128"/>
        <w:gridCol w:w="720"/>
        <w:gridCol w:w="256"/>
      </w:tblGrid>
      <w:tr w:rsidR="00132BAA">
        <w:trPr>
          <w:gridAfter w:val="8"/>
          <w:wAfter w:w="2556" w:type="dxa"/>
        </w:trPr>
        <w:tc>
          <w:tcPr>
            <w:tcW w:w="1405" w:type="dxa"/>
            <w:vMerge w:val="restart"/>
            <w:vAlign w:val="center"/>
          </w:tcPr>
          <w:p w:rsidR="00132BAA" w:rsidRDefault="00B31A4A">
            <w:pPr>
              <w:ind w:right="-29"/>
              <w:jc w:val="center"/>
              <w:rPr>
                <w:b/>
                <w:noProof/>
                <w:sz w:val="18"/>
                <w:szCs w:val="18"/>
              </w:rPr>
            </w:pPr>
            <w:r>
              <w:rPr>
                <w:b/>
                <w:noProof/>
                <w:sz w:val="18"/>
              </w:rPr>
              <w:t>Norā</w:t>
            </w:r>
            <w:r>
              <w:rPr>
                <w:b/>
                <w:noProof/>
                <w:sz w:val="18"/>
              </w:rPr>
              <w:t xml:space="preserve">dīt mērķus un rezultātus </w:t>
            </w:r>
          </w:p>
          <w:p w:rsidR="00132BAA" w:rsidRDefault="00132BAA">
            <w:pPr>
              <w:ind w:right="-29"/>
              <w:jc w:val="center"/>
              <w:rPr>
                <w:b/>
                <w:noProof/>
                <w:sz w:val="18"/>
                <w:szCs w:val="18"/>
              </w:rPr>
            </w:pPr>
          </w:p>
          <w:p w:rsidR="00132BAA" w:rsidRDefault="00B31A4A">
            <w:pPr>
              <w:ind w:right="-29"/>
              <w:jc w:val="center"/>
              <w:rPr>
                <w:noProof/>
                <w:sz w:val="18"/>
                <w:szCs w:val="18"/>
              </w:rPr>
            </w:pPr>
            <w:r>
              <w:rPr>
                <w:noProof/>
                <w:sz w:val="18"/>
              </w:rPr>
              <w:sym w:font="Wingdings" w:char="F0F2"/>
            </w:r>
          </w:p>
        </w:tc>
        <w:tc>
          <w:tcPr>
            <w:tcW w:w="1685" w:type="dxa"/>
            <w:gridSpan w:val="2"/>
            <w:vAlign w:val="center"/>
          </w:tcPr>
          <w:p w:rsidR="00132BAA" w:rsidRDefault="00132BAA">
            <w:pPr>
              <w:ind w:right="-29"/>
              <w:jc w:val="center"/>
              <w:rPr>
                <w:noProof/>
                <w:sz w:val="18"/>
                <w:szCs w:val="18"/>
              </w:rPr>
            </w:pPr>
          </w:p>
        </w:tc>
        <w:tc>
          <w:tcPr>
            <w:tcW w:w="700" w:type="dxa"/>
            <w:vAlign w:val="center"/>
          </w:tcPr>
          <w:p w:rsidR="00132BAA" w:rsidRDefault="00132BAA">
            <w:pPr>
              <w:ind w:right="-29"/>
              <w:jc w:val="center"/>
              <w:rPr>
                <w:noProof/>
                <w:sz w:val="18"/>
                <w:szCs w:val="18"/>
              </w:rPr>
            </w:pPr>
          </w:p>
        </w:tc>
        <w:tc>
          <w:tcPr>
            <w:tcW w:w="2973" w:type="dxa"/>
            <w:gridSpan w:val="9"/>
            <w:tcBorders>
              <w:left w:val="nil"/>
            </w:tcBorders>
            <w:vAlign w:val="center"/>
          </w:tcPr>
          <w:p w:rsidR="00132BAA" w:rsidRDefault="00B31A4A">
            <w:pPr>
              <w:ind w:right="-29"/>
              <w:jc w:val="center"/>
              <w:rPr>
                <w:noProof/>
                <w:sz w:val="18"/>
                <w:szCs w:val="18"/>
              </w:rPr>
            </w:pPr>
            <w:r>
              <w:rPr>
                <w:b/>
                <w:noProof/>
                <w:sz w:val="18"/>
                <w:szCs w:val="18"/>
              </w:rPr>
              <w:t>2019.</w:t>
            </w:r>
            <w:r>
              <w:rPr>
                <w:noProof/>
                <w:sz w:val="18"/>
                <w:szCs w:val="18"/>
              </w:rPr>
              <w:br/>
              <w:t>gads</w:t>
            </w:r>
          </w:p>
        </w:tc>
        <w:tc>
          <w:tcPr>
            <w:tcW w:w="2972" w:type="dxa"/>
            <w:gridSpan w:val="12"/>
            <w:vAlign w:val="center"/>
          </w:tcPr>
          <w:p w:rsidR="00132BAA" w:rsidRDefault="00B31A4A">
            <w:pPr>
              <w:ind w:right="-29"/>
              <w:jc w:val="center"/>
              <w:rPr>
                <w:noProof/>
                <w:sz w:val="18"/>
                <w:szCs w:val="18"/>
              </w:rPr>
            </w:pPr>
            <w:r>
              <w:rPr>
                <w:b/>
                <w:noProof/>
                <w:sz w:val="18"/>
                <w:szCs w:val="18"/>
              </w:rPr>
              <w:t>2020.</w:t>
            </w:r>
            <w:r>
              <w:rPr>
                <w:noProof/>
                <w:sz w:val="18"/>
                <w:szCs w:val="18"/>
              </w:rPr>
              <w:br/>
              <w:t>gads</w:t>
            </w:r>
          </w:p>
        </w:tc>
        <w:tc>
          <w:tcPr>
            <w:tcW w:w="2977" w:type="dxa"/>
            <w:gridSpan w:val="14"/>
            <w:tcBorders>
              <w:left w:val="nil"/>
              <w:bottom w:val="single" w:sz="4" w:space="0" w:color="auto"/>
            </w:tcBorders>
            <w:vAlign w:val="center"/>
          </w:tcPr>
          <w:p w:rsidR="00132BAA" w:rsidRDefault="00B31A4A">
            <w:pPr>
              <w:ind w:right="-29"/>
              <w:jc w:val="center"/>
              <w:rPr>
                <w:noProof/>
                <w:sz w:val="18"/>
                <w:szCs w:val="18"/>
              </w:rPr>
            </w:pPr>
            <w:r>
              <w:rPr>
                <w:b/>
                <w:noProof/>
                <w:sz w:val="18"/>
                <w:szCs w:val="18"/>
              </w:rPr>
              <w:t>KOPĀ</w:t>
            </w:r>
          </w:p>
        </w:tc>
      </w:tr>
      <w:tr w:rsidR="00132BAA">
        <w:trPr>
          <w:gridAfter w:val="44"/>
          <w:wAfter w:w="12178" w:type="dxa"/>
        </w:trPr>
        <w:tc>
          <w:tcPr>
            <w:tcW w:w="1405" w:type="dxa"/>
            <w:vMerge/>
            <w:vAlign w:val="center"/>
          </w:tcPr>
          <w:p w:rsidR="00132BAA" w:rsidRDefault="00132BAA">
            <w:pPr>
              <w:ind w:right="-29"/>
              <w:jc w:val="center"/>
              <w:rPr>
                <w:noProof/>
                <w:sz w:val="18"/>
                <w:szCs w:val="18"/>
              </w:rPr>
            </w:pPr>
          </w:p>
        </w:tc>
        <w:tc>
          <w:tcPr>
            <w:tcW w:w="1685" w:type="dxa"/>
            <w:gridSpan w:val="2"/>
            <w:vAlign w:val="center"/>
          </w:tcPr>
          <w:p w:rsidR="00132BAA" w:rsidRDefault="00B31A4A">
            <w:pPr>
              <w:spacing w:before="60" w:after="60"/>
              <w:ind w:right="-29"/>
              <w:jc w:val="center"/>
              <w:rPr>
                <w:noProof/>
                <w:sz w:val="18"/>
                <w:szCs w:val="18"/>
              </w:rPr>
            </w:pPr>
            <w:r>
              <w:rPr>
                <w:b/>
                <w:noProof/>
                <w:sz w:val="18"/>
              </w:rPr>
              <w:t>REZULTĀTI</w:t>
            </w:r>
          </w:p>
        </w:tc>
      </w:tr>
      <w:tr w:rsidR="00132BAA">
        <w:trPr>
          <w:gridAfter w:val="8"/>
          <w:wAfter w:w="2556" w:type="dxa"/>
          <w:cantSplit/>
          <w:trHeight w:val="1134"/>
        </w:trPr>
        <w:tc>
          <w:tcPr>
            <w:tcW w:w="1405" w:type="dxa"/>
            <w:vMerge/>
            <w:vAlign w:val="center"/>
          </w:tcPr>
          <w:p w:rsidR="00132BAA" w:rsidRDefault="00132BAA">
            <w:pPr>
              <w:rPr>
                <w:noProof/>
                <w:sz w:val="18"/>
                <w:szCs w:val="18"/>
              </w:rPr>
            </w:pPr>
          </w:p>
        </w:tc>
        <w:tc>
          <w:tcPr>
            <w:tcW w:w="1685" w:type="dxa"/>
            <w:gridSpan w:val="2"/>
            <w:vAlign w:val="center"/>
          </w:tcPr>
          <w:p w:rsidR="00132BAA" w:rsidRDefault="00B31A4A">
            <w:pPr>
              <w:jc w:val="center"/>
              <w:rPr>
                <w:noProof/>
                <w:sz w:val="18"/>
                <w:szCs w:val="18"/>
              </w:rPr>
            </w:pPr>
            <w:r>
              <w:rPr>
                <w:noProof/>
                <w:sz w:val="18"/>
              </w:rPr>
              <w:t>Rezultāta veids</w:t>
            </w:r>
            <w:r>
              <w:rPr>
                <w:rStyle w:val="FootnoteReference"/>
                <w:noProof/>
                <w:sz w:val="18"/>
              </w:rPr>
              <w:footnoteReference w:id="36"/>
            </w:r>
          </w:p>
          <w:p w:rsidR="00132BAA" w:rsidRDefault="00132BAA">
            <w:pPr>
              <w:spacing w:after="0"/>
              <w:jc w:val="center"/>
              <w:rPr>
                <w:noProof/>
                <w:sz w:val="18"/>
                <w:szCs w:val="18"/>
              </w:rPr>
            </w:pPr>
          </w:p>
        </w:tc>
        <w:tc>
          <w:tcPr>
            <w:tcW w:w="700" w:type="dxa"/>
            <w:vAlign w:val="center"/>
          </w:tcPr>
          <w:p w:rsidR="00132BAA" w:rsidRDefault="00B31A4A">
            <w:pPr>
              <w:jc w:val="center"/>
              <w:rPr>
                <w:noProof/>
                <w:sz w:val="18"/>
                <w:szCs w:val="18"/>
              </w:rPr>
            </w:pPr>
            <w:r>
              <w:rPr>
                <w:noProof/>
                <w:sz w:val="18"/>
              </w:rPr>
              <w:t>Rezultāta vidējās izmaksas</w:t>
            </w:r>
          </w:p>
        </w:tc>
        <w:tc>
          <w:tcPr>
            <w:tcW w:w="1487" w:type="dxa"/>
            <w:gridSpan w:val="3"/>
            <w:tcBorders>
              <w:left w:val="nil"/>
              <w:right w:val="dashSmallGap" w:sz="4" w:space="0" w:color="auto"/>
            </w:tcBorders>
            <w:shd w:val="pct10" w:color="auto" w:fill="auto"/>
            <w:textDirection w:val="btLr"/>
            <w:vAlign w:val="center"/>
          </w:tcPr>
          <w:p w:rsidR="00132BAA" w:rsidRDefault="00B31A4A">
            <w:pPr>
              <w:ind w:left="113" w:right="113"/>
              <w:jc w:val="center"/>
              <w:rPr>
                <w:noProof/>
                <w:sz w:val="18"/>
                <w:szCs w:val="18"/>
              </w:rPr>
            </w:pPr>
            <w:r>
              <w:rPr>
                <w:noProof/>
                <w:sz w:val="18"/>
              </w:rPr>
              <w:t>Daudzums</w:t>
            </w:r>
          </w:p>
        </w:tc>
        <w:tc>
          <w:tcPr>
            <w:tcW w:w="1486" w:type="dxa"/>
            <w:gridSpan w:val="6"/>
            <w:tcBorders>
              <w:left w:val="dashSmallGap" w:sz="4" w:space="0" w:color="auto"/>
            </w:tcBorders>
            <w:shd w:val="pct10" w:color="auto" w:fill="auto"/>
            <w:vAlign w:val="center"/>
          </w:tcPr>
          <w:p w:rsidR="00132BAA" w:rsidRDefault="00B31A4A">
            <w:pPr>
              <w:jc w:val="center"/>
              <w:rPr>
                <w:noProof/>
                <w:sz w:val="18"/>
                <w:szCs w:val="18"/>
              </w:rPr>
            </w:pPr>
            <w:r>
              <w:rPr>
                <w:noProof/>
                <w:sz w:val="18"/>
              </w:rPr>
              <w:t>Izmaksas</w:t>
            </w:r>
          </w:p>
        </w:tc>
        <w:tc>
          <w:tcPr>
            <w:tcW w:w="1486" w:type="dxa"/>
            <w:gridSpan w:val="6"/>
            <w:tcBorders>
              <w:right w:val="dashSmallGap" w:sz="4" w:space="0" w:color="auto"/>
            </w:tcBorders>
            <w:shd w:val="pct10" w:color="auto" w:fill="auto"/>
            <w:textDirection w:val="btLr"/>
            <w:vAlign w:val="center"/>
          </w:tcPr>
          <w:p w:rsidR="00132BAA" w:rsidRDefault="00B31A4A">
            <w:pPr>
              <w:ind w:left="113" w:right="113"/>
              <w:jc w:val="center"/>
              <w:rPr>
                <w:noProof/>
                <w:sz w:val="18"/>
                <w:szCs w:val="18"/>
              </w:rPr>
            </w:pPr>
            <w:r>
              <w:rPr>
                <w:noProof/>
                <w:sz w:val="18"/>
              </w:rPr>
              <w:t>Daudzums</w:t>
            </w:r>
          </w:p>
        </w:tc>
        <w:tc>
          <w:tcPr>
            <w:tcW w:w="1486" w:type="dxa"/>
            <w:gridSpan w:val="6"/>
            <w:tcBorders>
              <w:left w:val="dashSmallGap" w:sz="4" w:space="0" w:color="auto"/>
            </w:tcBorders>
            <w:shd w:val="pct10" w:color="auto" w:fill="auto"/>
            <w:vAlign w:val="center"/>
          </w:tcPr>
          <w:p w:rsidR="00132BAA" w:rsidRDefault="00B31A4A">
            <w:pPr>
              <w:jc w:val="center"/>
              <w:rPr>
                <w:noProof/>
                <w:sz w:val="18"/>
                <w:szCs w:val="18"/>
              </w:rPr>
            </w:pPr>
            <w:r>
              <w:rPr>
                <w:noProof/>
                <w:sz w:val="18"/>
              </w:rPr>
              <w:t>Izmaksas</w:t>
            </w:r>
          </w:p>
        </w:tc>
        <w:tc>
          <w:tcPr>
            <w:tcW w:w="1486" w:type="dxa"/>
            <w:gridSpan w:val="7"/>
            <w:tcBorders>
              <w:right w:val="dashSmallGap" w:sz="4" w:space="0" w:color="auto"/>
            </w:tcBorders>
            <w:shd w:val="pct10" w:color="auto" w:fill="auto"/>
            <w:vAlign w:val="center"/>
          </w:tcPr>
          <w:p w:rsidR="00132BAA" w:rsidRDefault="00B31A4A">
            <w:pPr>
              <w:jc w:val="center"/>
              <w:rPr>
                <w:noProof/>
                <w:sz w:val="18"/>
                <w:szCs w:val="18"/>
              </w:rPr>
            </w:pPr>
            <w:r>
              <w:rPr>
                <w:noProof/>
                <w:sz w:val="18"/>
              </w:rPr>
              <w:t>Kopējais rezultātu daudzums</w:t>
            </w:r>
          </w:p>
        </w:tc>
        <w:tc>
          <w:tcPr>
            <w:tcW w:w="1491" w:type="dxa"/>
            <w:gridSpan w:val="7"/>
            <w:tcBorders>
              <w:left w:val="dashSmallGap" w:sz="4" w:space="0" w:color="auto"/>
            </w:tcBorders>
            <w:shd w:val="pct10" w:color="auto" w:fill="auto"/>
            <w:vAlign w:val="center"/>
          </w:tcPr>
          <w:p w:rsidR="00132BAA" w:rsidRDefault="00B31A4A">
            <w:pPr>
              <w:jc w:val="center"/>
              <w:rPr>
                <w:noProof/>
                <w:sz w:val="18"/>
                <w:szCs w:val="18"/>
              </w:rPr>
            </w:pPr>
            <w:r>
              <w:rPr>
                <w:noProof/>
                <w:sz w:val="18"/>
              </w:rPr>
              <w:t>Kopējās izmaksas</w:t>
            </w:r>
          </w:p>
        </w:tc>
      </w:tr>
      <w:tr w:rsidR="00132BAA">
        <w:tc>
          <w:tcPr>
            <w:tcW w:w="5277" w:type="dxa"/>
            <w:gridSpan w:val="7"/>
            <w:vAlign w:val="center"/>
          </w:tcPr>
          <w:p w:rsidR="00132BAA" w:rsidRDefault="00B31A4A">
            <w:pPr>
              <w:spacing w:before="60" w:after="60"/>
              <w:ind w:right="-29"/>
              <w:jc w:val="center"/>
              <w:rPr>
                <w:noProof/>
                <w:sz w:val="18"/>
                <w:szCs w:val="18"/>
              </w:rPr>
            </w:pPr>
            <w:r>
              <w:rPr>
                <w:noProof/>
                <w:sz w:val="18"/>
              </w:rPr>
              <w:t>KONKRĒTAIS MĒRĶIS Nr. 1</w:t>
            </w:r>
            <w:r>
              <w:rPr>
                <w:rStyle w:val="FootnoteReference"/>
                <w:noProof/>
                <w:sz w:val="18"/>
              </w:rPr>
              <w:footnoteReference w:id="37"/>
            </w:r>
            <w:r>
              <w:rPr>
                <w:noProof/>
                <w:sz w:val="18"/>
              </w:rPr>
              <w:t>…</w:t>
            </w:r>
          </w:p>
        </w:tc>
        <w:tc>
          <w:tcPr>
            <w:tcW w:w="373" w:type="dxa"/>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54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936"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685"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541" w:type="dxa"/>
            <w:gridSpan w:val="5"/>
            <w:tcBorders>
              <w:top w:val="nil"/>
              <w:left w:val="nil"/>
              <w:bottom w:val="nil"/>
              <w:right w:val="nil"/>
            </w:tcBorders>
          </w:tcPr>
          <w:p w:rsidR="00132BAA" w:rsidRDefault="00132BAA">
            <w:pPr>
              <w:spacing w:before="60" w:after="60"/>
              <w:ind w:right="-29"/>
              <w:jc w:val="center"/>
              <w:rPr>
                <w:noProof/>
                <w:sz w:val="18"/>
                <w:szCs w:val="18"/>
              </w:rPr>
            </w:pPr>
          </w:p>
        </w:tc>
        <w:tc>
          <w:tcPr>
            <w:tcW w:w="648" w:type="dxa"/>
            <w:tcBorders>
              <w:top w:val="nil"/>
              <w:left w:val="nil"/>
              <w:bottom w:val="nil"/>
              <w:right w:val="nil"/>
            </w:tcBorders>
          </w:tcPr>
          <w:p w:rsidR="00132BAA" w:rsidRDefault="00132BAA">
            <w:pPr>
              <w:spacing w:before="60" w:after="60"/>
              <w:ind w:right="-29"/>
              <w:jc w:val="center"/>
              <w:rPr>
                <w:noProof/>
                <w:sz w:val="18"/>
                <w:szCs w:val="18"/>
              </w:rPr>
            </w:pPr>
          </w:p>
        </w:tc>
        <w:tc>
          <w:tcPr>
            <w:tcW w:w="432"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54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3"/>
            <w:tcBorders>
              <w:top w:val="nil"/>
              <w:left w:val="nil"/>
              <w:bottom w:val="nil"/>
              <w:right w:val="nil"/>
            </w:tcBorders>
          </w:tcPr>
          <w:p w:rsidR="00132BAA" w:rsidRDefault="00132BAA">
            <w:pPr>
              <w:spacing w:before="60" w:after="60"/>
              <w:ind w:right="-29"/>
              <w:jc w:val="center"/>
              <w:rPr>
                <w:noProof/>
                <w:sz w:val="18"/>
                <w:szCs w:val="18"/>
              </w:rPr>
            </w:pPr>
          </w:p>
        </w:tc>
        <w:tc>
          <w:tcPr>
            <w:tcW w:w="720" w:type="dxa"/>
            <w:tcBorders>
              <w:top w:val="nil"/>
              <w:left w:val="nil"/>
              <w:bottom w:val="nil"/>
              <w:right w:val="nil"/>
            </w:tcBorders>
          </w:tcPr>
          <w:p w:rsidR="00132BAA" w:rsidRDefault="00132BAA">
            <w:pPr>
              <w:spacing w:before="60" w:after="60"/>
              <w:ind w:right="-29"/>
              <w:jc w:val="center"/>
              <w:rPr>
                <w:noProof/>
                <w:sz w:val="18"/>
                <w:szCs w:val="18"/>
              </w:rPr>
            </w:pPr>
          </w:p>
        </w:tc>
        <w:tc>
          <w:tcPr>
            <w:tcW w:w="256" w:type="dxa"/>
            <w:tcBorders>
              <w:top w:val="nil"/>
              <w:left w:val="nil"/>
              <w:bottom w:val="nil"/>
              <w:right w:val="nil"/>
            </w:tcBorders>
          </w:tcPr>
          <w:p w:rsidR="00132BAA" w:rsidRDefault="00132BAA">
            <w:pPr>
              <w:spacing w:before="60" w:after="60"/>
              <w:ind w:right="-29"/>
              <w:jc w:val="center"/>
              <w:rPr>
                <w:noProof/>
                <w:sz w:val="18"/>
                <w:szCs w:val="18"/>
              </w:rPr>
            </w:pPr>
          </w:p>
        </w:tc>
      </w:tr>
      <w:tr w:rsidR="00132BAA">
        <w:trPr>
          <w:gridAfter w:val="8"/>
          <w:wAfter w:w="2556" w:type="dxa"/>
          <w:trHeight w:hRule="exact" w:val="626"/>
        </w:trPr>
        <w:tc>
          <w:tcPr>
            <w:tcW w:w="1405" w:type="dxa"/>
          </w:tcPr>
          <w:p w:rsidR="00132BAA" w:rsidRDefault="00B31A4A">
            <w:pPr>
              <w:ind w:right="-29"/>
              <w:jc w:val="center"/>
              <w:rPr>
                <w:noProof/>
                <w:sz w:val="18"/>
                <w:szCs w:val="18"/>
              </w:rPr>
            </w:pPr>
            <w:r>
              <w:rPr>
                <w:noProof/>
                <w:sz w:val="18"/>
              </w:rPr>
              <w:t>– Rezultāts</w:t>
            </w:r>
          </w:p>
        </w:tc>
        <w:tc>
          <w:tcPr>
            <w:tcW w:w="1685" w:type="dxa"/>
            <w:gridSpan w:val="2"/>
          </w:tcPr>
          <w:p w:rsidR="00132BAA" w:rsidRDefault="00B31A4A">
            <w:pPr>
              <w:ind w:right="-29"/>
              <w:jc w:val="center"/>
              <w:rPr>
                <w:noProof/>
                <w:sz w:val="18"/>
                <w:szCs w:val="18"/>
              </w:rPr>
            </w:pPr>
            <w:r>
              <w:rPr>
                <w:i/>
                <w:noProof/>
                <w:sz w:val="18"/>
              </w:rPr>
              <w:t>EuroGroups</w:t>
            </w:r>
            <w:r>
              <w:rPr>
                <w:noProof/>
                <w:sz w:val="18"/>
              </w:rPr>
              <w:t xml:space="preserve"> reģistrs</w:t>
            </w:r>
          </w:p>
        </w:tc>
        <w:tc>
          <w:tcPr>
            <w:tcW w:w="700" w:type="dxa"/>
          </w:tcPr>
          <w:p w:rsidR="00132BAA" w:rsidRDefault="00132BAA">
            <w:pPr>
              <w:ind w:right="-29"/>
              <w:jc w:val="center"/>
              <w:rPr>
                <w:noProof/>
                <w:sz w:val="18"/>
                <w:szCs w:val="18"/>
              </w:rPr>
            </w:pPr>
          </w:p>
        </w:tc>
        <w:tc>
          <w:tcPr>
            <w:tcW w:w="1487" w:type="dxa"/>
            <w:gridSpan w:val="3"/>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0,750</w:t>
            </w:r>
          </w:p>
        </w:tc>
        <w:tc>
          <w:tcPr>
            <w:tcW w:w="1486" w:type="dxa"/>
            <w:gridSpan w:val="6"/>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0,750</w:t>
            </w:r>
          </w:p>
        </w:tc>
        <w:tc>
          <w:tcPr>
            <w:tcW w:w="1486" w:type="dxa"/>
            <w:gridSpan w:val="7"/>
          </w:tcPr>
          <w:p w:rsidR="00132BAA" w:rsidRDefault="00132BAA">
            <w:pPr>
              <w:ind w:right="-29"/>
              <w:jc w:val="center"/>
              <w:rPr>
                <w:noProof/>
                <w:sz w:val="18"/>
                <w:szCs w:val="18"/>
              </w:rPr>
            </w:pPr>
          </w:p>
        </w:tc>
        <w:tc>
          <w:tcPr>
            <w:tcW w:w="1491" w:type="dxa"/>
            <w:gridSpan w:val="7"/>
          </w:tcPr>
          <w:p w:rsidR="00132BAA" w:rsidRDefault="00B31A4A">
            <w:pPr>
              <w:ind w:right="-29"/>
              <w:jc w:val="center"/>
              <w:rPr>
                <w:noProof/>
                <w:sz w:val="18"/>
                <w:szCs w:val="18"/>
              </w:rPr>
            </w:pPr>
            <w:r>
              <w:rPr>
                <w:noProof/>
                <w:sz w:val="18"/>
              </w:rPr>
              <w:t>1,500</w:t>
            </w:r>
          </w:p>
        </w:tc>
      </w:tr>
      <w:tr w:rsidR="00132BAA">
        <w:trPr>
          <w:gridAfter w:val="8"/>
          <w:wAfter w:w="2556" w:type="dxa"/>
          <w:trHeight w:hRule="exact" w:val="564"/>
        </w:trPr>
        <w:tc>
          <w:tcPr>
            <w:tcW w:w="1405" w:type="dxa"/>
          </w:tcPr>
          <w:p w:rsidR="00132BAA" w:rsidRDefault="00B31A4A">
            <w:pPr>
              <w:ind w:right="-29"/>
              <w:jc w:val="center"/>
              <w:rPr>
                <w:noProof/>
                <w:sz w:val="18"/>
                <w:szCs w:val="18"/>
              </w:rPr>
            </w:pPr>
            <w:r>
              <w:rPr>
                <w:noProof/>
                <w:sz w:val="18"/>
              </w:rPr>
              <w:t>– Rezultāts</w:t>
            </w:r>
          </w:p>
        </w:tc>
        <w:tc>
          <w:tcPr>
            <w:tcW w:w="1685" w:type="dxa"/>
            <w:gridSpan w:val="2"/>
          </w:tcPr>
          <w:p w:rsidR="00132BAA" w:rsidRDefault="00B31A4A">
            <w:pPr>
              <w:ind w:right="-29"/>
              <w:jc w:val="center"/>
              <w:rPr>
                <w:noProof/>
                <w:sz w:val="18"/>
                <w:szCs w:val="18"/>
              </w:rPr>
            </w:pPr>
            <w:r>
              <w:rPr>
                <w:i/>
                <w:noProof/>
                <w:sz w:val="18"/>
              </w:rPr>
              <w:t>EuroGroups</w:t>
            </w:r>
            <w:r>
              <w:rPr>
                <w:noProof/>
                <w:sz w:val="18"/>
              </w:rPr>
              <w:t xml:space="preserve"> reģistra testēšana</w:t>
            </w:r>
          </w:p>
        </w:tc>
        <w:tc>
          <w:tcPr>
            <w:tcW w:w="700" w:type="dxa"/>
          </w:tcPr>
          <w:p w:rsidR="00132BAA" w:rsidRDefault="00132BAA">
            <w:pPr>
              <w:ind w:right="-29"/>
              <w:jc w:val="center"/>
              <w:rPr>
                <w:noProof/>
                <w:sz w:val="18"/>
                <w:szCs w:val="18"/>
              </w:rPr>
            </w:pPr>
          </w:p>
        </w:tc>
        <w:tc>
          <w:tcPr>
            <w:tcW w:w="1487" w:type="dxa"/>
            <w:gridSpan w:val="3"/>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0,250</w:t>
            </w:r>
          </w:p>
        </w:tc>
        <w:tc>
          <w:tcPr>
            <w:tcW w:w="1486" w:type="dxa"/>
            <w:gridSpan w:val="6"/>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0,250</w:t>
            </w:r>
          </w:p>
        </w:tc>
        <w:tc>
          <w:tcPr>
            <w:tcW w:w="1486" w:type="dxa"/>
            <w:gridSpan w:val="7"/>
          </w:tcPr>
          <w:p w:rsidR="00132BAA" w:rsidRDefault="00132BAA">
            <w:pPr>
              <w:ind w:right="-29"/>
              <w:jc w:val="center"/>
              <w:rPr>
                <w:noProof/>
                <w:sz w:val="18"/>
                <w:szCs w:val="18"/>
              </w:rPr>
            </w:pPr>
          </w:p>
        </w:tc>
        <w:tc>
          <w:tcPr>
            <w:tcW w:w="1491" w:type="dxa"/>
            <w:gridSpan w:val="7"/>
          </w:tcPr>
          <w:p w:rsidR="00132BAA" w:rsidRDefault="00B31A4A">
            <w:pPr>
              <w:ind w:right="-29"/>
              <w:jc w:val="center"/>
              <w:rPr>
                <w:noProof/>
                <w:sz w:val="18"/>
                <w:szCs w:val="18"/>
              </w:rPr>
            </w:pPr>
            <w:r>
              <w:rPr>
                <w:noProof/>
                <w:sz w:val="18"/>
              </w:rPr>
              <w:t>0,500</w:t>
            </w:r>
          </w:p>
        </w:tc>
      </w:tr>
      <w:tr w:rsidR="00132BAA">
        <w:trPr>
          <w:gridAfter w:val="8"/>
          <w:wAfter w:w="2556" w:type="dxa"/>
          <w:trHeight w:hRule="exact" w:val="572"/>
        </w:trPr>
        <w:tc>
          <w:tcPr>
            <w:tcW w:w="1405" w:type="dxa"/>
          </w:tcPr>
          <w:p w:rsidR="00132BAA" w:rsidRDefault="00B31A4A">
            <w:pPr>
              <w:ind w:right="-29"/>
              <w:jc w:val="center"/>
              <w:rPr>
                <w:noProof/>
                <w:sz w:val="18"/>
                <w:szCs w:val="18"/>
              </w:rPr>
            </w:pPr>
            <w:r>
              <w:rPr>
                <w:noProof/>
                <w:sz w:val="18"/>
              </w:rPr>
              <w:t>– Rezultāts</w:t>
            </w:r>
          </w:p>
        </w:tc>
        <w:tc>
          <w:tcPr>
            <w:tcW w:w="1685" w:type="dxa"/>
            <w:gridSpan w:val="2"/>
          </w:tcPr>
          <w:p w:rsidR="00132BAA" w:rsidRDefault="00B31A4A">
            <w:pPr>
              <w:ind w:right="-29"/>
              <w:jc w:val="center"/>
              <w:rPr>
                <w:noProof/>
                <w:sz w:val="18"/>
                <w:szCs w:val="18"/>
              </w:rPr>
            </w:pPr>
            <w:r>
              <w:rPr>
                <w:noProof/>
                <w:sz w:val="18"/>
              </w:rPr>
              <w:t>Datu vākšana</w:t>
            </w:r>
          </w:p>
        </w:tc>
        <w:tc>
          <w:tcPr>
            <w:tcW w:w="700" w:type="dxa"/>
          </w:tcPr>
          <w:p w:rsidR="00132BAA" w:rsidRDefault="00132BAA">
            <w:pPr>
              <w:ind w:right="-29"/>
              <w:jc w:val="center"/>
              <w:rPr>
                <w:noProof/>
                <w:sz w:val="18"/>
                <w:szCs w:val="18"/>
              </w:rPr>
            </w:pPr>
          </w:p>
        </w:tc>
        <w:tc>
          <w:tcPr>
            <w:tcW w:w="1487" w:type="dxa"/>
            <w:gridSpan w:val="3"/>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3,435</w:t>
            </w:r>
          </w:p>
        </w:tc>
        <w:tc>
          <w:tcPr>
            <w:tcW w:w="1486" w:type="dxa"/>
            <w:gridSpan w:val="6"/>
            <w:tcBorders>
              <w:right w:val="dashSmallGap" w:sz="4" w:space="0" w:color="auto"/>
            </w:tcBorders>
          </w:tcPr>
          <w:p w:rsidR="00132BAA" w:rsidRDefault="00132BAA">
            <w:pPr>
              <w:ind w:right="-29"/>
              <w:jc w:val="center"/>
              <w:rPr>
                <w:noProof/>
                <w:sz w:val="18"/>
                <w:szCs w:val="18"/>
              </w:rPr>
            </w:pPr>
          </w:p>
        </w:tc>
        <w:tc>
          <w:tcPr>
            <w:tcW w:w="1486" w:type="dxa"/>
            <w:gridSpan w:val="6"/>
            <w:tcBorders>
              <w:left w:val="dashSmallGap" w:sz="4" w:space="0" w:color="auto"/>
            </w:tcBorders>
          </w:tcPr>
          <w:p w:rsidR="00132BAA" w:rsidRDefault="00B31A4A">
            <w:pPr>
              <w:ind w:right="-29"/>
              <w:jc w:val="center"/>
              <w:rPr>
                <w:noProof/>
                <w:sz w:val="18"/>
                <w:szCs w:val="18"/>
              </w:rPr>
            </w:pPr>
            <w:r>
              <w:rPr>
                <w:noProof/>
                <w:sz w:val="18"/>
              </w:rPr>
              <w:t>3,935</w:t>
            </w:r>
          </w:p>
        </w:tc>
        <w:tc>
          <w:tcPr>
            <w:tcW w:w="1486" w:type="dxa"/>
            <w:gridSpan w:val="7"/>
          </w:tcPr>
          <w:p w:rsidR="00132BAA" w:rsidRDefault="00132BAA">
            <w:pPr>
              <w:ind w:right="-29"/>
              <w:jc w:val="center"/>
              <w:rPr>
                <w:noProof/>
                <w:sz w:val="18"/>
                <w:szCs w:val="18"/>
              </w:rPr>
            </w:pPr>
          </w:p>
        </w:tc>
        <w:tc>
          <w:tcPr>
            <w:tcW w:w="1491" w:type="dxa"/>
            <w:gridSpan w:val="7"/>
          </w:tcPr>
          <w:p w:rsidR="00132BAA" w:rsidRDefault="00B31A4A">
            <w:pPr>
              <w:ind w:right="-29"/>
              <w:jc w:val="center"/>
              <w:rPr>
                <w:noProof/>
                <w:sz w:val="18"/>
                <w:szCs w:val="18"/>
              </w:rPr>
            </w:pPr>
            <w:r>
              <w:rPr>
                <w:noProof/>
                <w:sz w:val="18"/>
              </w:rPr>
              <w:t>7,370</w:t>
            </w:r>
          </w:p>
        </w:tc>
      </w:tr>
      <w:tr w:rsidR="00132BAA">
        <w:trPr>
          <w:gridAfter w:val="8"/>
          <w:wAfter w:w="2556" w:type="dxa"/>
          <w:trHeight w:hRule="exact" w:val="1191"/>
        </w:trPr>
        <w:tc>
          <w:tcPr>
            <w:tcW w:w="1405" w:type="dxa"/>
          </w:tcPr>
          <w:p w:rsidR="00132BAA" w:rsidRDefault="00B31A4A">
            <w:pPr>
              <w:ind w:right="-29"/>
              <w:jc w:val="center"/>
              <w:rPr>
                <w:noProof/>
                <w:sz w:val="18"/>
                <w:szCs w:val="18"/>
              </w:rPr>
            </w:pPr>
            <w:r>
              <w:rPr>
                <w:noProof/>
                <w:sz w:val="18"/>
              </w:rPr>
              <w:t>– Rezultāts</w:t>
            </w:r>
          </w:p>
        </w:tc>
        <w:tc>
          <w:tcPr>
            <w:tcW w:w="1685" w:type="dxa"/>
            <w:gridSpan w:val="2"/>
          </w:tcPr>
          <w:p w:rsidR="00132BAA" w:rsidRDefault="00B31A4A">
            <w:pPr>
              <w:ind w:right="-29"/>
              <w:jc w:val="center"/>
              <w:rPr>
                <w:noProof/>
                <w:sz w:val="18"/>
                <w:szCs w:val="18"/>
              </w:rPr>
            </w:pPr>
            <w:r>
              <w:rPr>
                <w:noProof/>
                <w:sz w:val="18"/>
              </w:rPr>
              <w:t>Metodikas un izmēģinājuma pētījumi</w:t>
            </w:r>
          </w:p>
        </w:tc>
        <w:tc>
          <w:tcPr>
            <w:tcW w:w="700" w:type="dxa"/>
          </w:tcPr>
          <w:p w:rsidR="00132BAA" w:rsidRDefault="00132BAA">
            <w:pPr>
              <w:ind w:right="-29"/>
              <w:jc w:val="center"/>
              <w:rPr>
                <w:noProof/>
                <w:sz w:val="18"/>
                <w:szCs w:val="18"/>
              </w:rPr>
            </w:pPr>
          </w:p>
        </w:tc>
        <w:tc>
          <w:tcPr>
            <w:tcW w:w="1487" w:type="dxa"/>
            <w:gridSpan w:val="3"/>
          </w:tcPr>
          <w:p w:rsidR="00132BAA" w:rsidRDefault="00132BAA">
            <w:pPr>
              <w:ind w:right="-29"/>
              <w:jc w:val="center"/>
              <w:rPr>
                <w:noProof/>
                <w:sz w:val="18"/>
                <w:szCs w:val="18"/>
              </w:rPr>
            </w:pPr>
          </w:p>
        </w:tc>
        <w:tc>
          <w:tcPr>
            <w:tcW w:w="1486" w:type="dxa"/>
            <w:gridSpan w:val="6"/>
          </w:tcPr>
          <w:p w:rsidR="00132BAA" w:rsidRDefault="00B31A4A">
            <w:pPr>
              <w:ind w:right="-29"/>
              <w:jc w:val="center"/>
              <w:rPr>
                <w:noProof/>
                <w:sz w:val="18"/>
                <w:szCs w:val="18"/>
              </w:rPr>
            </w:pPr>
            <w:r>
              <w:rPr>
                <w:noProof/>
                <w:sz w:val="18"/>
              </w:rPr>
              <w:t>6,850</w:t>
            </w:r>
          </w:p>
          <w:p w:rsidR="00132BAA" w:rsidRDefault="00132BAA">
            <w:pPr>
              <w:ind w:right="-29"/>
              <w:jc w:val="center"/>
              <w:rPr>
                <w:noProof/>
                <w:sz w:val="18"/>
                <w:szCs w:val="18"/>
              </w:rPr>
            </w:pPr>
          </w:p>
        </w:tc>
        <w:tc>
          <w:tcPr>
            <w:tcW w:w="1486" w:type="dxa"/>
            <w:gridSpan w:val="6"/>
          </w:tcPr>
          <w:p w:rsidR="00132BAA" w:rsidRDefault="00132BAA">
            <w:pPr>
              <w:ind w:right="-29"/>
              <w:jc w:val="center"/>
              <w:rPr>
                <w:noProof/>
                <w:sz w:val="18"/>
                <w:szCs w:val="18"/>
              </w:rPr>
            </w:pPr>
          </w:p>
        </w:tc>
        <w:tc>
          <w:tcPr>
            <w:tcW w:w="1486" w:type="dxa"/>
            <w:gridSpan w:val="6"/>
          </w:tcPr>
          <w:p w:rsidR="00132BAA" w:rsidRDefault="00B31A4A">
            <w:pPr>
              <w:ind w:right="-29"/>
              <w:jc w:val="center"/>
              <w:rPr>
                <w:noProof/>
                <w:sz w:val="18"/>
                <w:szCs w:val="18"/>
              </w:rPr>
            </w:pPr>
            <w:r>
              <w:rPr>
                <w:noProof/>
                <w:sz w:val="18"/>
              </w:rPr>
              <w:t>5,250</w:t>
            </w:r>
          </w:p>
        </w:tc>
        <w:tc>
          <w:tcPr>
            <w:tcW w:w="1486" w:type="dxa"/>
            <w:gridSpan w:val="7"/>
          </w:tcPr>
          <w:p w:rsidR="00132BAA" w:rsidRDefault="00132BAA">
            <w:pPr>
              <w:ind w:right="-29"/>
              <w:jc w:val="center"/>
              <w:rPr>
                <w:noProof/>
                <w:sz w:val="18"/>
                <w:szCs w:val="18"/>
              </w:rPr>
            </w:pPr>
          </w:p>
        </w:tc>
        <w:tc>
          <w:tcPr>
            <w:tcW w:w="1491" w:type="dxa"/>
            <w:gridSpan w:val="7"/>
          </w:tcPr>
          <w:p w:rsidR="00132BAA" w:rsidRDefault="00B31A4A">
            <w:pPr>
              <w:ind w:right="-29"/>
              <w:jc w:val="center"/>
              <w:rPr>
                <w:noProof/>
                <w:sz w:val="18"/>
                <w:szCs w:val="18"/>
              </w:rPr>
            </w:pPr>
            <w:r>
              <w:rPr>
                <w:noProof/>
                <w:sz w:val="18"/>
              </w:rPr>
              <w:t>12,100</w:t>
            </w:r>
          </w:p>
        </w:tc>
      </w:tr>
      <w:tr w:rsidR="00132BAA">
        <w:trPr>
          <w:gridAfter w:val="8"/>
          <w:wAfter w:w="2556" w:type="dxa"/>
        </w:trPr>
        <w:tc>
          <w:tcPr>
            <w:tcW w:w="3090" w:type="dxa"/>
            <w:gridSpan w:val="3"/>
            <w:tcBorders>
              <w:bottom w:val="single" w:sz="12" w:space="0" w:color="auto"/>
            </w:tcBorders>
            <w:vAlign w:val="center"/>
          </w:tcPr>
          <w:p w:rsidR="00132BAA" w:rsidRDefault="00B31A4A">
            <w:pPr>
              <w:ind w:right="-29"/>
              <w:jc w:val="center"/>
              <w:rPr>
                <w:noProof/>
                <w:sz w:val="18"/>
                <w:szCs w:val="18"/>
              </w:rPr>
            </w:pPr>
            <w:r>
              <w:rPr>
                <w:noProof/>
                <w:sz w:val="18"/>
              </w:rPr>
              <w:t xml:space="preserve">Starpsumma — konkrētais </w:t>
            </w:r>
            <w:r>
              <w:rPr>
                <w:noProof/>
                <w:sz w:val="18"/>
              </w:rPr>
              <w:t>mērķis Nr. 1</w:t>
            </w:r>
          </w:p>
        </w:tc>
        <w:tc>
          <w:tcPr>
            <w:tcW w:w="2187" w:type="dxa"/>
            <w:gridSpan w:val="4"/>
            <w:tcBorders>
              <w:bottom w:val="single" w:sz="12" w:space="0" w:color="auto"/>
            </w:tcBorders>
          </w:tcPr>
          <w:p w:rsidR="00132BAA" w:rsidRDefault="00132BAA">
            <w:pPr>
              <w:ind w:right="-29"/>
              <w:jc w:val="center"/>
              <w:rPr>
                <w:noProof/>
                <w:sz w:val="18"/>
                <w:szCs w:val="18"/>
              </w:rPr>
            </w:pPr>
          </w:p>
        </w:tc>
        <w:tc>
          <w:tcPr>
            <w:tcW w:w="1486" w:type="dxa"/>
            <w:gridSpan w:val="6"/>
            <w:tcBorders>
              <w:bottom w:val="single" w:sz="12" w:space="0" w:color="auto"/>
            </w:tcBorders>
          </w:tcPr>
          <w:p w:rsidR="00132BAA" w:rsidRDefault="00B31A4A">
            <w:pPr>
              <w:ind w:right="-29"/>
              <w:jc w:val="center"/>
              <w:rPr>
                <w:noProof/>
                <w:sz w:val="18"/>
                <w:szCs w:val="18"/>
              </w:rPr>
            </w:pPr>
            <w:r>
              <w:rPr>
                <w:noProof/>
                <w:sz w:val="18"/>
              </w:rPr>
              <w:t>11,285</w:t>
            </w:r>
          </w:p>
        </w:tc>
        <w:tc>
          <w:tcPr>
            <w:tcW w:w="1486" w:type="dxa"/>
            <w:gridSpan w:val="6"/>
            <w:tcBorders>
              <w:bottom w:val="single" w:sz="12" w:space="0" w:color="auto"/>
            </w:tcBorders>
          </w:tcPr>
          <w:p w:rsidR="00132BAA" w:rsidRDefault="00132BAA">
            <w:pPr>
              <w:ind w:right="-29"/>
              <w:jc w:val="center"/>
              <w:rPr>
                <w:noProof/>
                <w:sz w:val="18"/>
                <w:szCs w:val="18"/>
              </w:rPr>
            </w:pPr>
          </w:p>
        </w:tc>
        <w:tc>
          <w:tcPr>
            <w:tcW w:w="1486" w:type="dxa"/>
            <w:gridSpan w:val="6"/>
            <w:tcBorders>
              <w:bottom w:val="single" w:sz="12" w:space="0" w:color="auto"/>
            </w:tcBorders>
          </w:tcPr>
          <w:p w:rsidR="00132BAA" w:rsidRDefault="00B31A4A">
            <w:pPr>
              <w:ind w:right="-29"/>
              <w:jc w:val="center"/>
              <w:rPr>
                <w:noProof/>
                <w:sz w:val="18"/>
                <w:szCs w:val="18"/>
              </w:rPr>
            </w:pPr>
            <w:r>
              <w:rPr>
                <w:noProof/>
                <w:sz w:val="18"/>
              </w:rPr>
              <w:t>10,185</w:t>
            </w:r>
          </w:p>
        </w:tc>
        <w:tc>
          <w:tcPr>
            <w:tcW w:w="1486" w:type="dxa"/>
            <w:gridSpan w:val="7"/>
            <w:tcBorders>
              <w:bottom w:val="single" w:sz="12" w:space="0" w:color="auto"/>
            </w:tcBorders>
          </w:tcPr>
          <w:p w:rsidR="00132BAA" w:rsidRDefault="00132BAA">
            <w:pPr>
              <w:ind w:right="-29"/>
              <w:jc w:val="center"/>
              <w:rPr>
                <w:noProof/>
                <w:sz w:val="18"/>
                <w:szCs w:val="18"/>
              </w:rPr>
            </w:pPr>
          </w:p>
        </w:tc>
        <w:tc>
          <w:tcPr>
            <w:tcW w:w="1491" w:type="dxa"/>
            <w:gridSpan w:val="7"/>
            <w:tcBorders>
              <w:bottom w:val="single" w:sz="12" w:space="0" w:color="auto"/>
            </w:tcBorders>
          </w:tcPr>
          <w:p w:rsidR="00132BAA" w:rsidRDefault="00B31A4A">
            <w:pPr>
              <w:ind w:right="-29"/>
              <w:jc w:val="center"/>
              <w:rPr>
                <w:noProof/>
                <w:sz w:val="18"/>
                <w:szCs w:val="18"/>
              </w:rPr>
            </w:pPr>
            <w:r>
              <w:rPr>
                <w:noProof/>
                <w:sz w:val="18"/>
              </w:rPr>
              <w:t>21,470</w:t>
            </w:r>
          </w:p>
        </w:tc>
      </w:tr>
      <w:tr w:rsidR="00132BAA">
        <w:trPr>
          <w:gridAfter w:val="3"/>
          <w:wAfter w:w="1104" w:type="dxa"/>
        </w:trPr>
        <w:tc>
          <w:tcPr>
            <w:tcW w:w="3090" w:type="dxa"/>
            <w:gridSpan w:val="3"/>
            <w:vAlign w:val="center"/>
          </w:tcPr>
          <w:p w:rsidR="00132BAA" w:rsidRDefault="00B31A4A">
            <w:pPr>
              <w:spacing w:before="60" w:after="60"/>
              <w:ind w:right="-29"/>
              <w:jc w:val="center"/>
              <w:rPr>
                <w:noProof/>
                <w:sz w:val="18"/>
                <w:szCs w:val="18"/>
              </w:rPr>
            </w:pPr>
            <w:r>
              <w:rPr>
                <w:noProof/>
                <w:sz w:val="18"/>
              </w:rPr>
              <w:t>KONKRĒTAIS MĒRĶIS Nr. 2</w:t>
            </w:r>
          </w:p>
        </w:tc>
        <w:tc>
          <w:tcPr>
            <w:tcW w:w="1454"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5" w:type="dxa"/>
            <w:tcBorders>
              <w:top w:val="nil"/>
              <w:left w:val="nil"/>
              <w:bottom w:val="nil"/>
              <w:right w:val="nil"/>
            </w:tcBorders>
          </w:tcPr>
          <w:p w:rsidR="00132BAA" w:rsidRDefault="00132BAA">
            <w:pPr>
              <w:spacing w:before="60" w:after="60"/>
              <w:ind w:right="-29"/>
              <w:jc w:val="center"/>
              <w:rPr>
                <w:noProof/>
                <w:sz w:val="18"/>
                <w:szCs w:val="18"/>
              </w:rPr>
            </w:pPr>
          </w:p>
        </w:tc>
        <w:tc>
          <w:tcPr>
            <w:tcW w:w="540" w:type="dxa"/>
            <w:gridSpan w:val="3"/>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936"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685"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54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648"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432"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54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4"/>
            <w:tcBorders>
              <w:top w:val="nil"/>
              <w:left w:val="nil"/>
              <w:bottom w:val="nil"/>
              <w:right w:val="nil"/>
            </w:tcBorders>
          </w:tcPr>
          <w:p w:rsidR="00132BAA" w:rsidRDefault="00132BAA">
            <w:pPr>
              <w:spacing w:before="60" w:after="60"/>
              <w:ind w:right="-29"/>
              <w:jc w:val="center"/>
              <w:rPr>
                <w:noProof/>
                <w:sz w:val="18"/>
                <w:szCs w:val="18"/>
              </w:rPr>
            </w:pPr>
          </w:p>
        </w:tc>
        <w:tc>
          <w:tcPr>
            <w:tcW w:w="720" w:type="dxa"/>
            <w:gridSpan w:val="2"/>
            <w:tcBorders>
              <w:top w:val="nil"/>
              <w:left w:val="nil"/>
              <w:bottom w:val="nil"/>
              <w:right w:val="nil"/>
            </w:tcBorders>
          </w:tcPr>
          <w:p w:rsidR="00132BAA" w:rsidRDefault="00132BAA">
            <w:pPr>
              <w:spacing w:before="60" w:after="60"/>
              <w:ind w:right="-29"/>
              <w:jc w:val="center"/>
              <w:rPr>
                <w:noProof/>
                <w:sz w:val="18"/>
                <w:szCs w:val="18"/>
              </w:rPr>
            </w:pPr>
          </w:p>
        </w:tc>
        <w:tc>
          <w:tcPr>
            <w:tcW w:w="254" w:type="dxa"/>
            <w:tcBorders>
              <w:top w:val="nil"/>
              <w:left w:val="nil"/>
              <w:bottom w:val="nil"/>
              <w:right w:val="nil"/>
            </w:tcBorders>
          </w:tcPr>
          <w:p w:rsidR="00132BAA" w:rsidRDefault="00132BAA">
            <w:pPr>
              <w:spacing w:before="60" w:after="60"/>
              <w:ind w:right="-29"/>
              <w:jc w:val="center"/>
              <w:rPr>
                <w:noProof/>
                <w:sz w:val="18"/>
                <w:szCs w:val="18"/>
              </w:rPr>
            </w:pPr>
          </w:p>
        </w:tc>
      </w:tr>
      <w:tr w:rsidR="00132BAA">
        <w:trPr>
          <w:gridAfter w:val="8"/>
          <w:wAfter w:w="2556" w:type="dxa"/>
          <w:trHeight w:hRule="exact" w:val="369"/>
        </w:trPr>
        <w:tc>
          <w:tcPr>
            <w:tcW w:w="1405" w:type="dxa"/>
          </w:tcPr>
          <w:p w:rsidR="00132BAA" w:rsidRDefault="00B31A4A">
            <w:pPr>
              <w:ind w:right="-29"/>
              <w:jc w:val="center"/>
              <w:rPr>
                <w:noProof/>
                <w:sz w:val="18"/>
                <w:szCs w:val="18"/>
              </w:rPr>
            </w:pPr>
            <w:r>
              <w:rPr>
                <w:noProof/>
                <w:sz w:val="18"/>
              </w:rPr>
              <w:lastRenderedPageBreak/>
              <w:t>– Rezultāts</w:t>
            </w:r>
          </w:p>
        </w:tc>
        <w:tc>
          <w:tcPr>
            <w:tcW w:w="1685" w:type="dxa"/>
            <w:gridSpan w:val="2"/>
          </w:tcPr>
          <w:p w:rsidR="00132BAA" w:rsidRDefault="00132BAA">
            <w:pPr>
              <w:ind w:right="-29"/>
              <w:jc w:val="center"/>
              <w:rPr>
                <w:noProof/>
                <w:sz w:val="18"/>
                <w:szCs w:val="18"/>
              </w:rPr>
            </w:pPr>
          </w:p>
        </w:tc>
        <w:tc>
          <w:tcPr>
            <w:tcW w:w="700" w:type="dxa"/>
          </w:tcPr>
          <w:p w:rsidR="00132BAA" w:rsidRDefault="00132BAA">
            <w:pPr>
              <w:ind w:right="-29"/>
              <w:jc w:val="center"/>
              <w:rPr>
                <w:noProof/>
                <w:sz w:val="18"/>
                <w:szCs w:val="18"/>
              </w:rPr>
            </w:pPr>
          </w:p>
        </w:tc>
        <w:tc>
          <w:tcPr>
            <w:tcW w:w="1487" w:type="dxa"/>
            <w:gridSpan w:val="3"/>
          </w:tcPr>
          <w:p w:rsidR="00132BAA" w:rsidRDefault="00132BAA">
            <w:pPr>
              <w:ind w:right="-29"/>
              <w:jc w:val="center"/>
              <w:rPr>
                <w:noProof/>
                <w:sz w:val="18"/>
                <w:szCs w:val="18"/>
              </w:rPr>
            </w:pPr>
          </w:p>
        </w:tc>
        <w:tc>
          <w:tcPr>
            <w:tcW w:w="1486" w:type="dxa"/>
            <w:gridSpan w:val="6"/>
          </w:tcPr>
          <w:p w:rsidR="00132BAA" w:rsidRDefault="00132BAA">
            <w:pPr>
              <w:ind w:right="-29"/>
              <w:jc w:val="center"/>
              <w:rPr>
                <w:noProof/>
                <w:sz w:val="18"/>
                <w:szCs w:val="18"/>
              </w:rPr>
            </w:pPr>
          </w:p>
        </w:tc>
        <w:tc>
          <w:tcPr>
            <w:tcW w:w="1486" w:type="dxa"/>
            <w:gridSpan w:val="6"/>
          </w:tcPr>
          <w:p w:rsidR="00132BAA" w:rsidRDefault="00132BAA">
            <w:pPr>
              <w:ind w:right="-29"/>
              <w:jc w:val="center"/>
              <w:rPr>
                <w:noProof/>
                <w:sz w:val="18"/>
                <w:szCs w:val="18"/>
              </w:rPr>
            </w:pPr>
          </w:p>
        </w:tc>
        <w:tc>
          <w:tcPr>
            <w:tcW w:w="1486" w:type="dxa"/>
            <w:gridSpan w:val="6"/>
          </w:tcPr>
          <w:p w:rsidR="00132BAA" w:rsidRDefault="00132BAA">
            <w:pPr>
              <w:ind w:right="-29"/>
              <w:jc w:val="center"/>
              <w:rPr>
                <w:noProof/>
                <w:sz w:val="18"/>
                <w:szCs w:val="18"/>
              </w:rPr>
            </w:pPr>
          </w:p>
        </w:tc>
        <w:tc>
          <w:tcPr>
            <w:tcW w:w="1486" w:type="dxa"/>
            <w:gridSpan w:val="7"/>
          </w:tcPr>
          <w:p w:rsidR="00132BAA" w:rsidRDefault="00132BAA">
            <w:pPr>
              <w:ind w:right="-29"/>
              <w:jc w:val="center"/>
              <w:rPr>
                <w:noProof/>
                <w:sz w:val="18"/>
                <w:szCs w:val="18"/>
              </w:rPr>
            </w:pPr>
          </w:p>
        </w:tc>
        <w:tc>
          <w:tcPr>
            <w:tcW w:w="1491" w:type="dxa"/>
            <w:gridSpan w:val="7"/>
          </w:tcPr>
          <w:p w:rsidR="00132BAA" w:rsidRDefault="00132BAA">
            <w:pPr>
              <w:ind w:right="-29"/>
              <w:jc w:val="center"/>
              <w:rPr>
                <w:noProof/>
                <w:sz w:val="18"/>
                <w:szCs w:val="18"/>
              </w:rPr>
            </w:pPr>
          </w:p>
        </w:tc>
      </w:tr>
      <w:tr w:rsidR="00132BAA">
        <w:trPr>
          <w:gridAfter w:val="9"/>
          <w:wAfter w:w="2627" w:type="dxa"/>
        </w:trPr>
        <w:tc>
          <w:tcPr>
            <w:tcW w:w="3081" w:type="dxa"/>
            <w:gridSpan w:val="2"/>
            <w:tcBorders>
              <w:bottom w:val="single" w:sz="12" w:space="0" w:color="auto"/>
            </w:tcBorders>
            <w:vAlign w:val="center"/>
          </w:tcPr>
          <w:p w:rsidR="00132BAA" w:rsidRDefault="00B31A4A">
            <w:pPr>
              <w:jc w:val="center"/>
              <w:rPr>
                <w:noProof/>
                <w:sz w:val="18"/>
                <w:szCs w:val="18"/>
              </w:rPr>
            </w:pPr>
            <w:r>
              <w:rPr>
                <w:noProof/>
                <w:sz w:val="18"/>
              </w:rPr>
              <w:t>Starpsumma — konkrētais mērķis Nr. 2</w:t>
            </w:r>
          </w:p>
        </w:tc>
        <w:tc>
          <w:tcPr>
            <w:tcW w:w="2188" w:type="dxa"/>
            <w:gridSpan w:val="4"/>
            <w:tcBorders>
              <w:bottom w:val="single" w:sz="12" w:space="0" w:color="auto"/>
            </w:tcBorders>
          </w:tcPr>
          <w:p w:rsidR="00132BAA" w:rsidRDefault="00132BAA">
            <w:pPr>
              <w:ind w:right="-29"/>
              <w:jc w:val="center"/>
              <w:rPr>
                <w:noProof/>
                <w:sz w:val="18"/>
                <w:szCs w:val="18"/>
              </w:rPr>
            </w:pPr>
          </w:p>
        </w:tc>
        <w:tc>
          <w:tcPr>
            <w:tcW w:w="1474" w:type="dxa"/>
            <w:gridSpan w:val="6"/>
            <w:tcBorders>
              <w:bottom w:val="single" w:sz="12" w:space="0" w:color="auto"/>
            </w:tcBorders>
          </w:tcPr>
          <w:p w:rsidR="00132BAA" w:rsidRDefault="00132BAA">
            <w:pPr>
              <w:ind w:right="-29"/>
              <w:jc w:val="center"/>
              <w:rPr>
                <w:noProof/>
                <w:sz w:val="18"/>
                <w:szCs w:val="18"/>
              </w:rPr>
            </w:pPr>
          </w:p>
        </w:tc>
        <w:tc>
          <w:tcPr>
            <w:tcW w:w="1474" w:type="dxa"/>
            <w:gridSpan w:val="6"/>
            <w:tcBorders>
              <w:bottom w:val="single" w:sz="12" w:space="0" w:color="auto"/>
            </w:tcBorders>
          </w:tcPr>
          <w:p w:rsidR="00132BAA" w:rsidRDefault="00132BAA">
            <w:pPr>
              <w:ind w:right="-29"/>
              <w:jc w:val="center"/>
              <w:rPr>
                <w:noProof/>
                <w:sz w:val="18"/>
                <w:szCs w:val="18"/>
              </w:rPr>
            </w:pPr>
          </w:p>
        </w:tc>
        <w:tc>
          <w:tcPr>
            <w:tcW w:w="1475" w:type="dxa"/>
            <w:gridSpan w:val="6"/>
            <w:tcBorders>
              <w:bottom w:val="single" w:sz="12" w:space="0" w:color="auto"/>
            </w:tcBorders>
          </w:tcPr>
          <w:p w:rsidR="00132BAA" w:rsidRDefault="00132BAA">
            <w:pPr>
              <w:ind w:right="-29"/>
              <w:jc w:val="center"/>
              <w:rPr>
                <w:noProof/>
                <w:sz w:val="18"/>
                <w:szCs w:val="18"/>
              </w:rPr>
            </w:pPr>
          </w:p>
        </w:tc>
        <w:tc>
          <w:tcPr>
            <w:tcW w:w="1474" w:type="dxa"/>
            <w:gridSpan w:val="6"/>
            <w:tcBorders>
              <w:bottom w:val="single" w:sz="12" w:space="0" w:color="auto"/>
            </w:tcBorders>
          </w:tcPr>
          <w:p w:rsidR="00132BAA" w:rsidRDefault="00132BAA">
            <w:pPr>
              <w:ind w:right="-29"/>
              <w:jc w:val="center"/>
              <w:rPr>
                <w:noProof/>
                <w:sz w:val="18"/>
                <w:szCs w:val="18"/>
              </w:rPr>
            </w:pPr>
          </w:p>
        </w:tc>
        <w:tc>
          <w:tcPr>
            <w:tcW w:w="1475" w:type="dxa"/>
            <w:gridSpan w:val="8"/>
            <w:tcBorders>
              <w:bottom w:val="single" w:sz="12" w:space="0" w:color="auto"/>
            </w:tcBorders>
          </w:tcPr>
          <w:p w:rsidR="00132BAA" w:rsidRDefault="00132BAA">
            <w:pPr>
              <w:ind w:right="-29"/>
              <w:jc w:val="center"/>
              <w:rPr>
                <w:noProof/>
                <w:sz w:val="18"/>
                <w:szCs w:val="18"/>
              </w:rPr>
            </w:pPr>
          </w:p>
        </w:tc>
      </w:tr>
      <w:tr w:rsidR="00132BAA">
        <w:trPr>
          <w:gridAfter w:val="9"/>
          <w:wAfter w:w="2627" w:type="dxa"/>
        </w:trPr>
        <w:tc>
          <w:tcPr>
            <w:tcW w:w="3081" w:type="dxa"/>
            <w:gridSpan w:val="2"/>
            <w:tcBorders>
              <w:top w:val="single" w:sz="12" w:space="0" w:color="auto"/>
              <w:left w:val="single" w:sz="12" w:space="0" w:color="auto"/>
              <w:bottom w:val="single" w:sz="12" w:space="0" w:color="auto"/>
            </w:tcBorders>
            <w:vAlign w:val="center"/>
          </w:tcPr>
          <w:p w:rsidR="00132BAA" w:rsidRDefault="00B31A4A">
            <w:pPr>
              <w:ind w:right="-29"/>
              <w:jc w:val="center"/>
              <w:rPr>
                <w:noProof/>
                <w:sz w:val="18"/>
                <w:szCs w:val="18"/>
              </w:rPr>
            </w:pPr>
            <w:r>
              <w:rPr>
                <w:b/>
                <w:noProof/>
                <w:sz w:val="18"/>
              </w:rPr>
              <w:t>KOPĒJĀS IZMAKSAS</w:t>
            </w:r>
          </w:p>
        </w:tc>
        <w:tc>
          <w:tcPr>
            <w:tcW w:w="2188" w:type="dxa"/>
            <w:gridSpan w:val="4"/>
            <w:tcBorders>
              <w:top w:val="single" w:sz="12" w:space="0" w:color="auto"/>
              <w:bottom w:val="single" w:sz="12" w:space="0" w:color="auto"/>
            </w:tcBorders>
          </w:tcPr>
          <w:p w:rsidR="00132BAA" w:rsidRDefault="00132BAA">
            <w:pPr>
              <w:spacing w:before="180" w:after="180"/>
              <w:ind w:right="-29"/>
              <w:jc w:val="center"/>
              <w:rPr>
                <w:noProof/>
                <w:sz w:val="18"/>
                <w:szCs w:val="18"/>
              </w:rPr>
            </w:pPr>
          </w:p>
        </w:tc>
        <w:tc>
          <w:tcPr>
            <w:tcW w:w="1474" w:type="dxa"/>
            <w:gridSpan w:val="6"/>
            <w:tcBorders>
              <w:top w:val="single" w:sz="12" w:space="0" w:color="auto"/>
              <w:bottom w:val="single" w:sz="12" w:space="0" w:color="auto"/>
            </w:tcBorders>
          </w:tcPr>
          <w:p w:rsidR="00132BAA" w:rsidRDefault="00B31A4A">
            <w:pPr>
              <w:spacing w:before="180" w:after="180"/>
              <w:ind w:right="-29"/>
              <w:jc w:val="center"/>
              <w:rPr>
                <w:noProof/>
                <w:sz w:val="18"/>
                <w:szCs w:val="18"/>
              </w:rPr>
            </w:pPr>
            <w:r>
              <w:rPr>
                <w:noProof/>
                <w:sz w:val="18"/>
              </w:rPr>
              <w:t>11,285</w:t>
            </w:r>
          </w:p>
        </w:tc>
        <w:tc>
          <w:tcPr>
            <w:tcW w:w="1474" w:type="dxa"/>
            <w:gridSpan w:val="6"/>
            <w:tcBorders>
              <w:top w:val="single" w:sz="12" w:space="0" w:color="auto"/>
              <w:bottom w:val="single" w:sz="12" w:space="0" w:color="auto"/>
            </w:tcBorders>
          </w:tcPr>
          <w:p w:rsidR="00132BAA" w:rsidRDefault="00132BAA">
            <w:pPr>
              <w:spacing w:before="180" w:after="180"/>
              <w:ind w:right="-29"/>
              <w:jc w:val="center"/>
              <w:rPr>
                <w:noProof/>
                <w:sz w:val="18"/>
                <w:szCs w:val="18"/>
              </w:rPr>
            </w:pPr>
          </w:p>
        </w:tc>
        <w:tc>
          <w:tcPr>
            <w:tcW w:w="1475" w:type="dxa"/>
            <w:gridSpan w:val="6"/>
            <w:tcBorders>
              <w:top w:val="single" w:sz="12" w:space="0" w:color="auto"/>
              <w:bottom w:val="single" w:sz="12" w:space="0" w:color="auto"/>
            </w:tcBorders>
          </w:tcPr>
          <w:p w:rsidR="00132BAA" w:rsidRDefault="00B31A4A">
            <w:pPr>
              <w:spacing w:before="180" w:after="180"/>
              <w:ind w:right="-29"/>
              <w:jc w:val="center"/>
              <w:rPr>
                <w:noProof/>
                <w:sz w:val="18"/>
                <w:szCs w:val="18"/>
              </w:rPr>
            </w:pPr>
            <w:r>
              <w:rPr>
                <w:noProof/>
                <w:sz w:val="18"/>
              </w:rPr>
              <w:t>10,185</w:t>
            </w:r>
          </w:p>
        </w:tc>
        <w:tc>
          <w:tcPr>
            <w:tcW w:w="1474" w:type="dxa"/>
            <w:gridSpan w:val="6"/>
            <w:tcBorders>
              <w:top w:val="single" w:sz="12" w:space="0" w:color="auto"/>
              <w:bottom w:val="single" w:sz="12" w:space="0" w:color="auto"/>
            </w:tcBorders>
          </w:tcPr>
          <w:p w:rsidR="00132BAA" w:rsidRDefault="00132BAA">
            <w:pPr>
              <w:spacing w:before="180" w:after="180"/>
              <w:ind w:right="-29"/>
              <w:jc w:val="center"/>
              <w:rPr>
                <w:noProof/>
                <w:sz w:val="18"/>
                <w:szCs w:val="18"/>
              </w:rPr>
            </w:pPr>
          </w:p>
        </w:tc>
        <w:tc>
          <w:tcPr>
            <w:tcW w:w="1475" w:type="dxa"/>
            <w:gridSpan w:val="8"/>
            <w:tcBorders>
              <w:top w:val="single" w:sz="12" w:space="0" w:color="auto"/>
              <w:bottom w:val="single" w:sz="12" w:space="0" w:color="auto"/>
            </w:tcBorders>
          </w:tcPr>
          <w:p w:rsidR="00132BAA" w:rsidRDefault="00B31A4A">
            <w:pPr>
              <w:spacing w:before="180" w:after="180"/>
              <w:ind w:right="-29"/>
              <w:jc w:val="center"/>
              <w:rPr>
                <w:noProof/>
                <w:sz w:val="18"/>
                <w:szCs w:val="18"/>
              </w:rPr>
            </w:pPr>
            <w:r>
              <w:rPr>
                <w:noProof/>
                <w:sz w:val="18"/>
              </w:rPr>
              <w:t>21,470</w:t>
            </w:r>
          </w:p>
        </w:tc>
      </w:tr>
    </w:tbl>
    <w:p w:rsidR="00132BAA" w:rsidRDefault="00132BAA">
      <w:pPr>
        <w:rPr>
          <w:noProof/>
        </w:rPr>
        <w:sectPr w:rsidR="00132BAA">
          <w:pgSz w:w="16840" w:h="11907" w:orient="landscape" w:code="9"/>
          <w:pgMar w:top="1134" w:right="1418" w:bottom="567" w:left="1418" w:header="709" w:footer="709" w:gutter="0"/>
          <w:cols w:space="708"/>
          <w:docGrid w:linePitch="360"/>
        </w:sectPr>
      </w:pPr>
    </w:p>
    <w:p w:rsidR="00132BAA" w:rsidRDefault="00B31A4A">
      <w:pPr>
        <w:pStyle w:val="ManualHeading3"/>
        <w:rPr>
          <w:bCs/>
          <w:noProof/>
          <w:szCs w:val="24"/>
        </w:rPr>
      </w:pPr>
      <w:r>
        <w:lastRenderedPageBreak/>
        <w:t>3.2.3.</w:t>
      </w:r>
      <w:r>
        <w:tab/>
      </w:r>
      <w:r>
        <w:rPr>
          <w:noProof/>
        </w:rPr>
        <w:t xml:space="preserve">Paredzamā ietekme uz </w:t>
      </w:r>
      <w:r>
        <w:rPr>
          <w:noProof/>
        </w:rPr>
        <w:t>administratīvajām apropriācijām</w:t>
      </w:r>
    </w:p>
    <w:p w:rsidR="00132BAA" w:rsidRDefault="00B31A4A">
      <w:pPr>
        <w:pStyle w:val="ManualHeading4"/>
        <w:rPr>
          <w:noProof/>
        </w:rPr>
      </w:pPr>
      <w:r>
        <w:t>3.2.3.1.</w:t>
      </w:r>
      <w:r>
        <w:tab/>
      </w:r>
      <w:r>
        <w:rPr>
          <w:noProof/>
        </w:rPr>
        <w:t xml:space="preserve">Kopsavilkums </w:t>
      </w:r>
    </w:p>
    <w:p w:rsidR="00132BAA" w:rsidRDefault="00B31A4A">
      <w:pPr>
        <w:pStyle w:val="ListDash1"/>
        <w:rPr>
          <w:noProof/>
        </w:rPr>
      </w:pPr>
      <w:r>
        <w:rPr>
          <w:noProof/>
        </w:rPr>
        <w:sym w:font="Wingdings" w:char="F0A8"/>
      </w:r>
      <w:r>
        <w:rPr>
          <w:noProof/>
        </w:rPr>
        <w:tab/>
        <w:t xml:space="preserve">Priekšlikums/iniciatīva neparedz izmantot administratīvās apropriācijas </w:t>
      </w:r>
    </w:p>
    <w:p w:rsidR="00132BAA" w:rsidRDefault="00B31A4A">
      <w:pPr>
        <w:pStyle w:val="ListDash1"/>
        <w:rPr>
          <w:noProof/>
        </w:rPr>
      </w:pPr>
      <w:r>
        <w:rPr>
          <w:noProof/>
        </w:rPr>
        <w:sym w:font="Wingdings" w:char="F0FD"/>
      </w:r>
      <w:r>
        <w:rPr>
          <w:noProof/>
        </w:rPr>
        <w:tab/>
        <w:t>Priekšlikums/iniciatīva paredz izmantot administratīvās apropriācijas šādā veidā:</w:t>
      </w:r>
    </w:p>
    <w:p w:rsidR="00132BAA" w:rsidRDefault="00B31A4A">
      <w:pPr>
        <w:rPr>
          <w:noProof/>
          <w:sz w:val="20"/>
        </w:rPr>
      </w:pPr>
      <w:r>
        <w:rPr>
          <w:noProof/>
          <w:sz w:val="20"/>
        </w:rPr>
        <w:t>EUR miljonos (trīs zīmes aiz komata)</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rsidR="00132BAA">
        <w:trPr>
          <w:trHeight w:val="585"/>
        </w:trPr>
        <w:tc>
          <w:tcPr>
            <w:tcW w:w="1980" w:type="dxa"/>
          </w:tcPr>
          <w:p w:rsidR="00132BAA" w:rsidRDefault="00132BAA">
            <w:pPr>
              <w:spacing w:before="60" w:after="60" w:line="200" w:lineRule="exact"/>
              <w:rPr>
                <w:noProof/>
                <w:sz w:val="16"/>
                <w:szCs w:val="16"/>
              </w:rPr>
            </w:pPr>
          </w:p>
        </w:tc>
        <w:tc>
          <w:tcPr>
            <w:tcW w:w="2604" w:type="dxa"/>
            <w:vAlign w:val="center"/>
          </w:tcPr>
          <w:p w:rsidR="00132BAA" w:rsidRDefault="00B31A4A">
            <w:pPr>
              <w:spacing w:before="60" w:after="60" w:line="200" w:lineRule="exact"/>
              <w:jc w:val="center"/>
              <w:rPr>
                <w:noProof/>
                <w:sz w:val="16"/>
                <w:szCs w:val="16"/>
              </w:rPr>
            </w:pPr>
            <w:r>
              <w:rPr>
                <w:b/>
                <w:noProof/>
                <w:sz w:val="16"/>
                <w:szCs w:val="16"/>
              </w:rPr>
              <w:t>2019.</w:t>
            </w:r>
            <w:r>
              <w:rPr>
                <w:b/>
                <w:noProof/>
                <w:sz w:val="16"/>
                <w:szCs w:val="16"/>
              </w:rPr>
              <w:br/>
            </w:r>
            <w:r>
              <w:rPr>
                <w:noProof/>
                <w:sz w:val="16"/>
                <w:szCs w:val="16"/>
              </w:rPr>
              <w:t>gads</w:t>
            </w:r>
            <w:r>
              <w:rPr>
                <w:rStyle w:val="FootnoteReference"/>
                <w:noProof/>
                <w:sz w:val="16"/>
                <w:szCs w:val="16"/>
              </w:rPr>
              <w:footnoteReference w:id="38"/>
            </w:r>
          </w:p>
        </w:tc>
        <w:tc>
          <w:tcPr>
            <w:tcW w:w="2604" w:type="dxa"/>
            <w:vAlign w:val="center"/>
          </w:tcPr>
          <w:p w:rsidR="00132BAA" w:rsidRDefault="00B31A4A">
            <w:pPr>
              <w:spacing w:before="60" w:after="60" w:line="200" w:lineRule="exact"/>
              <w:jc w:val="center"/>
              <w:rPr>
                <w:noProof/>
                <w:sz w:val="16"/>
                <w:szCs w:val="16"/>
              </w:rPr>
            </w:pPr>
            <w:r>
              <w:rPr>
                <w:b/>
                <w:noProof/>
                <w:sz w:val="16"/>
                <w:szCs w:val="16"/>
              </w:rPr>
              <w:t>2020.</w:t>
            </w:r>
            <w:r>
              <w:rPr>
                <w:noProof/>
                <w:sz w:val="16"/>
                <w:szCs w:val="16"/>
              </w:rPr>
              <w:br/>
              <w:t>gads</w:t>
            </w:r>
          </w:p>
        </w:tc>
        <w:tc>
          <w:tcPr>
            <w:tcW w:w="2604" w:type="dxa"/>
            <w:vAlign w:val="center"/>
          </w:tcPr>
          <w:p w:rsidR="00132BAA" w:rsidRDefault="00B31A4A">
            <w:pPr>
              <w:spacing w:before="60" w:after="60" w:line="200" w:lineRule="exact"/>
              <w:jc w:val="center"/>
              <w:rPr>
                <w:b/>
                <w:noProof/>
                <w:sz w:val="16"/>
                <w:szCs w:val="16"/>
              </w:rPr>
            </w:pPr>
            <w:r>
              <w:rPr>
                <w:b/>
                <w:noProof/>
                <w:sz w:val="16"/>
                <w:szCs w:val="16"/>
              </w:rPr>
              <w:t>KOPĀ</w:t>
            </w:r>
          </w:p>
        </w:tc>
      </w:tr>
    </w:tbl>
    <w:p w:rsidR="00132BAA" w:rsidRDefault="00132BAA">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rsidR="00132BAA">
        <w:trPr>
          <w:trHeight w:val="585"/>
        </w:trPr>
        <w:tc>
          <w:tcPr>
            <w:tcW w:w="1980" w:type="dxa"/>
            <w:shd w:val="clear" w:color="auto" w:fill="CCCCCC"/>
            <w:vAlign w:val="center"/>
          </w:tcPr>
          <w:p w:rsidR="00132BAA" w:rsidRDefault="00B31A4A">
            <w:pPr>
              <w:spacing w:before="60" w:after="60" w:line="200" w:lineRule="exact"/>
              <w:jc w:val="center"/>
              <w:rPr>
                <w:b/>
                <w:noProof/>
                <w:sz w:val="16"/>
                <w:szCs w:val="16"/>
              </w:rPr>
            </w:pPr>
            <w:r>
              <w:rPr>
                <w:b/>
                <w:noProof/>
                <w:sz w:val="16"/>
                <w:szCs w:val="16"/>
              </w:rPr>
              <w:t xml:space="preserve">Daudzgadu finanšu shēmas </w:t>
            </w:r>
            <w:r>
              <w:rPr>
                <w:noProof/>
                <w:sz w:val="16"/>
                <w:szCs w:val="16"/>
              </w:rPr>
              <w:br/>
            </w:r>
            <w:r>
              <w:rPr>
                <w:b/>
                <w:noProof/>
                <w:sz w:val="16"/>
                <w:szCs w:val="16"/>
              </w:rPr>
              <w:t>5. IZDEVUMU KATEGORIJA</w:t>
            </w: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b/>
                <w:noProof/>
                <w:sz w:val="16"/>
                <w:szCs w:val="16"/>
              </w:rPr>
            </w:pPr>
          </w:p>
        </w:tc>
      </w:tr>
      <w:tr w:rsidR="00132BAA">
        <w:trPr>
          <w:trHeight w:val="585"/>
        </w:trPr>
        <w:tc>
          <w:tcPr>
            <w:tcW w:w="1980" w:type="dxa"/>
            <w:vAlign w:val="center"/>
          </w:tcPr>
          <w:p w:rsidR="00132BAA" w:rsidRDefault="00B31A4A">
            <w:pPr>
              <w:spacing w:before="60" w:after="60" w:line="200" w:lineRule="exact"/>
              <w:ind w:left="72"/>
              <w:jc w:val="left"/>
              <w:rPr>
                <w:noProof/>
                <w:sz w:val="16"/>
                <w:szCs w:val="16"/>
              </w:rPr>
            </w:pPr>
            <w:r>
              <w:rPr>
                <w:noProof/>
                <w:sz w:val="16"/>
              </w:rPr>
              <w:t xml:space="preserve">Cilvēkresursi </w:t>
            </w:r>
          </w:p>
        </w:tc>
        <w:tc>
          <w:tcPr>
            <w:tcW w:w="2604" w:type="dxa"/>
            <w:vAlign w:val="center"/>
          </w:tcPr>
          <w:p w:rsidR="00132BAA" w:rsidRDefault="00B31A4A">
            <w:pPr>
              <w:spacing w:before="60" w:after="60" w:line="200" w:lineRule="exact"/>
              <w:jc w:val="right"/>
              <w:rPr>
                <w:noProof/>
                <w:sz w:val="16"/>
                <w:szCs w:val="16"/>
              </w:rPr>
            </w:pPr>
            <w:r>
              <w:rPr>
                <w:noProof/>
                <w:sz w:val="16"/>
              </w:rPr>
              <w:t>11,850</w:t>
            </w:r>
          </w:p>
        </w:tc>
        <w:tc>
          <w:tcPr>
            <w:tcW w:w="2604" w:type="dxa"/>
            <w:vAlign w:val="center"/>
          </w:tcPr>
          <w:p w:rsidR="00132BAA" w:rsidRDefault="00B31A4A">
            <w:pPr>
              <w:spacing w:before="60" w:after="60" w:line="200" w:lineRule="exact"/>
              <w:jc w:val="right"/>
              <w:rPr>
                <w:noProof/>
                <w:sz w:val="16"/>
                <w:szCs w:val="16"/>
              </w:rPr>
            </w:pPr>
            <w:r>
              <w:rPr>
                <w:noProof/>
                <w:sz w:val="16"/>
              </w:rPr>
              <w:t>11,883</w:t>
            </w:r>
          </w:p>
        </w:tc>
        <w:tc>
          <w:tcPr>
            <w:tcW w:w="2604" w:type="dxa"/>
            <w:vAlign w:val="center"/>
          </w:tcPr>
          <w:p w:rsidR="00132BAA" w:rsidRDefault="00B31A4A">
            <w:pPr>
              <w:spacing w:before="60" w:after="60" w:line="200" w:lineRule="exact"/>
              <w:jc w:val="right"/>
              <w:rPr>
                <w:b/>
                <w:noProof/>
                <w:sz w:val="16"/>
                <w:szCs w:val="16"/>
              </w:rPr>
            </w:pPr>
            <w:r>
              <w:rPr>
                <w:b/>
                <w:noProof/>
                <w:sz w:val="16"/>
              </w:rPr>
              <w:t>23,733</w:t>
            </w:r>
          </w:p>
        </w:tc>
      </w:tr>
      <w:tr w:rsidR="00132BAA">
        <w:trPr>
          <w:trHeight w:val="585"/>
        </w:trPr>
        <w:tc>
          <w:tcPr>
            <w:tcW w:w="1980" w:type="dxa"/>
            <w:vAlign w:val="center"/>
          </w:tcPr>
          <w:p w:rsidR="00132BAA" w:rsidRDefault="00B31A4A">
            <w:pPr>
              <w:spacing w:before="60" w:after="60" w:line="200" w:lineRule="exact"/>
              <w:ind w:left="72"/>
              <w:jc w:val="left"/>
              <w:rPr>
                <w:noProof/>
                <w:sz w:val="16"/>
                <w:szCs w:val="16"/>
              </w:rPr>
            </w:pPr>
            <w:r>
              <w:rPr>
                <w:noProof/>
                <w:sz w:val="16"/>
              </w:rPr>
              <w:t xml:space="preserve">Pārējie administratīvie izdevumi </w:t>
            </w:r>
          </w:p>
        </w:tc>
        <w:tc>
          <w:tcPr>
            <w:tcW w:w="2604" w:type="dxa"/>
            <w:vAlign w:val="center"/>
          </w:tcPr>
          <w:p w:rsidR="00132BAA" w:rsidRDefault="00B31A4A">
            <w:pPr>
              <w:spacing w:before="60" w:after="60" w:line="200" w:lineRule="exact"/>
              <w:jc w:val="right"/>
              <w:rPr>
                <w:noProof/>
                <w:sz w:val="16"/>
                <w:szCs w:val="16"/>
              </w:rPr>
            </w:pPr>
            <w:r>
              <w:rPr>
                <w:noProof/>
                <w:sz w:val="16"/>
              </w:rPr>
              <w:t>0,625</w:t>
            </w:r>
          </w:p>
        </w:tc>
        <w:tc>
          <w:tcPr>
            <w:tcW w:w="2604" w:type="dxa"/>
            <w:vAlign w:val="center"/>
          </w:tcPr>
          <w:p w:rsidR="00132BAA" w:rsidRDefault="00B31A4A">
            <w:pPr>
              <w:spacing w:before="60" w:after="60" w:line="200" w:lineRule="exact"/>
              <w:jc w:val="right"/>
              <w:rPr>
                <w:noProof/>
                <w:sz w:val="16"/>
                <w:szCs w:val="16"/>
              </w:rPr>
            </w:pPr>
            <w:r>
              <w:rPr>
                <w:noProof/>
                <w:sz w:val="16"/>
              </w:rPr>
              <w:t>0,625</w:t>
            </w:r>
          </w:p>
        </w:tc>
        <w:tc>
          <w:tcPr>
            <w:tcW w:w="2604" w:type="dxa"/>
            <w:vAlign w:val="center"/>
          </w:tcPr>
          <w:p w:rsidR="00132BAA" w:rsidRDefault="00B31A4A">
            <w:pPr>
              <w:spacing w:before="60" w:after="60" w:line="200" w:lineRule="exact"/>
              <w:jc w:val="right"/>
              <w:rPr>
                <w:b/>
                <w:noProof/>
                <w:sz w:val="16"/>
                <w:szCs w:val="16"/>
              </w:rPr>
            </w:pPr>
            <w:r>
              <w:rPr>
                <w:b/>
                <w:noProof/>
                <w:sz w:val="16"/>
              </w:rPr>
              <w:t>1,250</w:t>
            </w:r>
          </w:p>
        </w:tc>
      </w:tr>
      <w:tr w:rsidR="00132BAA">
        <w:trPr>
          <w:trHeight w:val="585"/>
        </w:trPr>
        <w:tc>
          <w:tcPr>
            <w:tcW w:w="1980" w:type="dxa"/>
            <w:shd w:val="clear" w:color="auto" w:fill="CCCCCC"/>
            <w:vAlign w:val="center"/>
          </w:tcPr>
          <w:p w:rsidR="00132BAA" w:rsidRDefault="00B31A4A">
            <w:pPr>
              <w:spacing w:before="60" w:after="60" w:line="200" w:lineRule="exact"/>
              <w:jc w:val="center"/>
              <w:rPr>
                <w:b/>
                <w:noProof/>
                <w:sz w:val="16"/>
                <w:szCs w:val="16"/>
              </w:rPr>
            </w:pPr>
            <w:r>
              <w:rPr>
                <w:b/>
                <w:noProof/>
                <w:sz w:val="16"/>
                <w:szCs w:val="16"/>
              </w:rPr>
              <w:t xml:space="preserve">Daudzgadu finanšu shēmas </w:t>
            </w:r>
            <w:r>
              <w:rPr>
                <w:noProof/>
                <w:sz w:val="16"/>
                <w:szCs w:val="16"/>
              </w:rPr>
              <w:br/>
            </w:r>
            <w:r>
              <w:rPr>
                <w:b/>
                <w:noProof/>
                <w:sz w:val="16"/>
                <w:szCs w:val="16"/>
              </w:rPr>
              <w:t xml:space="preserve">5. IZDEVUMU KATEGORIJAS starpsumma </w:t>
            </w:r>
          </w:p>
        </w:tc>
        <w:tc>
          <w:tcPr>
            <w:tcW w:w="2604" w:type="dxa"/>
            <w:vAlign w:val="center"/>
          </w:tcPr>
          <w:p w:rsidR="00132BAA" w:rsidRDefault="00B31A4A">
            <w:pPr>
              <w:spacing w:before="60" w:after="60" w:line="200" w:lineRule="exact"/>
              <w:jc w:val="right"/>
              <w:rPr>
                <w:noProof/>
                <w:sz w:val="16"/>
                <w:szCs w:val="16"/>
              </w:rPr>
            </w:pPr>
            <w:r>
              <w:rPr>
                <w:noProof/>
                <w:sz w:val="16"/>
                <w:szCs w:val="16"/>
              </w:rPr>
              <w:t>12,475</w:t>
            </w:r>
          </w:p>
        </w:tc>
        <w:tc>
          <w:tcPr>
            <w:tcW w:w="2604" w:type="dxa"/>
            <w:vAlign w:val="center"/>
          </w:tcPr>
          <w:p w:rsidR="00132BAA" w:rsidRDefault="00B31A4A">
            <w:pPr>
              <w:spacing w:before="60" w:after="60" w:line="200" w:lineRule="exact"/>
              <w:jc w:val="right"/>
              <w:rPr>
                <w:noProof/>
                <w:sz w:val="16"/>
                <w:szCs w:val="16"/>
              </w:rPr>
            </w:pPr>
            <w:r>
              <w:rPr>
                <w:noProof/>
                <w:sz w:val="16"/>
                <w:szCs w:val="16"/>
              </w:rPr>
              <w:t>12,508</w:t>
            </w:r>
          </w:p>
        </w:tc>
        <w:tc>
          <w:tcPr>
            <w:tcW w:w="2604" w:type="dxa"/>
            <w:vAlign w:val="center"/>
          </w:tcPr>
          <w:p w:rsidR="00132BAA" w:rsidRDefault="00B31A4A">
            <w:pPr>
              <w:spacing w:before="60" w:after="60" w:line="200" w:lineRule="exact"/>
              <w:jc w:val="right"/>
              <w:rPr>
                <w:b/>
                <w:noProof/>
                <w:sz w:val="16"/>
                <w:szCs w:val="16"/>
              </w:rPr>
            </w:pPr>
            <w:r>
              <w:rPr>
                <w:b/>
                <w:noProof/>
                <w:sz w:val="16"/>
                <w:szCs w:val="16"/>
              </w:rPr>
              <w:t>24,983</w:t>
            </w:r>
          </w:p>
        </w:tc>
      </w:tr>
    </w:tbl>
    <w:p w:rsidR="00132BAA" w:rsidRDefault="00132BAA">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2604"/>
        <w:gridCol w:w="2604"/>
        <w:gridCol w:w="2604"/>
      </w:tblGrid>
      <w:tr w:rsidR="00132BAA">
        <w:trPr>
          <w:trHeight w:val="585"/>
        </w:trPr>
        <w:tc>
          <w:tcPr>
            <w:tcW w:w="1980" w:type="dxa"/>
            <w:shd w:val="clear" w:color="auto" w:fill="CCCCCC"/>
            <w:vAlign w:val="center"/>
          </w:tcPr>
          <w:p w:rsidR="00132BAA" w:rsidRDefault="00B31A4A">
            <w:pPr>
              <w:spacing w:before="60" w:after="60" w:line="200" w:lineRule="exact"/>
              <w:jc w:val="center"/>
              <w:rPr>
                <w:noProof/>
                <w:sz w:val="16"/>
                <w:szCs w:val="16"/>
              </w:rPr>
            </w:pPr>
            <w:r>
              <w:rPr>
                <w:b/>
                <w:noProof/>
                <w:sz w:val="16"/>
                <w:szCs w:val="16"/>
              </w:rPr>
              <w:t xml:space="preserve">Ārpus daudzgadu finanšu shēmas </w:t>
            </w:r>
            <w:r>
              <w:rPr>
                <w:noProof/>
                <w:sz w:val="16"/>
                <w:szCs w:val="16"/>
              </w:rPr>
              <w:br/>
            </w:r>
            <w:r>
              <w:rPr>
                <w:b/>
                <w:noProof/>
                <w:sz w:val="16"/>
                <w:szCs w:val="16"/>
              </w:rPr>
              <w:t>5. IZDEVUMU KATEGORIJAS</w:t>
            </w:r>
            <w:r>
              <w:rPr>
                <w:rStyle w:val="FootnoteReference"/>
                <w:b/>
                <w:noProof/>
                <w:sz w:val="16"/>
                <w:szCs w:val="16"/>
              </w:rPr>
              <w:footnoteReference w:id="39"/>
            </w:r>
            <w:r>
              <w:rPr>
                <w:b/>
                <w:noProof/>
                <w:sz w:val="16"/>
                <w:szCs w:val="16"/>
              </w:rPr>
              <w:t xml:space="preserve"> </w:t>
            </w:r>
          </w:p>
          <w:p w:rsidR="00132BAA" w:rsidRDefault="00132BAA">
            <w:pPr>
              <w:spacing w:after="0" w:line="200" w:lineRule="exact"/>
              <w:jc w:val="center"/>
              <w:rPr>
                <w:b/>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b/>
                <w:noProof/>
                <w:sz w:val="16"/>
                <w:szCs w:val="16"/>
              </w:rPr>
            </w:pPr>
          </w:p>
        </w:tc>
      </w:tr>
      <w:tr w:rsidR="00132BAA">
        <w:trPr>
          <w:trHeight w:val="585"/>
        </w:trPr>
        <w:tc>
          <w:tcPr>
            <w:tcW w:w="1980" w:type="dxa"/>
            <w:vAlign w:val="center"/>
          </w:tcPr>
          <w:p w:rsidR="00132BAA" w:rsidRDefault="00B31A4A">
            <w:pPr>
              <w:spacing w:before="60" w:after="60" w:line="200" w:lineRule="exact"/>
              <w:ind w:left="72"/>
              <w:jc w:val="left"/>
              <w:rPr>
                <w:noProof/>
                <w:sz w:val="16"/>
                <w:szCs w:val="16"/>
              </w:rPr>
            </w:pPr>
            <w:r>
              <w:rPr>
                <w:noProof/>
                <w:sz w:val="16"/>
              </w:rPr>
              <w:t xml:space="preserve">Cilvēkresursi </w:t>
            </w: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b/>
                <w:noProof/>
                <w:sz w:val="16"/>
                <w:szCs w:val="16"/>
              </w:rPr>
            </w:pPr>
          </w:p>
        </w:tc>
      </w:tr>
      <w:tr w:rsidR="00132BAA">
        <w:trPr>
          <w:trHeight w:val="585"/>
        </w:trPr>
        <w:tc>
          <w:tcPr>
            <w:tcW w:w="1980" w:type="dxa"/>
            <w:vAlign w:val="center"/>
          </w:tcPr>
          <w:p w:rsidR="00132BAA" w:rsidRDefault="00B31A4A">
            <w:pPr>
              <w:spacing w:before="60" w:after="60" w:line="200" w:lineRule="exact"/>
              <w:ind w:left="72"/>
              <w:jc w:val="left"/>
              <w:rPr>
                <w:noProof/>
                <w:sz w:val="16"/>
                <w:szCs w:val="16"/>
              </w:rPr>
            </w:pPr>
            <w:r>
              <w:rPr>
                <w:noProof/>
                <w:sz w:val="16"/>
                <w:szCs w:val="16"/>
              </w:rPr>
              <w:t xml:space="preserve">Citi administratīvie </w:t>
            </w:r>
            <w:r>
              <w:rPr>
                <w:noProof/>
                <w:sz w:val="16"/>
                <w:szCs w:val="16"/>
              </w:rPr>
              <w:br/>
              <w:t>izdevumi</w:t>
            </w: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b/>
                <w:noProof/>
                <w:sz w:val="16"/>
                <w:szCs w:val="16"/>
              </w:rPr>
            </w:pPr>
          </w:p>
        </w:tc>
      </w:tr>
      <w:tr w:rsidR="00132BAA">
        <w:trPr>
          <w:trHeight w:val="585"/>
        </w:trPr>
        <w:tc>
          <w:tcPr>
            <w:tcW w:w="1980" w:type="dxa"/>
            <w:shd w:val="clear" w:color="auto" w:fill="CCCCCC"/>
            <w:vAlign w:val="center"/>
          </w:tcPr>
          <w:p w:rsidR="00132BAA" w:rsidRDefault="00B31A4A">
            <w:pPr>
              <w:spacing w:before="60" w:after="60" w:line="200" w:lineRule="exact"/>
              <w:jc w:val="center"/>
              <w:rPr>
                <w:b/>
                <w:noProof/>
                <w:sz w:val="16"/>
                <w:szCs w:val="16"/>
              </w:rPr>
            </w:pPr>
            <w:r>
              <w:rPr>
                <w:b/>
                <w:noProof/>
                <w:sz w:val="16"/>
                <w:szCs w:val="16"/>
              </w:rPr>
              <w:t xml:space="preserve">Starpsumma — </w:t>
            </w:r>
            <w:r>
              <w:rPr>
                <w:noProof/>
                <w:sz w:val="16"/>
                <w:szCs w:val="16"/>
              </w:rPr>
              <w:br/>
            </w:r>
            <w:r>
              <w:rPr>
                <w:b/>
                <w:noProof/>
                <w:sz w:val="16"/>
                <w:szCs w:val="16"/>
              </w:rPr>
              <w:t xml:space="preserve">ārpus daudzgadu finanšu shēmas </w:t>
            </w:r>
            <w:r>
              <w:rPr>
                <w:noProof/>
                <w:sz w:val="16"/>
                <w:szCs w:val="16"/>
              </w:rPr>
              <w:br/>
            </w:r>
            <w:r>
              <w:rPr>
                <w:b/>
                <w:noProof/>
                <w:sz w:val="16"/>
                <w:szCs w:val="16"/>
              </w:rPr>
              <w:t xml:space="preserve">5. IZDEVUMU KATEGORIJAS </w:t>
            </w: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noProof/>
                <w:sz w:val="16"/>
                <w:szCs w:val="16"/>
              </w:rPr>
            </w:pPr>
          </w:p>
        </w:tc>
        <w:tc>
          <w:tcPr>
            <w:tcW w:w="2604" w:type="dxa"/>
            <w:vAlign w:val="center"/>
          </w:tcPr>
          <w:p w:rsidR="00132BAA" w:rsidRDefault="00132BAA">
            <w:pPr>
              <w:spacing w:before="60" w:after="60" w:line="200" w:lineRule="exact"/>
              <w:jc w:val="right"/>
              <w:rPr>
                <w:b/>
                <w:noProof/>
                <w:sz w:val="16"/>
                <w:szCs w:val="16"/>
              </w:rPr>
            </w:pPr>
          </w:p>
        </w:tc>
      </w:tr>
    </w:tbl>
    <w:p w:rsidR="00132BAA" w:rsidRDefault="00132BAA">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1980"/>
        <w:gridCol w:w="2604"/>
        <w:gridCol w:w="2604"/>
        <w:gridCol w:w="2604"/>
      </w:tblGrid>
      <w:tr w:rsidR="00132BA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32BAA" w:rsidRDefault="00B31A4A">
            <w:pPr>
              <w:spacing w:before="60" w:after="60" w:line="200" w:lineRule="exact"/>
              <w:jc w:val="center"/>
              <w:rPr>
                <w:noProof/>
                <w:sz w:val="16"/>
                <w:szCs w:val="16"/>
              </w:rPr>
            </w:pPr>
            <w:r>
              <w:rPr>
                <w:b/>
                <w:noProof/>
                <w:sz w:val="16"/>
              </w:rPr>
              <w:t>KOPĀ</w:t>
            </w:r>
          </w:p>
        </w:tc>
        <w:tc>
          <w:tcPr>
            <w:tcW w:w="2604" w:type="dxa"/>
            <w:tcBorders>
              <w:top w:val="single" w:sz="12" w:space="0" w:color="auto"/>
              <w:left w:val="single" w:sz="2" w:space="0" w:color="auto"/>
              <w:bottom w:val="single" w:sz="12" w:space="0" w:color="auto"/>
              <w:right w:val="single" w:sz="2" w:space="0" w:color="auto"/>
            </w:tcBorders>
            <w:vAlign w:val="center"/>
          </w:tcPr>
          <w:p w:rsidR="00132BAA" w:rsidRDefault="00B31A4A">
            <w:pPr>
              <w:spacing w:before="60" w:after="60" w:line="200" w:lineRule="exact"/>
              <w:jc w:val="right"/>
              <w:rPr>
                <w:b/>
                <w:noProof/>
                <w:sz w:val="16"/>
                <w:szCs w:val="16"/>
              </w:rPr>
            </w:pPr>
            <w:r>
              <w:rPr>
                <w:b/>
                <w:noProof/>
                <w:sz w:val="16"/>
              </w:rPr>
              <w:t>12,475</w:t>
            </w:r>
          </w:p>
        </w:tc>
        <w:tc>
          <w:tcPr>
            <w:tcW w:w="2604" w:type="dxa"/>
            <w:tcBorders>
              <w:top w:val="single" w:sz="12" w:space="0" w:color="auto"/>
              <w:left w:val="single" w:sz="2" w:space="0" w:color="auto"/>
              <w:bottom w:val="single" w:sz="12" w:space="0" w:color="auto"/>
              <w:right w:val="single" w:sz="2" w:space="0" w:color="auto"/>
            </w:tcBorders>
            <w:vAlign w:val="center"/>
          </w:tcPr>
          <w:p w:rsidR="00132BAA" w:rsidRDefault="00B31A4A">
            <w:pPr>
              <w:spacing w:before="60" w:after="60" w:line="200" w:lineRule="exact"/>
              <w:jc w:val="right"/>
              <w:rPr>
                <w:b/>
                <w:noProof/>
                <w:sz w:val="16"/>
                <w:szCs w:val="16"/>
              </w:rPr>
            </w:pPr>
            <w:r>
              <w:rPr>
                <w:b/>
                <w:noProof/>
                <w:sz w:val="16"/>
              </w:rPr>
              <w:t>12,508</w:t>
            </w:r>
          </w:p>
        </w:tc>
        <w:tc>
          <w:tcPr>
            <w:tcW w:w="2604" w:type="dxa"/>
            <w:tcBorders>
              <w:top w:val="single" w:sz="12" w:space="0" w:color="auto"/>
              <w:left w:val="single" w:sz="2" w:space="0" w:color="auto"/>
              <w:bottom w:val="single" w:sz="12" w:space="0" w:color="auto"/>
              <w:right w:val="single" w:sz="12" w:space="0" w:color="auto"/>
            </w:tcBorders>
            <w:vAlign w:val="center"/>
          </w:tcPr>
          <w:p w:rsidR="00132BAA" w:rsidRDefault="00B31A4A">
            <w:pPr>
              <w:spacing w:before="60" w:after="60" w:line="200" w:lineRule="exact"/>
              <w:jc w:val="right"/>
              <w:rPr>
                <w:b/>
                <w:noProof/>
                <w:sz w:val="16"/>
                <w:szCs w:val="16"/>
              </w:rPr>
            </w:pPr>
            <w:r>
              <w:rPr>
                <w:b/>
                <w:noProof/>
                <w:sz w:val="16"/>
              </w:rPr>
              <w:t>24,983</w:t>
            </w:r>
          </w:p>
        </w:tc>
      </w:tr>
    </w:tbl>
    <w:p w:rsidR="00132BAA" w:rsidRDefault="00B31A4A">
      <w:pPr>
        <w:rPr>
          <w:noProof/>
          <w:sz w:val="18"/>
        </w:rPr>
      </w:pPr>
      <w:r>
        <w:rPr>
          <w:noProof/>
          <w:sz w:val="18"/>
        </w:rPr>
        <w:t xml:space="preserve">Vajadzīgās cilvēkresursu un citu </w:t>
      </w:r>
      <w:r>
        <w:rPr>
          <w:noProof/>
          <w:sz w:val="18"/>
        </w:rPr>
        <w:t>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w:t>
      </w:r>
      <w:r>
        <w:rPr>
          <w:noProof/>
          <w:sz w:val="18"/>
        </w:rPr>
        <w:t>ķirtus papildu resursus un ņemot vērā budžeta ierobežojumus.</w:t>
      </w:r>
    </w:p>
    <w:p w:rsidR="00132BAA" w:rsidRDefault="00132BAA">
      <w:pPr>
        <w:rPr>
          <w:noProof/>
          <w:sz w:val="18"/>
        </w:rPr>
        <w:sectPr w:rsidR="00132BAA">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132BAA" w:rsidRDefault="00B31A4A">
      <w:pPr>
        <w:pStyle w:val="ManualHeading4"/>
        <w:rPr>
          <w:bCs/>
          <w:noProof/>
          <w:szCs w:val="24"/>
        </w:rPr>
      </w:pPr>
      <w:r>
        <w:lastRenderedPageBreak/>
        <w:t>3.2.3.2.</w:t>
      </w:r>
      <w:r>
        <w:tab/>
      </w:r>
      <w:r>
        <w:rPr>
          <w:noProof/>
        </w:rPr>
        <w:t>Paredzamās vajadzības pēc cilvēkresursiem</w:t>
      </w:r>
    </w:p>
    <w:p w:rsidR="00132BAA" w:rsidRDefault="00B31A4A">
      <w:pPr>
        <w:pStyle w:val="ListDash1"/>
        <w:rPr>
          <w:noProof/>
        </w:rPr>
      </w:pPr>
      <w:r>
        <w:rPr>
          <w:noProof/>
        </w:rPr>
        <w:sym w:font="Wingdings" w:char="F0A8"/>
      </w:r>
      <w:r>
        <w:rPr>
          <w:noProof/>
        </w:rPr>
        <w:tab/>
      </w:r>
      <w:r>
        <w:rPr>
          <w:noProof/>
        </w:rPr>
        <w:t xml:space="preserve">Priekšlikums/iniciatīva neparedz cilvēkresursu izmantošanu </w:t>
      </w:r>
    </w:p>
    <w:p w:rsidR="00132BAA" w:rsidRDefault="00B31A4A">
      <w:pPr>
        <w:pStyle w:val="ListDash1"/>
        <w:rPr>
          <w:noProof/>
        </w:rPr>
      </w:pPr>
      <w:r>
        <w:rPr>
          <w:noProof/>
        </w:rPr>
        <w:sym w:font="Wingdings" w:char="F0FD"/>
      </w:r>
      <w:r>
        <w:rPr>
          <w:noProof/>
        </w:rPr>
        <w:tab/>
        <w:t>Priekšlikums/iniciatīva paredz cilvēkresursu izmantošanu šādā veidā:</w:t>
      </w:r>
    </w:p>
    <w:p w:rsidR="00132BAA" w:rsidRDefault="00B31A4A">
      <w:pPr>
        <w:spacing w:after="60"/>
        <w:jc w:val="right"/>
        <w:rPr>
          <w:i/>
          <w:noProof/>
          <w:sz w:val="20"/>
        </w:rPr>
      </w:pPr>
      <w:r>
        <w:rPr>
          <w:i/>
          <w:noProof/>
          <w:sz w:val="20"/>
        </w:rPr>
        <w:t>Aplēse izsakāma ar pilnslodzes ekvivalentu</w:t>
      </w:r>
    </w:p>
    <w:tbl>
      <w:tblPr>
        <w:tblW w:w="3300" w:type="pct"/>
        <w:jc w:val="center"/>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57"/>
        <w:gridCol w:w="1954"/>
        <w:gridCol w:w="1059"/>
        <w:gridCol w:w="1059"/>
      </w:tblGrid>
      <w:tr w:rsidR="00132BAA">
        <w:trPr>
          <w:trHeight w:val="289"/>
          <w:jc w:val="center"/>
        </w:trPr>
        <w:tc>
          <w:tcPr>
            <w:tcW w:w="3272" w:type="pct"/>
            <w:gridSpan w:val="2"/>
            <w:shd w:val="clear" w:color="auto" w:fill="auto"/>
          </w:tcPr>
          <w:p w:rsidR="00132BAA" w:rsidRDefault="00132BAA">
            <w:pPr>
              <w:pStyle w:val="Text1"/>
              <w:spacing w:before="40" w:after="40"/>
              <w:jc w:val="center"/>
              <w:rPr>
                <w:i/>
                <w:noProof/>
                <w:sz w:val="16"/>
                <w:szCs w:val="16"/>
              </w:rPr>
            </w:pPr>
          </w:p>
        </w:tc>
        <w:tc>
          <w:tcPr>
            <w:tcW w:w="864" w:type="pct"/>
            <w:shd w:val="clear" w:color="auto" w:fill="auto"/>
            <w:vAlign w:val="center"/>
          </w:tcPr>
          <w:p w:rsidR="00132BAA" w:rsidRDefault="00B31A4A">
            <w:pPr>
              <w:spacing w:before="20" w:after="20"/>
              <w:jc w:val="center"/>
              <w:rPr>
                <w:noProof/>
                <w:sz w:val="16"/>
                <w:szCs w:val="16"/>
              </w:rPr>
            </w:pPr>
            <w:r>
              <w:rPr>
                <w:b/>
                <w:noProof/>
                <w:sz w:val="16"/>
                <w:szCs w:val="16"/>
              </w:rPr>
              <w:t>2019.</w:t>
            </w:r>
            <w:r>
              <w:rPr>
                <w:noProof/>
                <w:sz w:val="16"/>
                <w:szCs w:val="16"/>
              </w:rPr>
              <w:br/>
              <w:t>gads</w:t>
            </w:r>
          </w:p>
        </w:tc>
        <w:tc>
          <w:tcPr>
            <w:tcW w:w="864" w:type="pct"/>
            <w:shd w:val="clear" w:color="auto" w:fill="auto"/>
            <w:vAlign w:val="center"/>
          </w:tcPr>
          <w:p w:rsidR="00132BAA" w:rsidRDefault="00B31A4A">
            <w:pPr>
              <w:spacing w:before="20" w:after="20"/>
              <w:jc w:val="center"/>
              <w:rPr>
                <w:noProof/>
                <w:sz w:val="16"/>
                <w:szCs w:val="16"/>
              </w:rPr>
            </w:pPr>
            <w:r>
              <w:rPr>
                <w:b/>
                <w:noProof/>
                <w:sz w:val="16"/>
                <w:szCs w:val="16"/>
              </w:rPr>
              <w:t>2020.</w:t>
            </w:r>
            <w:r>
              <w:rPr>
                <w:noProof/>
                <w:sz w:val="16"/>
                <w:szCs w:val="16"/>
              </w:rPr>
              <w:br/>
              <w:t>gads</w:t>
            </w:r>
          </w:p>
        </w:tc>
      </w:tr>
      <w:tr w:rsidR="00132BAA">
        <w:trPr>
          <w:trHeight w:val="289"/>
          <w:jc w:val="center"/>
        </w:trPr>
        <w:tc>
          <w:tcPr>
            <w:tcW w:w="5000" w:type="pct"/>
            <w:gridSpan w:val="4"/>
            <w:shd w:val="clear" w:color="auto" w:fill="auto"/>
          </w:tcPr>
          <w:p w:rsidR="00132BAA" w:rsidRDefault="00B31A4A">
            <w:pPr>
              <w:spacing w:before="20" w:after="20"/>
              <w:rPr>
                <w:noProof/>
                <w:sz w:val="16"/>
                <w:szCs w:val="16"/>
              </w:rPr>
            </w:pPr>
            <w:r>
              <w:rPr>
                <w:b/>
                <w:noProof/>
                <w:sz w:val="16"/>
              </w:rPr>
              <w:sym w:font="Wingdings" w:char="F09F"/>
            </w:r>
            <w:r>
              <w:rPr>
                <w:b/>
                <w:noProof/>
                <w:sz w:val="16"/>
              </w:rPr>
              <w:t>Štatu sarakstā ietvertās amata vietas (ierēdņi un pagaidu</w:t>
            </w:r>
            <w:r>
              <w:rPr>
                <w:b/>
                <w:noProof/>
                <w:sz w:val="16"/>
              </w:rPr>
              <w:t xml:space="preserve"> darbinieki)</w:t>
            </w: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4"/>
              <w:jc w:val="left"/>
              <w:rPr>
                <w:b/>
                <w:noProof/>
                <w:sz w:val="16"/>
                <w:szCs w:val="16"/>
              </w:rPr>
            </w:pPr>
            <w:r>
              <w:rPr>
                <w:noProof/>
                <w:sz w:val="16"/>
              </w:rPr>
              <w:t>29 01 01 01 (Galvenā mītne un Komisijas pārstāvniecības)</w:t>
            </w:r>
          </w:p>
        </w:tc>
        <w:tc>
          <w:tcPr>
            <w:tcW w:w="864" w:type="pct"/>
            <w:shd w:val="clear" w:color="auto" w:fill="auto"/>
            <w:vAlign w:val="center"/>
          </w:tcPr>
          <w:p w:rsidR="00132BAA" w:rsidRDefault="00B31A4A">
            <w:pPr>
              <w:spacing w:beforeLines="20" w:before="48" w:afterLines="20" w:after="48"/>
              <w:jc w:val="center"/>
              <w:rPr>
                <w:noProof/>
                <w:sz w:val="16"/>
                <w:szCs w:val="16"/>
              </w:rPr>
            </w:pPr>
            <w:r>
              <w:rPr>
                <w:noProof/>
                <w:sz w:val="16"/>
              </w:rPr>
              <w:t>74,67</w:t>
            </w:r>
          </w:p>
        </w:tc>
        <w:tc>
          <w:tcPr>
            <w:tcW w:w="864" w:type="pct"/>
            <w:shd w:val="clear" w:color="auto" w:fill="auto"/>
            <w:vAlign w:val="center"/>
          </w:tcPr>
          <w:p w:rsidR="00132BAA" w:rsidRDefault="00B31A4A">
            <w:pPr>
              <w:spacing w:beforeLines="20" w:before="48" w:afterLines="20" w:after="48"/>
              <w:jc w:val="center"/>
              <w:rPr>
                <w:noProof/>
                <w:sz w:val="16"/>
                <w:szCs w:val="16"/>
              </w:rPr>
            </w:pPr>
            <w:r>
              <w:rPr>
                <w:noProof/>
                <w:sz w:val="16"/>
              </w:rPr>
              <w:t>74,92</w:t>
            </w: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4"/>
              <w:jc w:val="left"/>
              <w:rPr>
                <w:noProof/>
                <w:sz w:val="16"/>
                <w:szCs w:val="16"/>
              </w:rPr>
            </w:pPr>
            <w:r>
              <w:rPr>
                <w:noProof/>
                <w:sz w:val="16"/>
              </w:rPr>
              <w:t>XX 01 01 02 (Delegācijas)</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4"/>
              <w:jc w:val="left"/>
              <w:rPr>
                <w:noProof/>
                <w:sz w:val="16"/>
                <w:szCs w:val="16"/>
              </w:rPr>
            </w:pPr>
            <w:r>
              <w:rPr>
                <w:noProof/>
                <w:sz w:val="16"/>
              </w:rPr>
              <w:t>XX 01 05 01 (Netiešā pētniecība)</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4"/>
              <w:jc w:val="left"/>
              <w:rPr>
                <w:noProof/>
                <w:sz w:val="16"/>
                <w:szCs w:val="16"/>
              </w:rPr>
            </w:pPr>
            <w:r>
              <w:rPr>
                <w:noProof/>
                <w:sz w:val="16"/>
              </w:rPr>
              <w:t>10 01 05 01 (Tiešā pētniecība)</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48"/>
          <w:jc w:val="center"/>
        </w:trPr>
        <w:tc>
          <w:tcPr>
            <w:tcW w:w="5000" w:type="pct"/>
            <w:gridSpan w:val="4"/>
            <w:shd w:val="clear" w:color="auto" w:fill="auto"/>
            <w:vAlign w:val="center"/>
          </w:tcPr>
          <w:p w:rsidR="00132BAA" w:rsidRDefault="00B31A4A">
            <w:pPr>
              <w:spacing w:before="20" w:after="20"/>
              <w:rPr>
                <w:b/>
                <w:noProof/>
                <w:sz w:val="16"/>
              </w:rPr>
            </w:pPr>
            <w:r>
              <w:rPr>
                <w:b/>
                <w:noProof/>
                <w:sz w:val="16"/>
              </w:rPr>
              <w:sym w:font="Wingdings" w:char="F09F"/>
            </w:r>
            <w:r>
              <w:rPr>
                <w:b/>
                <w:noProof/>
                <w:sz w:val="16"/>
              </w:rPr>
              <w:t xml:space="preserve">Ārštata darbinieki (izsakot ar pilnslodzes ekvivalentu – </w:t>
            </w:r>
            <w:r>
              <w:rPr>
                <w:b/>
                <w:i/>
                <w:noProof/>
                <w:sz w:val="16"/>
              </w:rPr>
              <w:t>FTE</w:t>
            </w:r>
            <w:r>
              <w:rPr>
                <w:b/>
                <w:noProof/>
                <w:sz w:val="16"/>
              </w:rPr>
              <w:t>)</w:t>
            </w:r>
            <w:r>
              <w:rPr>
                <w:rStyle w:val="FootnoteReference"/>
                <w:noProof/>
              </w:rPr>
              <w:footnoteReference w:id="40"/>
            </w:r>
          </w:p>
          <w:p w:rsidR="00132BAA" w:rsidRDefault="00132BAA">
            <w:pPr>
              <w:spacing w:before="20" w:after="20"/>
              <w:rPr>
                <w:b/>
                <w:noProof/>
                <w:sz w:val="16"/>
              </w:rPr>
            </w:pP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6"/>
              <w:jc w:val="left"/>
              <w:rPr>
                <w:b/>
                <w:noProof/>
                <w:sz w:val="16"/>
                <w:szCs w:val="16"/>
              </w:rPr>
            </w:pPr>
            <w:r>
              <w:rPr>
                <w:noProof/>
                <w:sz w:val="16"/>
              </w:rPr>
              <w:t xml:space="preserve">29 01 </w:t>
            </w:r>
            <w:r>
              <w:rPr>
                <w:noProof/>
                <w:sz w:val="16"/>
              </w:rPr>
              <w:t>02 01 (</w:t>
            </w:r>
            <w:r>
              <w:rPr>
                <w:i/>
                <w:noProof/>
                <w:sz w:val="16"/>
              </w:rPr>
              <w:t>CA, SNE, INT</w:t>
            </w:r>
            <w:r>
              <w:rPr>
                <w:noProof/>
                <w:sz w:val="16"/>
              </w:rPr>
              <w:t>, ko finansē no vispārīgajām apropriācijām)</w:t>
            </w:r>
          </w:p>
        </w:tc>
        <w:tc>
          <w:tcPr>
            <w:tcW w:w="864" w:type="pct"/>
            <w:shd w:val="clear" w:color="auto" w:fill="auto"/>
            <w:vAlign w:val="center"/>
          </w:tcPr>
          <w:p w:rsidR="00132BAA" w:rsidRDefault="00B31A4A">
            <w:pPr>
              <w:spacing w:beforeLines="20" w:before="48" w:afterLines="20" w:after="48"/>
              <w:jc w:val="center"/>
              <w:rPr>
                <w:noProof/>
                <w:sz w:val="16"/>
                <w:szCs w:val="16"/>
              </w:rPr>
            </w:pPr>
            <w:r>
              <w:rPr>
                <w:noProof/>
                <w:sz w:val="16"/>
              </w:rPr>
              <w:t>25</w:t>
            </w:r>
          </w:p>
        </w:tc>
        <w:tc>
          <w:tcPr>
            <w:tcW w:w="864" w:type="pct"/>
            <w:shd w:val="clear" w:color="auto" w:fill="auto"/>
            <w:vAlign w:val="center"/>
          </w:tcPr>
          <w:p w:rsidR="00132BAA" w:rsidRDefault="00B31A4A">
            <w:pPr>
              <w:spacing w:beforeLines="20" w:before="48" w:afterLines="20" w:after="48"/>
              <w:jc w:val="center"/>
              <w:rPr>
                <w:noProof/>
                <w:sz w:val="16"/>
                <w:szCs w:val="16"/>
              </w:rPr>
            </w:pPr>
            <w:r>
              <w:rPr>
                <w:noProof/>
                <w:sz w:val="16"/>
              </w:rPr>
              <w:t>25</w:t>
            </w: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6"/>
              <w:jc w:val="left"/>
              <w:rPr>
                <w:noProof/>
                <w:sz w:val="16"/>
                <w:szCs w:val="16"/>
              </w:rPr>
            </w:pPr>
            <w:r>
              <w:rPr>
                <w:noProof/>
                <w:sz w:val="16"/>
              </w:rPr>
              <w:t>XX 01 02 02 (</w:t>
            </w:r>
            <w:r>
              <w:rPr>
                <w:i/>
                <w:noProof/>
                <w:sz w:val="16"/>
              </w:rPr>
              <w:t>CA, LA, SNE, INT</w:t>
            </w:r>
            <w:r>
              <w:rPr>
                <w:noProof/>
                <w:sz w:val="16"/>
              </w:rPr>
              <w:t xml:space="preserve"> un </w:t>
            </w:r>
            <w:r>
              <w:rPr>
                <w:i/>
                <w:noProof/>
                <w:sz w:val="16"/>
              </w:rPr>
              <w:t>JED</w:t>
            </w:r>
            <w:r>
              <w:rPr>
                <w:noProof/>
                <w:sz w:val="16"/>
              </w:rPr>
              <w:t xml:space="preserve"> delegācijās)</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1678" w:type="pct"/>
            <w:vMerge w:val="restart"/>
            <w:shd w:val="clear" w:color="auto" w:fill="auto"/>
            <w:vAlign w:val="center"/>
          </w:tcPr>
          <w:p w:rsidR="00132BAA" w:rsidRDefault="00B31A4A">
            <w:pPr>
              <w:pStyle w:val="Text1"/>
              <w:spacing w:beforeLines="20" w:before="48" w:afterLines="20" w:after="48"/>
              <w:ind w:left="136"/>
              <w:jc w:val="left"/>
              <w:rPr>
                <w:b/>
                <w:noProof/>
                <w:sz w:val="16"/>
                <w:szCs w:val="16"/>
              </w:rPr>
            </w:pPr>
            <w:r>
              <w:rPr>
                <w:b/>
                <w:noProof/>
                <w:sz w:val="16"/>
              </w:rPr>
              <w:t>XX</w:t>
            </w:r>
            <w:r>
              <w:rPr>
                <w:noProof/>
              </w:rPr>
              <w:t xml:space="preserve"> </w:t>
            </w:r>
            <w:r>
              <w:rPr>
                <w:noProof/>
                <w:sz w:val="16"/>
              </w:rPr>
              <w:t xml:space="preserve">01 04 </w:t>
            </w:r>
            <w:r>
              <w:rPr>
                <w:b/>
                <w:noProof/>
                <w:sz w:val="16"/>
              </w:rPr>
              <w:t>gg</w:t>
            </w:r>
            <w:r>
              <w:rPr>
                <w:b/>
                <w:i/>
                <w:noProof/>
                <w:sz w:val="16"/>
              </w:rPr>
              <w:t xml:space="preserve"> </w:t>
            </w:r>
            <w:r>
              <w:rPr>
                <w:rStyle w:val="FootnoteReference"/>
                <w:b/>
                <w:i/>
                <w:noProof/>
                <w:sz w:val="16"/>
              </w:rPr>
              <w:footnoteReference w:id="41"/>
            </w:r>
          </w:p>
          <w:p w:rsidR="00132BAA" w:rsidRDefault="00132BAA">
            <w:pPr>
              <w:pStyle w:val="Text1"/>
              <w:spacing w:beforeLines="20" w:before="48" w:afterLines="20" w:after="48"/>
              <w:ind w:left="136"/>
              <w:jc w:val="left"/>
              <w:rPr>
                <w:b/>
                <w:noProof/>
                <w:sz w:val="16"/>
                <w:szCs w:val="16"/>
              </w:rPr>
            </w:pPr>
          </w:p>
        </w:tc>
        <w:tc>
          <w:tcPr>
            <w:tcW w:w="1594" w:type="pct"/>
            <w:shd w:val="clear" w:color="auto" w:fill="auto"/>
            <w:vAlign w:val="center"/>
          </w:tcPr>
          <w:p w:rsidR="00132BAA" w:rsidRDefault="00B31A4A">
            <w:pPr>
              <w:pStyle w:val="Text1"/>
              <w:spacing w:beforeLines="20" w:before="48" w:afterLines="20" w:after="48"/>
              <w:ind w:left="136"/>
              <w:jc w:val="left"/>
              <w:rPr>
                <w:b/>
                <w:noProof/>
                <w:sz w:val="16"/>
                <w:szCs w:val="16"/>
              </w:rPr>
            </w:pPr>
            <w:r>
              <w:rPr>
                <w:noProof/>
                <w:sz w:val="16"/>
              </w:rPr>
              <w:t>– galvenajā mītnē</w:t>
            </w:r>
          </w:p>
          <w:p w:rsidR="00132BAA" w:rsidRDefault="00132BAA">
            <w:pPr>
              <w:pStyle w:val="Text1"/>
              <w:spacing w:beforeLines="20" w:before="48" w:afterLines="20" w:after="48"/>
              <w:ind w:left="136"/>
              <w:jc w:val="left"/>
              <w:rPr>
                <w:b/>
                <w:noProof/>
                <w:sz w:val="16"/>
                <w:szCs w:val="16"/>
              </w:rPr>
            </w:pPr>
          </w:p>
        </w:tc>
        <w:tc>
          <w:tcPr>
            <w:tcW w:w="864" w:type="pct"/>
            <w:shd w:val="clear" w:color="auto" w:fill="auto"/>
            <w:vAlign w:val="center"/>
          </w:tcPr>
          <w:p w:rsidR="00132BAA" w:rsidRDefault="00132BAA">
            <w:pPr>
              <w:pStyle w:val="Text1"/>
              <w:spacing w:beforeLines="20" w:before="48" w:afterLines="20" w:after="48"/>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1678" w:type="pct"/>
            <w:vMerge/>
            <w:shd w:val="clear" w:color="auto" w:fill="auto"/>
            <w:vAlign w:val="center"/>
          </w:tcPr>
          <w:p w:rsidR="00132BAA" w:rsidRDefault="00132BAA">
            <w:pPr>
              <w:pStyle w:val="Text1"/>
              <w:spacing w:beforeLines="20" w:before="48" w:afterLines="20" w:after="48"/>
              <w:ind w:left="136"/>
              <w:jc w:val="left"/>
              <w:rPr>
                <w:b/>
                <w:noProof/>
                <w:sz w:val="16"/>
                <w:szCs w:val="16"/>
              </w:rPr>
            </w:pPr>
          </w:p>
        </w:tc>
        <w:tc>
          <w:tcPr>
            <w:tcW w:w="1594" w:type="pct"/>
            <w:shd w:val="clear" w:color="auto" w:fill="auto"/>
            <w:vAlign w:val="center"/>
          </w:tcPr>
          <w:p w:rsidR="00132BAA" w:rsidRDefault="00B31A4A">
            <w:pPr>
              <w:pStyle w:val="Text1"/>
              <w:spacing w:beforeLines="20" w:before="48" w:afterLines="20" w:after="48"/>
              <w:ind w:left="136"/>
              <w:jc w:val="left"/>
              <w:rPr>
                <w:b/>
                <w:noProof/>
                <w:sz w:val="16"/>
                <w:szCs w:val="16"/>
              </w:rPr>
            </w:pPr>
            <w:r>
              <w:rPr>
                <w:noProof/>
                <w:sz w:val="16"/>
              </w:rPr>
              <w:t xml:space="preserve">– delegācijās </w:t>
            </w:r>
          </w:p>
        </w:tc>
        <w:tc>
          <w:tcPr>
            <w:tcW w:w="864" w:type="pct"/>
            <w:shd w:val="clear" w:color="auto" w:fill="auto"/>
            <w:vAlign w:val="center"/>
          </w:tcPr>
          <w:p w:rsidR="00132BAA" w:rsidRDefault="00132BAA">
            <w:pPr>
              <w:pStyle w:val="Text1"/>
              <w:spacing w:beforeLines="20" w:before="48" w:afterLines="20" w:after="48"/>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netiešā pētniecība)</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shd w:val="clear" w:color="auto" w:fill="auto"/>
            <w:vAlign w:val="center"/>
          </w:tcPr>
          <w:p w:rsidR="00132BAA" w:rsidRDefault="00B31A4A">
            <w:pPr>
              <w:pStyle w:val="Text1"/>
              <w:spacing w:beforeLines="20" w:before="48" w:afterLines="20" w:after="48"/>
              <w:ind w:left="136"/>
              <w:jc w:val="left"/>
              <w:rPr>
                <w:noProof/>
                <w:sz w:val="16"/>
                <w:szCs w:val="16"/>
              </w:rPr>
            </w:pPr>
            <w:r>
              <w:rPr>
                <w:noProof/>
                <w:sz w:val="16"/>
              </w:rPr>
              <w:t xml:space="preserve">10 01 05 02 (AC, END, INT </w:t>
            </w:r>
            <w:r>
              <w:rPr>
                <w:noProof/>
                <w:sz w:val="16"/>
              </w:rPr>
              <w:t>– tiešā pētniecība)</w:t>
            </w:r>
          </w:p>
        </w:tc>
        <w:tc>
          <w:tcPr>
            <w:tcW w:w="864" w:type="pct"/>
            <w:shd w:val="clear" w:color="auto" w:fill="auto"/>
            <w:vAlign w:val="center"/>
          </w:tcPr>
          <w:p w:rsidR="00132BAA" w:rsidRDefault="00132BAA">
            <w:pPr>
              <w:spacing w:beforeLines="20" w:before="48" w:afterLines="20" w:after="48"/>
              <w:jc w:val="center"/>
              <w:rPr>
                <w:noProof/>
                <w:sz w:val="16"/>
                <w:szCs w:val="16"/>
              </w:rPr>
            </w:pPr>
          </w:p>
        </w:tc>
        <w:tc>
          <w:tcPr>
            <w:tcW w:w="864" w:type="pct"/>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tcBorders>
              <w:bottom w:val="double" w:sz="4" w:space="0" w:color="auto"/>
            </w:tcBorders>
            <w:shd w:val="clear" w:color="auto" w:fill="auto"/>
            <w:vAlign w:val="center"/>
          </w:tcPr>
          <w:p w:rsidR="00132BAA" w:rsidRDefault="00B31A4A">
            <w:pPr>
              <w:pStyle w:val="Text1"/>
              <w:spacing w:beforeLines="20" w:before="48" w:afterLines="20" w:after="48"/>
              <w:ind w:left="134"/>
              <w:jc w:val="left"/>
              <w:rPr>
                <w:noProof/>
                <w:sz w:val="16"/>
                <w:szCs w:val="16"/>
              </w:rPr>
            </w:pPr>
            <w:r>
              <w:rPr>
                <w:noProof/>
                <w:sz w:val="16"/>
              </w:rPr>
              <w:t>Citas budžeta pozīcijas (precizēt)</w:t>
            </w:r>
          </w:p>
        </w:tc>
        <w:tc>
          <w:tcPr>
            <w:tcW w:w="864" w:type="pct"/>
            <w:tcBorders>
              <w:bottom w:val="double" w:sz="4" w:space="0" w:color="auto"/>
            </w:tcBorders>
            <w:shd w:val="clear" w:color="auto" w:fill="auto"/>
            <w:vAlign w:val="center"/>
          </w:tcPr>
          <w:p w:rsidR="00132BAA" w:rsidRDefault="00132BAA">
            <w:pPr>
              <w:spacing w:beforeLines="20" w:before="48" w:afterLines="20" w:after="48"/>
              <w:jc w:val="center"/>
              <w:rPr>
                <w:noProof/>
                <w:sz w:val="16"/>
                <w:szCs w:val="16"/>
              </w:rPr>
            </w:pPr>
          </w:p>
        </w:tc>
        <w:tc>
          <w:tcPr>
            <w:tcW w:w="864" w:type="pct"/>
            <w:tcBorders>
              <w:bottom w:val="double" w:sz="4" w:space="0" w:color="auto"/>
            </w:tcBorders>
            <w:shd w:val="clear" w:color="auto" w:fill="auto"/>
            <w:vAlign w:val="center"/>
          </w:tcPr>
          <w:p w:rsidR="00132BAA" w:rsidRDefault="00132BAA">
            <w:pPr>
              <w:spacing w:beforeLines="20" w:before="48" w:afterLines="20" w:after="48"/>
              <w:jc w:val="center"/>
              <w:rPr>
                <w:noProof/>
                <w:sz w:val="16"/>
                <w:szCs w:val="16"/>
              </w:rPr>
            </w:pPr>
          </w:p>
        </w:tc>
      </w:tr>
      <w:tr w:rsidR="00132BAA">
        <w:trPr>
          <w:trHeight w:val="289"/>
          <w:jc w:val="center"/>
        </w:trPr>
        <w:tc>
          <w:tcPr>
            <w:tcW w:w="3272" w:type="pct"/>
            <w:gridSpan w:val="2"/>
            <w:tcBorders>
              <w:top w:val="double" w:sz="4" w:space="0" w:color="auto"/>
            </w:tcBorders>
            <w:shd w:val="clear" w:color="auto" w:fill="auto"/>
            <w:vAlign w:val="center"/>
          </w:tcPr>
          <w:p w:rsidR="00132BAA" w:rsidRDefault="00B31A4A">
            <w:pPr>
              <w:pStyle w:val="Text1"/>
              <w:spacing w:beforeLines="20" w:before="48" w:afterLines="20" w:after="48"/>
              <w:ind w:left="136"/>
              <w:jc w:val="left"/>
              <w:rPr>
                <w:noProof/>
                <w:sz w:val="16"/>
                <w:szCs w:val="16"/>
              </w:rPr>
            </w:pPr>
            <w:r>
              <w:rPr>
                <w:b/>
                <w:noProof/>
                <w:sz w:val="16"/>
              </w:rPr>
              <w:t>KOPĀ</w:t>
            </w:r>
          </w:p>
        </w:tc>
        <w:tc>
          <w:tcPr>
            <w:tcW w:w="864" w:type="pct"/>
            <w:tcBorders>
              <w:top w:val="double" w:sz="4" w:space="0" w:color="auto"/>
            </w:tcBorders>
            <w:shd w:val="clear" w:color="auto" w:fill="auto"/>
            <w:vAlign w:val="center"/>
          </w:tcPr>
          <w:p w:rsidR="00132BAA" w:rsidRDefault="00B31A4A">
            <w:pPr>
              <w:spacing w:beforeLines="20" w:before="48" w:afterLines="20" w:after="48"/>
              <w:jc w:val="center"/>
              <w:rPr>
                <w:b/>
                <w:noProof/>
                <w:sz w:val="16"/>
                <w:szCs w:val="16"/>
              </w:rPr>
            </w:pPr>
            <w:r>
              <w:rPr>
                <w:b/>
                <w:noProof/>
                <w:sz w:val="16"/>
              </w:rPr>
              <w:t>99,67</w:t>
            </w:r>
          </w:p>
        </w:tc>
        <w:tc>
          <w:tcPr>
            <w:tcW w:w="864" w:type="pct"/>
            <w:tcBorders>
              <w:top w:val="double" w:sz="4" w:space="0" w:color="auto"/>
            </w:tcBorders>
            <w:shd w:val="clear" w:color="auto" w:fill="auto"/>
            <w:vAlign w:val="center"/>
          </w:tcPr>
          <w:p w:rsidR="00132BAA" w:rsidRDefault="00B31A4A">
            <w:pPr>
              <w:spacing w:beforeLines="20" w:before="48" w:afterLines="20" w:after="48"/>
              <w:jc w:val="center"/>
              <w:rPr>
                <w:b/>
                <w:noProof/>
                <w:sz w:val="16"/>
                <w:szCs w:val="16"/>
              </w:rPr>
            </w:pPr>
            <w:r>
              <w:rPr>
                <w:b/>
                <w:noProof/>
                <w:sz w:val="16"/>
              </w:rPr>
              <w:t>99,92</w:t>
            </w:r>
          </w:p>
        </w:tc>
      </w:tr>
    </w:tbl>
    <w:p w:rsidR="00132BAA" w:rsidRDefault="00B31A4A">
      <w:pPr>
        <w:pStyle w:val="Text1"/>
        <w:spacing w:before="60" w:after="60"/>
        <w:ind w:left="851"/>
        <w:rPr>
          <w:noProof/>
          <w:sz w:val="18"/>
          <w:szCs w:val="18"/>
        </w:rPr>
      </w:pPr>
      <w:r>
        <w:rPr>
          <w:b/>
          <w:noProof/>
          <w:sz w:val="18"/>
        </w:rPr>
        <w:t>XX</w:t>
      </w:r>
      <w:r>
        <w:rPr>
          <w:noProof/>
          <w:sz w:val="18"/>
        </w:rPr>
        <w:t xml:space="preserve"> ir attiecīgā politikas joma vai budžeta sadaļa.</w:t>
      </w:r>
    </w:p>
    <w:p w:rsidR="00132BAA" w:rsidRDefault="00B31A4A">
      <w:pPr>
        <w:pStyle w:val="Text1"/>
        <w:rPr>
          <w:noProof/>
          <w:sz w:val="18"/>
          <w:szCs w:val="18"/>
        </w:rPr>
      </w:pPr>
      <w:r>
        <w:rPr>
          <w:noProof/>
          <w:sz w:val="18"/>
        </w:rPr>
        <w:t xml:space="preserve">Vajadzības pēc cilvēkresursiem tiks nodrošinātas, izmantojot attiecīgā ĢD darbiniekus, kuri jau ir iesaistīti konkrētās </w:t>
      </w:r>
      <w:r>
        <w:rPr>
          <w:noProof/>
          <w:sz w:val="18"/>
        </w:rPr>
        <w:t>darbības pārvaldībā un/vai ir pārgrupēti attiecīgajā ģenerāldirektorātā, vajadzības gadījumā izmantojot arī vadošajam ĢD gada budžeta sadales procedūrā piešķirtus papildu resursus un ņemot vērā budžeta ierobežojumus.</w:t>
      </w:r>
    </w:p>
    <w:p w:rsidR="00132BAA" w:rsidRDefault="00B31A4A">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32BAA">
        <w:tc>
          <w:tcPr>
            <w:tcW w:w="3240" w:type="dxa"/>
          </w:tcPr>
          <w:p w:rsidR="00132BAA" w:rsidRDefault="00B31A4A">
            <w:pPr>
              <w:rPr>
                <w:noProof/>
                <w:sz w:val="20"/>
              </w:rPr>
            </w:pPr>
            <w:r>
              <w:rPr>
                <w:noProof/>
                <w:sz w:val="20"/>
              </w:rPr>
              <w:t>Ierēdņi un p</w:t>
            </w:r>
            <w:r>
              <w:rPr>
                <w:noProof/>
                <w:sz w:val="20"/>
              </w:rPr>
              <w:t>agaidu darbinieki</w:t>
            </w:r>
          </w:p>
        </w:tc>
        <w:tc>
          <w:tcPr>
            <w:tcW w:w="7200" w:type="dxa"/>
          </w:tcPr>
          <w:p w:rsidR="00132BAA" w:rsidRDefault="00B31A4A">
            <w:pPr>
              <w:rPr>
                <w:noProof/>
                <w:sz w:val="20"/>
              </w:rPr>
            </w:pPr>
            <w:r>
              <w:rPr>
                <w:noProof/>
                <w:sz w:val="20"/>
              </w:rPr>
              <w:t>Metodikas darbs, tostarp izmēģinājuma pētījumi</w:t>
            </w:r>
          </w:p>
          <w:p w:rsidR="00132BAA" w:rsidRDefault="00B31A4A">
            <w:pPr>
              <w:rPr>
                <w:noProof/>
                <w:sz w:val="20"/>
              </w:rPr>
            </w:pPr>
            <w:r>
              <w:rPr>
                <w:noProof/>
                <w:sz w:val="20"/>
              </w:rPr>
              <w:t>IT darbu, lai varētu saņemt, validēt un apstrādāt datus</w:t>
            </w:r>
          </w:p>
          <w:p w:rsidR="00132BAA" w:rsidRDefault="00B31A4A">
            <w:pPr>
              <w:rPr>
                <w:noProof/>
                <w:sz w:val="20"/>
              </w:rPr>
            </w:pPr>
            <w:r>
              <w:rPr>
                <w:noProof/>
                <w:sz w:val="20"/>
              </w:rPr>
              <w:t>datu analīzi, datu izplatīšanu un lietotāju atbalstu</w:t>
            </w:r>
          </w:p>
        </w:tc>
      </w:tr>
      <w:tr w:rsidR="00132BAA">
        <w:tc>
          <w:tcPr>
            <w:tcW w:w="3240" w:type="dxa"/>
          </w:tcPr>
          <w:p w:rsidR="00132BAA" w:rsidRDefault="00B31A4A">
            <w:pPr>
              <w:spacing w:before="60" w:after="60"/>
              <w:rPr>
                <w:noProof/>
                <w:sz w:val="20"/>
              </w:rPr>
            </w:pPr>
            <w:r>
              <w:rPr>
                <w:noProof/>
                <w:sz w:val="20"/>
              </w:rPr>
              <w:t>Ārštata darbinieki</w:t>
            </w:r>
          </w:p>
        </w:tc>
        <w:tc>
          <w:tcPr>
            <w:tcW w:w="7200" w:type="dxa"/>
          </w:tcPr>
          <w:p w:rsidR="00132BAA" w:rsidRDefault="00B31A4A">
            <w:pPr>
              <w:rPr>
                <w:noProof/>
                <w:sz w:val="20"/>
              </w:rPr>
            </w:pPr>
            <w:r>
              <w:rPr>
                <w:noProof/>
                <w:sz w:val="20"/>
              </w:rPr>
              <w:t>Metodikas darbs, tostarp izmēģinājuma pētījumi</w:t>
            </w:r>
          </w:p>
          <w:p w:rsidR="00132BAA" w:rsidRDefault="00B31A4A">
            <w:pPr>
              <w:rPr>
                <w:noProof/>
                <w:sz w:val="20"/>
              </w:rPr>
            </w:pPr>
            <w:r>
              <w:rPr>
                <w:noProof/>
                <w:sz w:val="20"/>
              </w:rPr>
              <w:t xml:space="preserve">IT darbu, lai </w:t>
            </w:r>
            <w:r>
              <w:rPr>
                <w:noProof/>
                <w:sz w:val="20"/>
              </w:rPr>
              <w:t>varētu saņemt, validēt un apstrādāt datus</w:t>
            </w:r>
          </w:p>
          <w:p w:rsidR="00132BAA" w:rsidRDefault="00132BAA">
            <w:pPr>
              <w:rPr>
                <w:noProof/>
                <w:sz w:val="20"/>
              </w:rPr>
            </w:pPr>
          </w:p>
        </w:tc>
      </w:tr>
    </w:tbl>
    <w:p w:rsidR="00132BAA" w:rsidRDefault="00132BAA">
      <w:pPr>
        <w:rPr>
          <w:noProof/>
        </w:rPr>
        <w:sectPr w:rsidR="00132BAA">
          <w:pgSz w:w="11907" w:h="16840"/>
          <w:pgMar w:top="1134" w:right="1418" w:bottom="1134" w:left="1418" w:header="709" w:footer="709" w:gutter="0"/>
          <w:cols w:space="708"/>
          <w:docGrid w:linePitch="360"/>
        </w:sectPr>
      </w:pPr>
    </w:p>
    <w:p w:rsidR="00132BAA" w:rsidRDefault="00B31A4A">
      <w:pPr>
        <w:pStyle w:val="ManualHeading3"/>
        <w:rPr>
          <w:bCs/>
          <w:noProof/>
          <w:szCs w:val="24"/>
        </w:rPr>
      </w:pPr>
      <w:r>
        <w:lastRenderedPageBreak/>
        <w:t>3.2.4.</w:t>
      </w:r>
      <w:r>
        <w:tab/>
      </w:r>
      <w:r>
        <w:rPr>
          <w:noProof/>
        </w:rPr>
        <w:t xml:space="preserve">Saderība ar kārtējo daudzgadu finanšu shēmu </w:t>
      </w:r>
    </w:p>
    <w:p w:rsidR="00132BAA" w:rsidRDefault="00B31A4A">
      <w:pPr>
        <w:pStyle w:val="ListDash1"/>
        <w:rPr>
          <w:noProof/>
        </w:rPr>
      </w:pPr>
      <w:r>
        <w:rPr>
          <w:noProof/>
        </w:rPr>
        <w:sym w:font="Wingdings" w:char="F0FD"/>
      </w:r>
      <w:r>
        <w:rPr>
          <w:noProof/>
        </w:rPr>
        <w:tab/>
        <w:t>Priekšlikums/iniciatīva atbilst kārtējai daudzgadu finanšu shēmai</w:t>
      </w:r>
    </w:p>
    <w:p w:rsidR="00132BAA" w:rsidRDefault="00B31A4A">
      <w:pPr>
        <w:pStyle w:val="ListDash1"/>
        <w:rPr>
          <w:noProof/>
        </w:rPr>
      </w:pPr>
      <w:r>
        <w:rPr>
          <w:noProof/>
        </w:rPr>
        <w:sym w:font="Wingdings" w:char="F0A8"/>
      </w:r>
      <w:r>
        <w:rPr>
          <w:noProof/>
        </w:rPr>
        <w:tab/>
        <w:t>Pieņemot priekšlikumu/iniciatīvu, jāpārplāno attiecīgā izdevumu kate</w:t>
      </w:r>
      <w:r>
        <w:rPr>
          <w:noProof/>
        </w:rPr>
        <w:t>gorija daudzgadu finanšu shēmā</w:t>
      </w:r>
    </w:p>
    <w:p w:rsidR="00132BAA" w:rsidRDefault="00B31A4A">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w:t>
      </w:r>
    </w:p>
    <w:p w:rsidR="00132BAA" w:rsidRDefault="00B31A4A">
      <w:pPr>
        <w:pStyle w:val="ListDash1"/>
        <w:rPr>
          <w:noProof/>
        </w:rPr>
      </w:pPr>
      <w:r>
        <w:rPr>
          <w:noProof/>
        </w:rPr>
        <w:sym w:font="Wingdings" w:char="F0A8"/>
      </w:r>
      <w:r>
        <w:rPr>
          <w:noProof/>
        </w:rPr>
        <w:tab/>
        <w:t>Pieņemot priekšlikumu/iniciatīvu, jāpiemēro elastības instruments vai jāpārskata daudzgadu finanšu shēma</w:t>
      </w:r>
    </w:p>
    <w:p w:rsidR="00132BAA" w:rsidRDefault="00B31A4A">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w:t>
      </w:r>
      <w:r>
        <w:rPr>
          <w:noProof/>
          <w:sz w:val="20"/>
        </w:rPr>
        <w:t>ās izdevumu kategorijas, budžeta pozīcijas un summas.</w:t>
      </w:r>
    </w:p>
    <w:p w:rsidR="00132BAA" w:rsidRDefault="00B31A4A">
      <w:pPr>
        <w:pStyle w:val="Text1"/>
        <w:pBdr>
          <w:top w:val="single" w:sz="4" w:space="1" w:color="auto"/>
          <w:left w:val="single" w:sz="4" w:space="4" w:color="auto"/>
          <w:bottom w:val="single" w:sz="4" w:space="1" w:color="auto"/>
          <w:right w:val="single" w:sz="4" w:space="4" w:color="auto"/>
        </w:pBdr>
        <w:rPr>
          <w:noProof/>
        </w:rPr>
      </w:pPr>
      <w:r>
        <w:rPr>
          <w:noProof/>
        </w:rPr>
        <w:t>[…]</w:t>
      </w:r>
    </w:p>
    <w:p w:rsidR="00132BAA" w:rsidRDefault="00B31A4A">
      <w:pPr>
        <w:pStyle w:val="ManualHeading3"/>
        <w:rPr>
          <w:bCs/>
          <w:noProof/>
          <w:szCs w:val="24"/>
        </w:rPr>
      </w:pPr>
      <w:r>
        <w:t>3.2.5.</w:t>
      </w:r>
      <w:r>
        <w:tab/>
      </w:r>
      <w:r>
        <w:rPr>
          <w:noProof/>
        </w:rPr>
        <w:t xml:space="preserve">Trešo pušu līdzfinansējums </w:t>
      </w:r>
    </w:p>
    <w:p w:rsidR="00132BAA" w:rsidRDefault="00B31A4A">
      <w:pPr>
        <w:pStyle w:val="ListDash1"/>
        <w:rPr>
          <w:noProof/>
        </w:rPr>
      </w:pPr>
      <w:r>
        <w:rPr>
          <w:noProof/>
        </w:rPr>
        <w:t xml:space="preserve">Priekšlikums/iniciatīva neparedz trešo personu līdzfinansējumu </w:t>
      </w:r>
    </w:p>
    <w:p w:rsidR="00132BAA" w:rsidRDefault="00B31A4A">
      <w:pPr>
        <w:pStyle w:val="ListDash1"/>
        <w:rPr>
          <w:noProof/>
        </w:rPr>
      </w:pPr>
      <w:r>
        <w:rPr>
          <w:noProof/>
        </w:rPr>
        <w:t>Priekšlikums/iniciatīva paredz šādu līdzfinansējumu:</w:t>
      </w:r>
    </w:p>
    <w:p w:rsidR="00132BAA" w:rsidRDefault="00B31A4A">
      <w:pPr>
        <w:jc w:val="right"/>
        <w:rPr>
          <w:noProof/>
          <w:sz w:val="20"/>
        </w:rPr>
      </w:pPr>
      <w:r>
        <w:rPr>
          <w:noProof/>
          <w:sz w:val="20"/>
        </w:rPr>
        <w:t xml:space="preserve">Apropriācijas EUR miljonos (trīs zīmes aiz </w:t>
      </w:r>
      <w:r>
        <w:rPr>
          <w:noProof/>
          <w:sz w:val="20"/>
        </w:rPr>
        <w:t>komata)</w:t>
      </w:r>
    </w:p>
    <w:tbl>
      <w:tblPr>
        <w:tblW w:w="9754"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471"/>
        <w:gridCol w:w="2471"/>
        <w:gridCol w:w="2472"/>
      </w:tblGrid>
      <w:tr w:rsidR="00132BAA">
        <w:trPr>
          <w:cantSplit/>
        </w:trPr>
        <w:tc>
          <w:tcPr>
            <w:tcW w:w="2340" w:type="dxa"/>
          </w:tcPr>
          <w:p w:rsidR="00132BAA" w:rsidRDefault="00132BAA">
            <w:pPr>
              <w:spacing w:before="60" w:after="60"/>
              <w:rPr>
                <w:noProof/>
                <w:sz w:val="20"/>
              </w:rPr>
            </w:pPr>
          </w:p>
        </w:tc>
        <w:tc>
          <w:tcPr>
            <w:tcW w:w="2471" w:type="dxa"/>
            <w:vAlign w:val="center"/>
          </w:tcPr>
          <w:p w:rsidR="00132BAA" w:rsidRDefault="00B31A4A">
            <w:pPr>
              <w:jc w:val="center"/>
              <w:rPr>
                <w:noProof/>
                <w:sz w:val="20"/>
              </w:rPr>
            </w:pPr>
            <w:r>
              <w:rPr>
                <w:noProof/>
                <w:sz w:val="20"/>
              </w:rPr>
              <w:t>2019</w:t>
            </w:r>
          </w:p>
        </w:tc>
        <w:tc>
          <w:tcPr>
            <w:tcW w:w="2471" w:type="dxa"/>
            <w:vAlign w:val="center"/>
          </w:tcPr>
          <w:p w:rsidR="00132BAA" w:rsidRDefault="00B31A4A">
            <w:pPr>
              <w:jc w:val="center"/>
              <w:rPr>
                <w:noProof/>
                <w:sz w:val="20"/>
              </w:rPr>
            </w:pPr>
            <w:r>
              <w:rPr>
                <w:noProof/>
                <w:sz w:val="20"/>
              </w:rPr>
              <w:t>2020</w:t>
            </w:r>
          </w:p>
        </w:tc>
        <w:tc>
          <w:tcPr>
            <w:tcW w:w="2472" w:type="dxa"/>
            <w:vAlign w:val="center"/>
          </w:tcPr>
          <w:p w:rsidR="00132BAA" w:rsidRDefault="00B31A4A">
            <w:pPr>
              <w:spacing w:before="60" w:after="60"/>
              <w:jc w:val="center"/>
              <w:rPr>
                <w:noProof/>
                <w:sz w:val="20"/>
              </w:rPr>
            </w:pPr>
            <w:r>
              <w:rPr>
                <w:noProof/>
                <w:sz w:val="20"/>
              </w:rPr>
              <w:t>Kopā</w:t>
            </w:r>
          </w:p>
        </w:tc>
      </w:tr>
      <w:tr w:rsidR="00132BAA">
        <w:trPr>
          <w:cantSplit/>
        </w:trPr>
        <w:tc>
          <w:tcPr>
            <w:tcW w:w="2340" w:type="dxa"/>
          </w:tcPr>
          <w:p w:rsidR="00132BAA" w:rsidRDefault="00B31A4A">
            <w:pPr>
              <w:rPr>
                <w:noProof/>
              </w:rPr>
            </w:pPr>
            <w:r>
              <w:rPr>
                <w:noProof/>
                <w:sz w:val="20"/>
              </w:rPr>
              <w:t>Norādīt līdzfinansējuma struktūru</w:t>
            </w:r>
            <w:r>
              <w:rPr>
                <w:i/>
                <w:noProof/>
                <w:sz w:val="20"/>
              </w:rPr>
              <w:t xml:space="preserve"> </w:t>
            </w:r>
          </w:p>
        </w:tc>
        <w:tc>
          <w:tcPr>
            <w:tcW w:w="2471" w:type="dxa"/>
            <w:vAlign w:val="center"/>
          </w:tcPr>
          <w:p w:rsidR="00132BAA" w:rsidRDefault="00B31A4A">
            <w:pPr>
              <w:spacing w:before="60" w:after="60"/>
              <w:jc w:val="center"/>
              <w:rPr>
                <w:noProof/>
                <w:sz w:val="20"/>
              </w:rPr>
            </w:pPr>
            <w:r>
              <w:rPr>
                <w:noProof/>
                <w:sz w:val="20"/>
              </w:rPr>
              <w:t>p.m.</w:t>
            </w:r>
          </w:p>
        </w:tc>
        <w:tc>
          <w:tcPr>
            <w:tcW w:w="2471" w:type="dxa"/>
            <w:vAlign w:val="center"/>
          </w:tcPr>
          <w:p w:rsidR="00132BAA" w:rsidRDefault="00B31A4A">
            <w:pPr>
              <w:spacing w:before="60" w:after="60"/>
              <w:jc w:val="center"/>
              <w:rPr>
                <w:noProof/>
                <w:sz w:val="20"/>
              </w:rPr>
            </w:pPr>
            <w:r>
              <w:rPr>
                <w:noProof/>
                <w:sz w:val="20"/>
              </w:rPr>
              <w:t>p.m.</w:t>
            </w:r>
          </w:p>
        </w:tc>
        <w:tc>
          <w:tcPr>
            <w:tcW w:w="2472" w:type="dxa"/>
            <w:vAlign w:val="center"/>
          </w:tcPr>
          <w:p w:rsidR="00132BAA" w:rsidRDefault="00B31A4A">
            <w:pPr>
              <w:spacing w:before="60" w:after="60"/>
              <w:jc w:val="center"/>
              <w:rPr>
                <w:noProof/>
                <w:sz w:val="20"/>
              </w:rPr>
            </w:pPr>
            <w:r>
              <w:rPr>
                <w:noProof/>
                <w:sz w:val="20"/>
              </w:rPr>
              <w:t>p. m.</w:t>
            </w:r>
          </w:p>
        </w:tc>
      </w:tr>
      <w:tr w:rsidR="00132BAA">
        <w:trPr>
          <w:cantSplit/>
        </w:trPr>
        <w:tc>
          <w:tcPr>
            <w:tcW w:w="2340" w:type="dxa"/>
          </w:tcPr>
          <w:p w:rsidR="00132BAA" w:rsidRDefault="00B31A4A">
            <w:pPr>
              <w:spacing w:before="60" w:after="60"/>
              <w:jc w:val="left"/>
              <w:rPr>
                <w:noProof/>
                <w:sz w:val="20"/>
              </w:rPr>
            </w:pPr>
            <w:r>
              <w:rPr>
                <w:noProof/>
                <w:sz w:val="20"/>
              </w:rPr>
              <w:t xml:space="preserve">KOPĀ līdzfinansējuma apropriācijas </w:t>
            </w:r>
          </w:p>
        </w:tc>
        <w:tc>
          <w:tcPr>
            <w:tcW w:w="2471" w:type="dxa"/>
            <w:vAlign w:val="center"/>
          </w:tcPr>
          <w:p w:rsidR="00132BAA" w:rsidRDefault="00B31A4A">
            <w:pPr>
              <w:spacing w:before="60" w:after="60"/>
              <w:jc w:val="center"/>
              <w:rPr>
                <w:noProof/>
                <w:sz w:val="20"/>
              </w:rPr>
            </w:pPr>
            <w:r>
              <w:rPr>
                <w:noProof/>
                <w:sz w:val="20"/>
              </w:rPr>
              <w:t>p.m.</w:t>
            </w:r>
          </w:p>
        </w:tc>
        <w:tc>
          <w:tcPr>
            <w:tcW w:w="2471" w:type="dxa"/>
            <w:vAlign w:val="center"/>
          </w:tcPr>
          <w:p w:rsidR="00132BAA" w:rsidRDefault="00B31A4A">
            <w:pPr>
              <w:spacing w:before="60" w:after="60"/>
              <w:jc w:val="center"/>
              <w:rPr>
                <w:noProof/>
                <w:sz w:val="20"/>
              </w:rPr>
            </w:pPr>
            <w:r>
              <w:rPr>
                <w:noProof/>
                <w:sz w:val="20"/>
              </w:rPr>
              <w:t>p.m.</w:t>
            </w:r>
          </w:p>
        </w:tc>
        <w:tc>
          <w:tcPr>
            <w:tcW w:w="2472" w:type="dxa"/>
            <w:vAlign w:val="center"/>
          </w:tcPr>
          <w:p w:rsidR="00132BAA" w:rsidRDefault="00B31A4A">
            <w:pPr>
              <w:spacing w:before="60" w:after="60"/>
              <w:jc w:val="center"/>
              <w:rPr>
                <w:noProof/>
                <w:sz w:val="20"/>
              </w:rPr>
            </w:pPr>
            <w:r>
              <w:rPr>
                <w:noProof/>
                <w:sz w:val="20"/>
              </w:rPr>
              <w:t>p. m.</w:t>
            </w:r>
          </w:p>
        </w:tc>
      </w:tr>
    </w:tbl>
    <w:p w:rsidR="00132BAA" w:rsidRDefault="00132BAA">
      <w:pPr>
        <w:pStyle w:val="Text1"/>
        <w:rPr>
          <w:rStyle w:val="Text2Char"/>
          <w:noProof/>
        </w:rPr>
      </w:pPr>
    </w:p>
    <w:sectPr w:rsidR="00132BA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4A" w:rsidRDefault="00B31A4A">
      <w:pPr>
        <w:spacing w:before="0" w:after="0"/>
      </w:pPr>
      <w:r>
        <w:separator/>
      </w:r>
    </w:p>
  </w:endnote>
  <w:endnote w:type="continuationSeparator" w:id="0">
    <w:p w:rsidR="00B31A4A" w:rsidRDefault="00B31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B31A4A">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B31A4A">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sidR="00B736B7">
      <w:rPr>
        <w:noProof/>
      </w:rPr>
      <w:t>14</w:t>
    </w:r>
    <w:r>
      <w:fldChar w:fldCharType="end"/>
    </w:r>
    <w:r>
      <w:tab/>
    </w:r>
    <w:r>
      <w:fldChar w:fldCharType="begin"/>
    </w:r>
    <w:r>
      <w:instrText xml:space="preserve"> DOCVARIABLE "LW_Confidence" \* ME</w:instrText>
    </w:r>
    <w:r>
      <w:instrText xml:space="preserv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B31A4A">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sidR="00B736B7">
      <w:rPr>
        <w:noProof/>
      </w:rPr>
      <w:t>47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B31A4A">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sidR="00B736B7">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4A" w:rsidRDefault="00B31A4A">
      <w:pPr>
        <w:spacing w:before="0" w:after="0"/>
      </w:pPr>
      <w:r>
        <w:separator/>
      </w:r>
    </w:p>
  </w:footnote>
  <w:footnote w:type="continuationSeparator" w:id="0">
    <w:p w:rsidR="00B31A4A" w:rsidRDefault="00B31A4A">
      <w:pPr>
        <w:spacing w:before="0" w:after="0"/>
      </w:pPr>
      <w:r>
        <w:continuationSeparator/>
      </w:r>
    </w:p>
  </w:footnote>
  <w:footnote w:id="1">
    <w:p w:rsidR="00132BAA" w:rsidRPr="00B736B7" w:rsidRDefault="00B31A4A">
      <w:pPr>
        <w:pStyle w:val="FootnoteText"/>
        <w:rPr>
          <w:bCs/>
          <w:lang w:eastAsia="en-GB"/>
        </w:rPr>
      </w:pPr>
      <w:r w:rsidRPr="00B736B7">
        <w:rPr>
          <w:rStyle w:val="FootnoteReference"/>
        </w:rPr>
        <w:footnoteRef/>
      </w:r>
      <w:r w:rsidRPr="00B736B7">
        <w:tab/>
        <w:t>ESS ir partnerība starp Eiropas statistikas iestādi – Komisiju (</w:t>
      </w:r>
      <w:proofErr w:type="spellStart"/>
      <w:r w:rsidRPr="00B736B7">
        <w:rPr>
          <w:i/>
        </w:rPr>
        <w:t>Eurostat</w:t>
      </w:r>
      <w:proofErr w:type="spellEnd"/>
      <w:r w:rsidRPr="00B736B7">
        <w:t xml:space="preserve">), valstu statistikas iestādēm (VSI) un citām </w:t>
      </w:r>
      <w:r w:rsidRPr="00B736B7">
        <w:t>valsts iestādēm (CVI), kas katrā dalībvalstī ir atbildīgas par Eiropas statistikas izstrādi, sagatavošanu un izplatīšanu.</w:t>
      </w:r>
    </w:p>
  </w:footnote>
  <w:footnote w:id="2">
    <w:p w:rsidR="00132BAA" w:rsidRPr="00B736B7" w:rsidRDefault="00B31A4A">
      <w:pPr>
        <w:pStyle w:val="Footnote"/>
      </w:pPr>
      <w:r w:rsidRPr="00B736B7">
        <w:rPr>
          <w:rStyle w:val="FootnoteReference"/>
        </w:rPr>
        <w:footnoteRef/>
      </w:r>
      <w:r w:rsidRPr="00B736B7">
        <w:tab/>
      </w:r>
      <w:r w:rsidRPr="00B736B7">
        <w:t xml:space="preserve">Eiropas Parlamenta un Padomes </w:t>
      </w:r>
      <w:r w:rsidRPr="00B736B7">
        <w:t>2013</w:t>
      </w:r>
      <w:r w:rsidRPr="00B736B7">
        <w:t xml:space="preserve">. gada </w:t>
      </w:r>
      <w:r w:rsidRPr="00B736B7">
        <w:t>15</w:t>
      </w:r>
      <w:r w:rsidRPr="00B736B7">
        <w:t xml:space="preserve">. janvāra Regula (ES) </w:t>
      </w:r>
      <w:proofErr w:type="spellStart"/>
      <w:r w:rsidRPr="00B736B7">
        <w:t>Nr</w:t>
      </w:r>
      <w:proofErr w:type="spellEnd"/>
      <w:r w:rsidRPr="00B736B7">
        <w:t>. </w:t>
      </w:r>
      <w:r w:rsidRPr="00B736B7">
        <w:t>99</w:t>
      </w:r>
      <w:r w:rsidRPr="00B736B7">
        <w:t>/</w:t>
      </w:r>
      <w:r w:rsidRPr="00B736B7">
        <w:t>2013</w:t>
      </w:r>
      <w:r w:rsidRPr="00B736B7">
        <w:t xml:space="preserve"> par Eiropas statistikas programmu </w:t>
      </w:r>
      <w:r w:rsidRPr="00B736B7">
        <w:t>2013</w:t>
      </w:r>
      <w:r w:rsidRPr="00B736B7">
        <w:t>.–</w:t>
      </w:r>
      <w:r w:rsidRPr="00B736B7">
        <w:t>2017</w:t>
      </w:r>
      <w:r w:rsidRPr="00B736B7">
        <w:t xml:space="preserve">. gadam </w:t>
      </w:r>
      <w:r w:rsidRPr="00B736B7">
        <w:t>(OV L </w:t>
      </w:r>
      <w:r w:rsidRPr="00B736B7">
        <w:t>39</w:t>
      </w:r>
      <w:r w:rsidRPr="00B736B7">
        <w:t xml:space="preserve">, </w:t>
      </w:r>
      <w:r w:rsidRPr="00B736B7">
        <w:t>9</w:t>
      </w:r>
      <w:r w:rsidRPr="00B736B7">
        <w:t>.</w:t>
      </w:r>
      <w:r w:rsidRPr="00B736B7">
        <w:t>2</w:t>
      </w:r>
      <w:r w:rsidRPr="00B736B7">
        <w:t xml:space="preserve">. </w:t>
      </w:r>
      <w:r w:rsidRPr="00B736B7">
        <w:t>2013</w:t>
      </w:r>
      <w:r w:rsidRPr="00B736B7">
        <w:t xml:space="preserve">., </w:t>
      </w:r>
      <w:r w:rsidRPr="00B736B7">
        <w:t>12</w:t>
      </w:r>
      <w:r w:rsidRPr="00B736B7">
        <w:t>. </w:t>
      </w:r>
      <w:proofErr w:type="spellStart"/>
      <w:r w:rsidRPr="00B736B7">
        <w:t>lpp</w:t>
      </w:r>
      <w:proofErr w:type="spellEnd"/>
      <w:r w:rsidRPr="00B736B7">
        <w:t xml:space="preserve">.). Ierosināts pagarināt līdz </w:t>
      </w:r>
      <w:r w:rsidRPr="00B736B7">
        <w:t>2018</w:t>
      </w:r>
      <w:r w:rsidRPr="00B736B7">
        <w:t>.–</w:t>
      </w:r>
      <w:r w:rsidRPr="00B736B7">
        <w:t>2020</w:t>
      </w:r>
      <w:r w:rsidRPr="00B736B7">
        <w:t>. gadam, COM/</w:t>
      </w:r>
      <w:r w:rsidRPr="00B736B7">
        <w:t>2016</w:t>
      </w:r>
      <w:r w:rsidRPr="00B736B7">
        <w:t>/</w:t>
      </w:r>
      <w:r w:rsidRPr="00B736B7">
        <w:t>0557</w:t>
      </w:r>
      <w:r w:rsidRPr="00B736B7">
        <w:t xml:space="preserve"> </w:t>
      </w:r>
      <w:proofErr w:type="spellStart"/>
      <w:r w:rsidRPr="00B736B7">
        <w:rPr>
          <w:i/>
        </w:rPr>
        <w:t>final</w:t>
      </w:r>
      <w:proofErr w:type="spellEnd"/>
      <w:r w:rsidRPr="00B736B7">
        <w:t xml:space="preserve"> – </w:t>
      </w:r>
      <w:r w:rsidRPr="00B736B7">
        <w:t>2016</w:t>
      </w:r>
      <w:r w:rsidRPr="00B736B7">
        <w:t>/</w:t>
      </w:r>
      <w:r w:rsidRPr="00B736B7">
        <w:t>0265</w:t>
      </w:r>
      <w:r w:rsidRPr="00B736B7">
        <w:t>.</w:t>
      </w:r>
    </w:p>
    <w:p w:rsidR="00132BAA" w:rsidRPr="00B736B7" w:rsidRDefault="00132BAA">
      <w:pPr>
        <w:pStyle w:val="FootnoteText"/>
      </w:pPr>
    </w:p>
  </w:footnote>
  <w:footnote w:id="3">
    <w:p w:rsidR="00132BAA" w:rsidRPr="00B736B7" w:rsidRDefault="00B31A4A">
      <w:pPr>
        <w:pStyle w:val="FootnoteText"/>
      </w:pPr>
      <w:r w:rsidRPr="00B736B7">
        <w:rPr>
          <w:rStyle w:val="FootnoteReference"/>
        </w:rPr>
        <w:footnoteRef/>
      </w:r>
      <w:r w:rsidRPr="00B736B7">
        <w:tab/>
      </w:r>
      <w:proofErr w:type="spellStart"/>
      <w:r w:rsidRPr="00B736B7">
        <w:t>Sk</w:t>
      </w:r>
      <w:proofErr w:type="spellEnd"/>
      <w:r w:rsidRPr="00B736B7">
        <w:t xml:space="preserve">. </w:t>
      </w:r>
      <w:hyperlink r:id="rId1">
        <w:r w:rsidRPr="00B736B7">
          <w:rPr>
            <w:rStyle w:val="Hyperlink"/>
          </w:rPr>
          <w:t>http://ec.europa.eu/eurostat/web/quality/evaluation</w:t>
        </w:r>
      </w:hyperlink>
    </w:p>
  </w:footnote>
  <w:footnote w:id="4">
    <w:p w:rsidR="00132BAA" w:rsidRPr="00B736B7" w:rsidRDefault="00B31A4A">
      <w:pPr>
        <w:pStyle w:val="FootnoteText"/>
      </w:pPr>
      <w:r w:rsidRPr="00B736B7">
        <w:rPr>
          <w:rStyle w:val="FootnoteReference"/>
        </w:rPr>
        <w:footnoteRef/>
      </w:r>
      <w:r w:rsidRPr="00B736B7">
        <w:tab/>
      </w:r>
      <w:hyperlink r:id="rId2">
        <w:r w:rsidRPr="00B736B7">
          <w:rPr>
            <w:rStyle w:val="Hyperlink"/>
          </w:rPr>
          <w:t>http://ec.europa.eu/eurostat/documents/</w:t>
        </w:r>
        <w:r w:rsidRPr="00B736B7">
          <w:rPr>
            <w:rStyle w:val="Hyperlink"/>
          </w:rPr>
          <w:t>10186</w:t>
        </w:r>
        <w:r w:rsidRPr="00B736B7">
          <w:rPr>
            <w:rStyle w:val="Hyperlink"/>
          </w:rPr>
          <w:t>/</w:t>
        </w:r>
        <w:r w:rsidRPr="00B736B7">
          <w:rPr>
            <w:rStyle w:val="Hyperlink"/>
          </w:rPr>
          <w:t>7142348</w:t>
        </w:r>
        <w:r w:rsidRPr="00B736B7">
          <w:rPr>
            <w:rStyle w:val="Hyperlink"/>
          </w:rPr>
          <w:t>/ABS-Report.pdf</w:t>
        </w:r>
      </w:hyperlink>
      <w:r w:rsidRPr="00B736B7">
        <w:t xml:space="preserve">, </w:t>
      </w:r>
      <w:hyperlink r:id="rId3">
        <w:r w:rsidRPr="00B736B7">
          <w:rPr>
            <w:rStyle w:val="Hyperlink"/>
          </w:rPr>
          <w:t>http://ec.europa.eu/eurostat/documents/</w:t>
        </w:r>
        <w:r w:rsidRPr="00B736B7">
          <w:rPr>
            <w:rStyle w:val="Hyperlink"/>
          </w:rPr>
          <w:t>10186</w:t>
        </w:r>
        <w:r w:rsidRPr="00B736B7">
          <w:rPr>
            <w:rStyle w:val="Hyperlink"/>
          </w:rPr>
          <w:t>/</w:t>
        </w:r>
        <w:r w:rsidRPr="00B736B7">
          <w:rPr>
            <w:rStyle w:val="Hyperlink"/>
          </w:rPr>
          <w:t>6937805</w:t>
        </w:r>
        <w:r w:rsidRPr="00B736B7">
          <w:rPr>
            <w:rStyle w:val="Hyperlink"/>
          </w:rPr>
          <w:t>/Summary+report+on+the+open+public+consultations/</w:t>
        </w:r>
        <w:r w:rsidRPr="00B736B7">
          <w:rPr>
            <w:rStyle w:val="Hyperlink"/>
          </w:rPr>
          <w:t>52</w:t>
        </w:r>
        <w:r w:rsidRPr="00B736B7">
          <w:rPr>
            <w:rStyle w:val="Hyperlink"/>
          </w:rPr>
          <w:t>c</w:t>
        </w:r>
        <w:r w:rsidRPr="00B736B7">
          <w:rPr>
            <w:rStyle w:val="Hyperlink"/>
          </w:rPr>
          <w:t>01</w:t>
        </w:r>
        <w:r w:rsidRPr="00B736B7">
          <w:rPr>
            <w:rStyle w:val="Hyperlink"/>
          </w:rPr>
          <w:t>d</w:t>
        </w:r>
        <w:r w:rsidRPr="00B736B7">
          <w:rPr>
            <w:rStyle w:val="Hyperlink"/>
          </w:rPr>
          <w:t>34</w:t>
        </w:r>
        <w:r w:rsidRPr="00B736B7">
          <w:rPr>
            <w:rStyle w:val="Hyperlink"/>
          </w:rPr>
          <w:t>-ca</w:t>
        </w:r>
        <w:r w:rsidRPr="00B736B7">
          <w:rPr>
            <w:rStyle w:val="Hyperlink"/>
          </w:rPr>
          <w:t>85</w:t>
        </w:r>
        <w:r w:rsidRPr="00B736B7">
          <w:rPr>
            <w:rStyle w:val="Hyperlink"/>
          </w:rPr>
          <w:t>-</w:t>
        </w:r>
        <w:r w:rsidRPr="00B736B7">
          <w:rPr>
            <w:rStyle w:val="Hyperlink"/>
          </w:rPr>
          <w:t>4</w:t>
        </w:r>
        <w:r w:rsidRPr="00B736B7">
          <w:rPr>
            <w:rStyle w:val="Hyperlink"/>
          </w:rPr>
          <w:t>e</w:t>
        </w:r>
        <w:r w:rsidRPr="00B736B7">
          <w:rPr>
            <w:rStyle w:val="Hyperlink"/>
          </w:rPr>
          <w:t>8</w:t>
        </w:r>
        <w:r w:rsidRPr="00B736B7">
          <w:rPr>
            <w:rStyle w:val="Hyperlink"/>
          </w:rPr>
          <w:t>d-aaae-df</w:t>
        </w:r>
        <w:r w:rsidRPr="00B736B7">
          <w:rPr>
            <w:rStyle w:val="Hyperlink"/>
          </w:rPr>
          <w:t>4</w:t>
        </w:r>
        <w:r w:rsidRPr="00B736B7">
          <w:rPr>
            <w:rStyle w:val="Hyperlink"/>
          </w:rPr>
          <w:t>ae</w:t>
        </w:r>
        <w:r w:rsidRPr="00B736B7">
          <w:rPr>
            <w:rStyle w:val="Hyperlink"/>
          </w:rPr>
          <w:t>84</w:t>
        </w:r>
        <w:r w:rsidRPr="00B736B7">
          <w:rPr>
            <w:rStyle w:val="Hyperlink"/>
          </w:rPr>
          <w:t>b</w:t>
        </w:r>
        <w:r w:rsidRPr="00B736B7">
          <w:rPr>
            <w:rStyle w:val="Hyperlink"/>
          </w:rPr>
          <w:t>8</w:t>
        </w:r>
        <w:r w:rsidRPr="00B736B7">
          <w:rPr>
            <w:rStyle w:val="Hyperlink"/>
          </w:rPr>
          <w:t>dea</w:t>
        </w:r>
      </w:hyperlink>
    </w:p>
  </w:footnote>
  <w:footnote w:id="5">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2005</w:t>
      </w:r>
      <w:r w:rsidRPr="00B736B7">
        <w:t xml:space="preserve">. gada </w:t>
      </w:r>
      <w:r w:rsidRPr="00B736B7">
        <w:t>12</w:t>
      </w:r>
      <w:r w:rsidRPr="00B736B7">
        <w:t xml:space="preserve">. janvāra Regula (EK) </w:t>
      </w:r>
      <w:proofErr w:type="spellStart"/>
      <w:r w:rsidRPr="00B736B7">
        <w:t>Nr</w:t>
      </w:r>
      <w:proofErr w:type="spellEnd"/>
      <w:r w:rsidRPr="00B736B7">
        <w:t>. </w:t>
      </w:r>
      <w:r w:rsidRPr="00B736B7">
        <w:t>184</w:t>
      </w:r>
      <w:r w:rsidRPr="00B736B7">
        <w:t>/</w:t>
      </w:r>
      <w:r w:rsidRPr="00B736B7">
        <w:t>2005</w:t>
      </w:r>
      <w:r w:rsidRPr="00B736B7">
        <w:t xml:space="preserve"> par Kopienas statistiku attiecībā uz maksājumu bilanci, starptautisko pakalpojumu tirdzniecību un ārvalstu tiešajiem ieguldījumiem (OV L </w:t>
      </w:r>
      <w:r w:rsidRPr="00B736B7">
        <w:t>35</w:t>
      </w:r>
      <w:r w:rsidRPr="00B736B7">
        <w:t xml:space="preserve">, </w:t>
      </w:r>
      <w:r w:rsidRPr="00B736B7">
        <w:t>8</w:t>
      </w:r>
      <w:r w:rsidRPr="00B736B7">
        <w:t>.</w:t>
      </w:r>
      <w:r w:rsidRPr="00B736B7">
        <w:t>2</w:t>
      </w:r>
      <w:r w:rsidRPr="00B736B7">
        <w:t>.</w:t>
      </w:r>
      <w:r w:rsidRPr="00B736B7">
        <w:t>2005</w:t>
      </w:r>
      <w:r w:rsidRPr="00B736B7">
        <w:t xml:space="preserve">., </w:t>
      </w:r>
      <w:r w:rsidRPr="00B736B7">
        <w:t>23</w:t>
      </w:r>
      <w:r w:rsidRPr="00B736B7">
        <w:t>-</w:t>
      </w:r>
      <w:r w:rsidRPr="00B736B7">
        <w:t>55</w:t>
      </w:r>
      <w:r w:rsidRPr="00B736B7">
        <w:t>. </w:t>
      </w:r>
      <w:proofErr w:type="spellStart"/>
      <w:r w:rsidRPr="00B736B7">
        <w:t>lpp</w:t>
      </w:r>
      <w:proofErr w:type="spellEnd"/>
      <w:r w:rsidRPr="00B736B7">
        <w:t>.).</w:t>
      </w:r>
    </w:p>
  </w:footnote>
  <w:footnote w:id="6">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2008</w:t>
      </w:r>
      <w:r w:rsidRPr="00B736B7">
        <w:t xml:space="preserve">. gada </w:t>
      </w:r>
      <w:r w:rsidRPr="00B736B7">
        <w:t>20</w:t>
      </w:r>
      <w:r w:rsidRPr="00B736B7">
        <w:t xml:space="preserve">. februāra Regula (EK) </w:t>
      </w:r>
      <w:proofErr w:type="spellStart"/>
      <w:r w:rsidRPr="00B736B7">
        <w:t>Nr</w:t>
      </w:r>
      <w:proofErr w:type="spellEnd"/>
      <w:r w:rsidRPr="00B736B7">
        <w:t>. </w:t>
      </w:r>
      <w:r w:rsidRPr="00B736B7">
        <w:t>177</w:t>
      </w:r>
      <w:r w:rsidRPr="00B736B7">
        <w:t>/</w:t>
      </w:r>
      <w:r w:rsidRPr="00B736B7">
        <w:t>2008</w:t>
      </w:r>
      <w:r w:rsidRPr="00B736B7">
        <w:t xml:space="preserve">, ar ko izveido kopēju uzņēmumu reģistru sistēmu statistikas vajadzībām un atceļ Padomes Regulu (EEK) </w:t>
      </w:r>
      <w:proofErr w:type="spellStart"/>
      <w:r w:rsidRPr="00B736B7">
        <w:t>Nr</w:t>
      </w:r>
      <w:proofErr w:type="spellEnd"/>
      <w:r w:rsidRPr="00B736B7">
        <w:t>. </w:t>
      </w:r>
      <w:r w:rsidRPr="00B736B7">
        <w:t>2186</w:t>
      </w:r>
      <w:r w:rsidRPr="00B736B7">
        <w:t>/</w:t>
      </w:r>
      <w:r w:rsidRPr="00B736B7">
        <w:t>93</w:t>
      </w:r>
      <w:r w:rsidRPr="00B736B7">
        <w:t xml:space="preserve"> (OV L </w:t>
      </w:r>
      <w:r w:rsidRPr="00B736B7">
        <w:t>61</w:t>
      </w:r>
      <w:r w:rsidRPr="00B736B7">
        <w:t xml:space="preserve">, </w:t>
      </w:r>
      <w:r w:rsidRPr="00B736B7">
        <w:t>5</w:t>
      </w:r>
      <w:r w:rsidRPr="00B736B7">
        <w:t>.</w:t>
      </w:r>
      <w:r w:rsidRPr="00B736B7">
        <w:t>3</w:t>
      </w:r>
      <w:r w:rsidRPr="00B736B7">
        <w:t>.</w:t>
      </w:r>
      <w:r w:rsidRPr="00B736B7">
        <w:t>2008</w:t>
      </w:r>
      <w:r w:rsidRPr="00B736B7">
        <w:t xml:space="preserve">., </w:t>
      </w:r>
      <w:r w:rsidRPr="00B736B7">
        <w:t>6</w:t>
      </w:r>
      <w:r w:rsidRPr="00B736B7">
        <w:t>. </w:t>
      </w:r>
      <w:proofErr w:type="spellStart"/>
      <w:r w:rsidRPr="00B736B7">
        <w:t>lpp</w:t>
      </w:r>
      <w:proofErr w:type="spellEnd"/>
      <w:r w:rsidRPr="00B736B7">
        <w:t>.).</w:t>
      </w:r>
    </w:p>
  </w:footnote>
  <w:footnote w:id="7">
    <w:p w:rsidR="00132BAA" w:rsidRPr="00B736B7" w:rsidRDefault="00B31A4A">
      <w:pPr>
        <w:pStyle w:val="FootnoteText"/>
      </w:pPr>
      <w:r w:rsidRPr="00B736B7">
        <w:rPr>
          <w:rStyle w:val="FootnoteReference"/>
        </w:rPr>
        <w:footnoteRef/>
      </w:r>
      <w:r w:rsidRPr="00B736B7">
        <w:tab/>
      </w:r>
      <w:r w:rsidRPr="00B736B7">
        <w:t>Ei</w:t>
      </w:r>
      <w:r w:rsidRPr="00B736B7">
        <w:t xml:space="preserve">ropas Parlamenta un Padomes </w:t>
      </w:r>
      <w:r w:rsidRPr="00B736B7">
        <w:t>2008</w:t>
      </w:r>
      <w:r w:rsidRPr="00B736B7">
        <w:t xml:space="preserve">. gada </w:t>
      </w:r>
      <w:r w:rsidRPr="00B736B7">
        <w:t>16</w:t>
      </w:r>
      <w:r w:rsidRPr="00B736B7">
        <w:t xml:space="preserve">. decembra Lēmums </w:t>
      </w:r>
      <w:proofErr w:type="spellStart"/>
      <w:r w:rsidRPr="00B736B7">
        <w:t>Nr</w:t>
      </w:r>
      <w:proofErr w:type="spellEnd"/>
      <w:r w:rsidRPr="00B736B7">
        <w:t>. </w:t>
      </w:r>
      <w:r w:rsidRPr="00B736B7">
        <w:t>1297</w:t>
      </w:r>
      <w:r w:rsidRPr="00B736B7">
        <w:t>/</w:t>
      </w:r>
      <w:r w:rsidRPr="00B736B7">
        <w:t>2008</w:t>
      </w:r>
      <w:r w:rsidRPr="00B736B7">
        <w:t>/EK par Eiropas uzņēmumu un tirdzniecības statistikas modernizācijas programmu (</w:t>
      </w:r>
      <w:r w:rsidRPr="00B736B7">
        <w:rPr>
          <w:i/>
        </w:rPr>
        <w:t>MEETS</w:t>
      </w:r>
      <w:r w:rsidRPr="00B736B7">
        <w:t>) (OV L </w:t>
      </w:r>
      <w:r w:rsidRPr="00B736B7">
        <w:t>340</w:t>
      </w:r>
      <w:r w:rsidRPr="00B736B7">
        <w:t xml:space="preserve">, </w:t>
      </w:r>
      <w:r w:rsidRPr="00B736B7">
        <w:t>19</w:t>
      </w:r>
      <w:r w:rsidRPr="00B736B7">
        <w:t>.</w:t>
      </w:r>
      <w:r w:rsidRPr="00B736B7">
        <w:t>12</w:t>
      </w:r>
      <w:r w:rsidRPr="00B736B7">
        <w:t>.</w:t>
      </w:r>
      <w:r w:rsidRPr="00B736B7">
        <w:t>2008</w:t>
      </w:r>
      <w:r w:rsidRPr="00B736B7">
        <w:t xml:space="preserve">., </w:t>
      </w:r>
      <w:r w:rsidRPr="00B736B7">
        <w:t>76</w:t>
      </w:r>
      <w:r w:rsidRPr="00B736B7">
        <w:t>. </w:t>
      </w:r>
      <w:proofErr w:type="spellStart"/>
      <w:r w:rsidRPr="00B736B7">
        <w:t>lpp</w:t>
      </w:r>
      <w:proofErr w:type="spellEnd"/>
      <w:r w:rsidRPr="00B736B7">
        <w:t>.).</w:t>
      </w:r>
    </w:p>
  </w:footnote>
  <w:footnote w:id="8">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2009</w:t>
      </w:r>
      <w:r w:rsidRPr="00B736B7">
        <w:t xml:space="preserve">. gada </w:t>
      </w:r>
      <w:r w:rsidRPr="00B736B7">
        <w:t>11</w:t>
      </w:r>
      <w:r w:rsidRPr="00B736B7">
        <w:t xml:space="preserve">. marta Regula </w:t>
      </w:r>
      <w:r w:rsidRPr="00B736B7">
        <w:t xml:space="preserve">(EK) </w:t>
      </w:r>
      <w:proofErr w:type="spellStart"/>
      <w:r w:rsidRPr="00B736B7">
        <w:t>Nr</w:t>
      </w:r>
      <w:proofErr w:type="spellEnd"/>
      <w:r w:rsidRPr="00B736B7">
        <w:t>. </w:t>
      </w:r>
      <w:r w:rsidRPr="00B736B7">
        <w:t>223</w:t>
      </w:r>
      <w:r w:rsidRPr="00B736B7">
        <w:t>/</w:t>
      </w:r>
      <w:r w:rsidRPr="00B736B7">
        <w:t>2009</w:t>
      </w:r>
      <w:r w:rsidRPr="00B736B7">
        <w:t xml:space="preserve"> par Eiropas statistiku un ar ko atceļ Eiropas Parlamenta un Padomes Regulu (EK, </w:t>
      </w:r>
      <w:proofErr w:type="spellStart"/>
      <w:r w:rsidRPr="00B736B7">
        <w:t>Euratom</w:t>
      </w:r>
      <w:proofErr w:type="spellEnd"/>
      <w:r w:rsidRPr="00B736B7">
        <w:t xml:space="preserve">) </w:t>
      </w:r>
      <w:proofErr w:type="spellStart"/>
      <w:r w:rsidRPr="00B736B7">
        <w:t>Nr</w:t>
      </w:r>
      <w:proofErr w:type="spellEnd"/>
      <w:r w:rsidRPr="00B736B7">
        <w:t>. </w:t>
      </w:r>
      <w:r w:rsidRPr="00B736B7">
        <w:t>1101</w:t>
      </w:r>
      <w:r w:rsidRPr="00B736B7">
        <w:t>/</w:t>
      </w:r>
      <w:r w:rsidRPr="00B736B7">
        <w:t>2008</w:t>
      </w:r>
      <w:r w:rsidRPr="00B736B7">
        <w:t xml:space="preserve"> par tādas statistikas informācijas nosūtīšanu Eiropas Kopienu Statistikas birojam, uz kuru attiecas konfidencialitāte, Padomes Regulu (</w:t>
      </w:r>
      <w:r w:rsidRPr="00B736B7">
        <w:t xml:space="preserve">EK) </w:t>
      </w:r>
      <w:proofErr w:type="spellStart"/>
      <w:r w:rsidRPr="00B736B7">
        <w:t>Nr</w:t>
      </w:r>
      <w:proofErr w:type="spellEnd"/>
      <w:r w:rsidRPr="00B736B7">
        <w:t>. </w:t>
      </w:r>
      <w:r w:rsidRPr="00B736B7">
        <w:t>322</w:t>
      </w:r>
      <w:r w:rsidRPr="00B736B7">
        <w:t>/</w:t>
      </w:r>
      <w:r w:rsidRPr="00B736B7">
        <w:t>97</w:t>
      </w:r>
      <w:r w:rsidRPr="00B736B7">
        <w:t xml:space="preserve"> par Kopienas statistiku un Padomes Lēmumu </w:t>
      </w:r>
      <w:r w:rsidRPr="00B736B7">
        <w:t>89</w:t>
      </w:r>
      <w:r w:rsidRPr="00B736B7">
        <w:t>/</w:t>
      </w:r>
      <w:r w:rsidRPr="00B736B7">
        <w:t>382</w:t>
      </w:r>
      <w:r w:rsidRPr="00B736B7">
        <w:t xml:space="preserve">/EEK, </w:t>
      </w:r>
      <w:proofErr w:type="spellStart"/>
      <w:r w:rsidRPr="00B736B7">
        <w:rPr>
          <w:i/>
        </w:rPr>
        <w:t>Euratom</w:t>
      </w:r>
      <w:proofErr w:type="spellEnd"/>
      <w:r w:rsidRPr="00B736B7">
        <w:t>, ar ko nodibina Eiropas Kopienu Statistikas programmu komiteju (OV L </w:t>
      </w:r>
      <w:r w:rsidRPr="00B736B7">
        <w:t>87</w:t>
      </w:r>
      <w:r w:rsidRPr="00B736B7">
        <w:t xml:space="preserve">, </w:t>
      </w:r>
      <w:r w:rsidRPr="00B736B7">
        <w:t>31</w:t>
      </w:r>
      <w:r w:rsidRPr="00B736B7">
        <w:t>.</w:t>
      </w:r>
      <w:r w:rsidRPr="00B736B7">
        <w:t>3</w:t>
      </w:r>
      <w:r w:rsidRPr="00B736B7">
        <w:t>.</w:t>
      </w:r>
      <w:r w:rsidRPr="00B736B7">
        <w:t>2009</w:t>
      </w:r>
      <w:r w:rsidRPr="00B736B7">
        <w:t xml:space="preserve">., </w:t>
      </w:r>
      <w:r w:rsidRPr="00B736B7">
        <w:t>164</w:t>
      </w:r>
      <w:r w:rsidRPr="00B736B7">
        <w:t xml:space="preserve">. </w:t>
      </w:r>
      <w:proofErr w:type="spellStart"/>
      <w:r w:rsidRPr="00B736B7">
        <w:t>lpp</w:t>
      </w:r>
      <w:proofErr w:type="spellEnd"/>
      <w:r w:rsidRPr="00B736B7">
        <w:t>.).</w:t>
      </w:r>
    </w:p>
  </w:footnote>
  <w:footnote w:id="9">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2013</w:t>
      </w:r>
      <w:r w:rsidRPr="00B736B7">
        <w:t xml:space="preserve">. gada </w:t>
      </w:r>
      <w:r w:rsidRPr="00B736B7">
        <w:t>9</w:t>
      </w:r>
      <w:r w:rsidRPr="00B736B7">
        <w:t xml:space="preserve">. oktobra Regula (EK) </w:t>
      </w:r>
      <w:proofErr w:type="spellStart"/>
      <w:r w:rsidRPr="00B736B7">
        <w:t>Nr</w:t>
      </w:r>
      <w:proofErr w:type="spellEnd"/>
      <w:r w:rsidRPr="00B736B7">
        <w:t>. </w:t>
      </w:r>
      <w:r w:rsidRPr="00B736B7">
        <w:t>952</w:t>
      </w:r>
      <w:r w:rsidRPr="00B736B7">
        <w:t>/</w:t>
      </w:r>
      <w:r w:rsidRPr="00B736B7">
        <w:t>2013</w:t>
      </w:r>
      <w:r w:rsidRPr="00B736B7">
        <w:t>, ar</w:t>
      </w:r>
      <w:r w:rsidRPr="00B736B7">
        <w:t xml:space="preserve"> ko izveido Savienības Muitas kodeksu (OV L </w:t>
      </w:r>
      <w:r w:rsidRPr="00B736B7">
        <w:t>269</w:t>
      </w:r>
      <w:r w:rsidRPr="00B736B7">
        <w:t xml:space="preserve">, </w:t>
      </w:r>
      <w:r w:rsidRPr="00B736B7">
        <w:t>10</w:t>
      </w:r>
      <w:r w:rsidRPr="00B736B7">
        <w:t>.</w:t>
      </w:r>
      <w:r w:rsidRPr="00B736B7">
        <w:t>10</w:t>
      </w:r>
      <w:r w:rsidRPr="00B736B7">
        <w:t>.</w:t>
      </w:r>
      <w:r w:rsidRPr="00B736B7">
        <w:t>2013</w:t>
      </w:r>
      <w:r w:rsidRPr="00B736B7">
        <w:t xml:space="preserve">., </w:t>
      </w:r>
      <w:r w:rsidRPr="00B736B7">
        <w:t>1</w:t>
      </w:r>
      <w:r w:rsidRPr="00B736B7">
        <w:t>. </w:t>
      </w:r>
      <w:proofErr w:type="spellStart"/>
      <w:r w:rsidRPr="00B736B7">
        <w:t>lpp</w:t>
      </w:r>
      <w:proofErr w:type="spellEnd"/>
      <w:r w:rsidRPr="00B736B7">
        <w:t>.)</w:t>
      </w:r>
    </w:p>
  </w:footnote>
  <w:footnote w:id="10">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2013</w:t>
      </w:r>
      <w:r w:rsidRPr="00B736B7">
        <w:t xml:space="preserve">. gada </w:t>
      </w:r>
      <w:r w:rsidRPr="00B736B7">
        <w:t>21</w:t>
      </w:r>
      <w:r w:rsidRPr="00B736B7">
        <w:t xml:space="preserve">. maija Regula (ES) </w:t>
      </w:r>
      <w:proofErr w:type="spellStart"/>
      <w:r w:rsidRPr="00B736B7">
        <w:t>Nr</w:t>
      </w:r>
      <w:proofErr w:type="spellEnd"/>
      <w:r w:rsidRPr="00B736B7">
        <w:t>. </w:t>
      </w:r>
      <w:r w:rsidRPr="00B736B7">
        <w:t>549</w:t>
      </w:r>
      <w:r w:rsidRPr="00B736B7">
        <w:t>/</w:t>
      </w:r>
      <w:r w:rsidRPr="00B736B7">
        <w:t>2013</w:t>
      </w:r>
      <w:r w:rsidRPr="00B736B7">
        <w:t xml:space="preserve"> par Eiropas nacionālo un reģionālo kontu sistēmu Eiropas Savienībā (OV L </w:t>
      </w:r>
      <w:r w:rsidRPr="00B736B7">
        <w:t>174</w:t>
      </w:r>
      <w:r w:rsidRPr="00B736B7">
        <w:t xml:space="preserve">, </w:t>
      </w:r>
      <w:r w:rsidRPr="00B736B7">
        <w:t>26</w:t>
      </w:r>
      <w:r w:rsidRPr="00B736B7">
        <w:t>.</w:t>
      </w:r>
      <w:r w:rsidRPr="00B736B7">
        <w:t>6</w:t>
      </w:r>
      <w:r w:rsidRPr="00B736B7">
        <w:t>.</w:t>
      </w:r>
      <w:r w:rsidRPr="00B736B7">
        <w:t>2013</w:t>
      </w:r>
      <w:r w:rsidRPr="00B736B7">
        <w:t xml:space="preserve">., </w:t>
      </w:r>
      <w:r w:rsidRPr="00B736B7">
        <w:t>1</w:t>
      </w:r>
      <w:r w:rsidRPr="00B736B7">
        <w:t>. </w:t>
      </w:r>
      <w:proofErr w:type="spellStart"/>
      <w:r w:rsidRPr="00B736B7">
        <w:t>lpp</w:t>
      </w:r>
      <w:proofErr w:type="spellEnd"/>
      <w:r w:rsidRPr="00B736B7">
        <w:t>.).</w:t>
      </w:r>
    </w:p>
  </w:footnote>
  <w:footnote w:id="11">
    <w:p w:rsidR="00132BAA" w:rsidRPr="00B736B7" w:rsidRDefault="00B31A4A">
      <w:pPr>
        <w:pStyle w:val="FootnoteText"/>
      </w:pPr>
      <w:r w:rsidRPr="00B736B7">
        <w:rPr>
          <w:rStyle w:val="FootnoteReference"/>
        </w:rPr>
        <w:footnoteRef/>
      </w:r>
      <w:r w:rsidRPr="00B736B7">
        <w:tab/>
      </w:r>
      <w:r w:rsidRPr="00B736B7">
        <w:t>OV L </w:t>
      </w:r>
      <w:r w:rsidRPr="00B736B7">
        <w:t>123</w:t>
      </w:r>
      <w:r w:rsidRPr="00B736B7">
        <w:t xml:space="preserve">, </w:t>
      </w:r>
      <w:r w:rsidRPr="00B736B7">
        <w:t>12</w:t>
      </w:r>
      <w:r w:rsidRPr="00B736B7">
        <w:t>.</w:t>
      </w:r>
      <w:r w:rsidRPr="00B736B7">
        <w:t>5</w:t>
      </w:r>
      <w:r w:rsidRPr="00B736B7">
        <w:t>.</w:t>
      </w:r>
      <w:r w:rsidRPr="00B736B7">
        <w:t>2016</w:t>
      </w:r>
      <w:r w:rsidRPr="00B736B7">
        <w:t xml:space="preserve">., </w:t>
      </w:r>
      <w:r w:rsidRPr="00B736B7">
        <w:t>1</w:t>
      </w:r>
      <w:r w:rsidRPr="00B736B7">
        <w:t>. </w:t>
      </w:r>
      <w:proofErr w:type="spellStart"/>
      <w:r w:rsidRPr="00B736B7">
        <w:t>lpp</w:t>
      </w:r>
      <w:proofErr w:type="spellEnd"/>
      <w:r w:rsidRPr="00B736B7">
        <w:t>.</w:t>
      </w:r>
    </w:p>
  </w:footnote>
  <w:footnote w:id="12">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2011</w:t>
      </w:r>
      <w:r w:rsidRPr="00B736B7">
        <w:t xml:space="preserve">. gada </w:t>
      </w:r>
      <w:r w:rsidRPr="00B736B7">
        <w:t>16</w:t>
      </w:r>
      <w:r w:rsidRPr="00B736B7">
        <w:t xml:space="preserve">. februāra Regula (ES) </w:t>
      </w:r>
      <w:proofErr w:type="spellStart"/>
      <w:r w:rsidRPr="00B736B7">
        <w:t>Nr</w:t>
      </w:r>
      <w:proofErr w:type="spellEnd"/>
      <w:r w:rsidRPr="00B736B7">
        <w:t>. </w:t>
      </w:r>
      <w:r w:rsidRPr="00B736B7">
        <w:t>182</w:t>
      </w:r>
      <w:r w:rsidRPr="00B736B7">
        <w:t>/</w:t>
      </w:r>
      <w:r w:rsidRPr="00B736B7">
        <w:t>2011</w:t>
      </w:r>
      <w:r w:rsidRPr="00B736B7">
        <w:t>, ar ko nosaka normas un vispārīgus principus par dalībvalstu kontroles mehānismiem, kuri attiecas uz Komisijas īstenošanas pilnvaru izmantošanu (OV L </w:t>
      </w:r>
      <w:r w:rsidRPr="00B736B7">
        <w:t>55</w:t>
      </w:r>
      <w:r w:rsidRPr="00B736B7">
        <w:t xml:space="preserve">, </w:t>
      </w:r>
      <w:r w:rsidRPr="00B736B7">
        <w:t>28</w:t>
      </w:r>
      <w:r w:rsidRPr="00B736B7">
        <w:t>.</w:t>
      </w:r>
      <w:r w:rsidRPr="00B736B7">
        <w:t>2</w:t>
      </w:r>
      <w:r w:rsidRPr="00B736B7">
        <w:t>.</w:t>
      </w:r>
      <w:r w:rsidRPr="00B736B7">
        <w:t>2011</w:t>
      </w:r>
      <w:r w:rsidRPr="00B736B7">
        <w:t xml:space="preserve">., </w:t>
      </w:r>
      <w:r w:rsidRPr="00B736B7">
        <w:t>13</w:t>
      </w:r>
      <w:r w:rsidRPr="00B736B7">
        <w:t>. </w:t>
      </w:r>
      <w:proofErr w:type="spellStart"/>
      <w:r w:rsidRPr="00B736B7">
        <w:t>lpp</w:t>
      </w:r>
      <w:proofErr w:type="spellEnd"/>
      <w:r w:rsidRPr="00B736B7">
        <w:t>.).</w:t>
      </w:r>
    </w:p>
  </w:footnote>
  <w:footnote w:id="13">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2005</w:t>
      </w:r>
      <w:r w:rsidRPr="00B736B7">
        <w:t xml:space="preserve">. gada </w:t>
      </w:r>
      <w:r w:rsidRPr="00B736B7">
        <w:t>12</w:t>
      </w:r>
      <w:r w:rsidRPr="00B736B7">
        <w:t xml:space="preserve">. janvāra Regula (EK) </w:t>
      </w:r>
      <w:proofErr w:type="spellStart"/>
      <w:r w:rsidRPr="00B736B7">
        <w:t>Nr</w:t>
      </w:r>
      <w:proofErr w:type="spellEnd"/>
      <w:r w:rsidRPr="00B736B7">
        <w:t>. </w:t>
      </w:r>
      <w:r w:rsidRPr="00B736B7">
        <w:t>184</w:t>
      </w:r>
      <w:r w:rsidRPr="00B736B7">
        <w:t>/</w:t>
      </w:r>
      <w:r w:rsidRPr="00B736B7">
        <w:t>2005</w:t>
      </w:r>
      <w:r w:rsidRPr="00B736B7">
        <w:t xml:space="preserve"> par Kopienas statistiku attiecībā uz maksājumu bilanci, starptautisko pakalpojumu tirdzniecību un ārvalstu tiešajiem ieguldījumiem (OV L </w:t>
      </w:r>
      <w:r w:rsidRPr="00B736B7">
        <w:t>35</w:t>
      </w:r>
      <w:r w:rsidRPr="00B736B7">
        <w:t xml:space="preserve">, </w:t>
      </w:r>
      <w:r w:rsidRPr="00B736B7">
        <w:t>8</w:t>
      </w:r>
      <w:r w:rsidRPr="00B736B7">
        <w:t>.</w:t>
      </w:r>
      <w:r w:rsidRPr="00B736B7">
        <w:t>2</w:t>
      </w:r>
      <w:r w:rsidRPr="00B736B7">
        <w:t>.</w:t>
      </w:r>
      <w:r w:rsidRPr="00B736B7">
        <w:t>2005</w:t>
      </w:r>
      <w:r w:rsidRPr="00B736B7">
        <w:t xml:space="preserve">., </w:t>
      </w:r>
      <w:r w:rsidRPr="00B736B7">
        <w:t>23</w:t>
      </w:r>
      <w:r w:rsidRPr="00B736B7">
        <w:t>. </w:t>
      </w:r>
      <w:proofErr w:type="spellStart"/>
      <w:r w:rsidRPr="00B736B7">
        <w:t>lpp</w:t>
      </w:r>
      <w:proofErr w:type="spellEnd"/>
      <w:r w:rsidRPr="00B736B7">
        <w:t>.).</w:t>
      </w:r>
    </w:p>
  </w:footnote>
  <w:footnote w:id="14">
    <w:p w:rsidR="00132BAA" w:rsidRPr="00B736B7" w:rsidRDefault="00B31A4A">
      <w:pPr>
        <w:pStyle w:val="FootnoteText"/>
      </w:pPr>
      <w:r w:rsidRPr="00B736B7">
        <w:rPr>
          <w:rStyle w:val="FootnoteReference"/>
        </w:rPr>
        <w:footnoteRef/>
      </w:r>
      <w:r w:rsidRPr="00B736B7">
        <w:tab/>
      </w:r>
      <w:r w:rsidRPr="00B736B7">
        <w:t xml:space="preserve">Padomes </w:t>
      </w:r>
      <w:r w:rsidRPr="00B736B7">
        <w:t>1991</w:t>
      </w:r>
      <w:r w:rsidRPr="00B736B7">
        <w:t xml:space="preserve">. gada </w:t>
      </w:r>
      <w:r w:rsidRPr="00B736B7">
        <w:t>19</w:t>
      </w:r>
      <w:r w:rsidRPr="00B736B7">
        <w:t xml:space="preserve">. decembra Regula (EK) </w:t>
      </w:r>
      <w:proofErr w:type="spellStart"/>
      <w:r w:rsidRPr="00B736B7">
        <w:t>Nr</w:t>
      </w:r>
      <w:proofErr w:type="spellEnd"/>
      <w:r w:rsidRPr="00B736B7">
        <w:t>. </w:t>
      </w:r>
      <w:r w:rsidRPr="00B736B7">
        <w:t>3924</w:t>
      </w:r>
      <w:r w:rsidRPr="00B736B7">
        <w:t>/</w:t>
      </w:r>
      <w:r w:rsidRPr="00B736B7">
        <w:t>91</w:t>
      </w:r>
      <w:r w:rsidRPr="00B736B7">
        <w:t xml:space="preserve"> par rūpnieciskās ražošanas Kopienas apsekojuma izveidi (OV L </w:t>
      </w:r>
      <w:r w:rsidRPr="00B736B7">
        <w:t>374</w:t>
      </w:r>
      <w:r w:rsidRPr="00B736B7">
        <w:t xml:space="preserve">, </w:t>
      </w:r>
      <w:r w:rsidRPr="00B736B7">
        <w:t>31</w:t>
      </w:r>
      <w:r w:rsidRPr="00B736B7">
        <w:t>.</w:t>
      </w:r>
      <w:r w:rsidRPr="00B736B7">
        <w:t>12</w:t>
      </w:r>
      <w:r w:rsidRPr="00B736B7">
        <w:t>.</w:t>
      </w:r>
      <w:r w:rsidRPr="00B736B7">
        <w:t>1991</w:t>
      </w:r>
      <w:r w:rsidRPr="00B736B7">
        <w:t xml:space="preserve">., </w:t>
      </w:r>
      <w:r w:rsidRPr="00B736B7">
        <w:t>1</w:t>
      </w:r>
      <w:r w:rsidRPr="00B736B7">
        <w:t xml:space="preserve">. </w:t>
      </w:r>
      <w:proofErr w:type="spellStart"/>
      <w:r w:rsidRPr="00B736B7">
        <w:t>lpp</w:t>
      </w:r>
      <w:proofErr w:type="spellEnd"/>
      <w:r w:rsidRPr="00B736B7">
        <w:t>.).</w:t>
      </w:r>
    </w:p>
  </w:footnote>
  <w:footnote w:id="15">
    <w:p w:rsidR="00132BAA" w:rsidRPr="00B736B7" w:rsidRDefault="00B31A4A">
      <w:pPr>
        <w:pStyle w:val="FootnoteText"/>
      </w:pPr>
      <w:r w:rsidRPr="00B736B7">
        <w:rPr>
          <w:rStyle w:val="FootnoteReference"/>
        </w:rPr>
        <w:footnoteRef/>
      </w:r>
      <w:r w:rsidRPr="00B736B7">
        <w:tab/>
      </w:r>
      <w:r w:rsidRPr="00B736B7">
        <w:t xml:space="preserve">Padomes </w:t>
      </w:r>
      <w:r w:rsidRPr="00B736B7">
        <w:t>1998</w:t>
      </w:r>
      <w:r w:rsidRPr="00B736B7">
        <w:t xml:space="preserve">. gada </w:t>
      </w:r>
      <w:r w:rsidRPr="00B736B7">
        <w:t>19</w:t>
      </w:r>
      <w:r w:rsidRPr="00B736B7">
        <w:t xml:space="preserve">. maija Regula (EK) </w:t>
      </w:r>
      <w:proofErr w:type="spellStart"/>
      <w:r w:rsidRPr="00B736B7">
        <w:t>Nr</w:t>
      </w:r>
      <w:proofErr w:type="spellEnd"/>
      <w:r w:rsidRPr="00B736B7">
        <w:t>. </w:t>
      </w:r>
      <w:r w:rsidRPr="00B736B7">
        <w:t>1165</w:t>
      </w:r>
      <w:r w:rsidRPr="00B736B7">
        <w:t>/</w:t>
      </w:r>
      <w:r w:rsidRPr="00B736B7">
        <w:t>98</w:t>
      </w:r>
      <w:r w:rsidRPr="00B736B7">
        <w:t xml:space="preserve"> par īstermiņa statistiku (OV L </w:t>
      </w:r>
      <w:r w:rsidRPr="00B736B7">
        <w:t>162</w:t>
      </w:r>
      <w:r w:rsidRPr="00B736B7">
        <w:t xml:space="preserve">, </w:t>
      </w:r>
      <w:r w:rsidRPr="00B736B7">
        <w:t>5</w:t>
      </w:r>
      <w:r w:rsidRPr="00B736B7">
        <w:t>.</w:t>
      </w:r>
      <w:r w:rsidRPr="00B736B7">
        <w:t>6</w:t>
      </w:r>
      <w:r w:rsidRPr="00B736B7">
        <w:t>.</w:t>
      </w:r>
      <w:r w:rsidRPr="00B736B7">
        <w:t>1998</w:t>
      </w:r>
      <w:r w:rsidRPr="00B736B7">
        <w:t xml:space="preserve">., </w:t>
      </w:r>
      <w:r w:rsidRPr="00B736B7">
        <w:t>1</w:t>
      </w:r>
      <w:r w:rsidRPr="00B736B7">
        <w:t>. </w:t>
      </w:r>
      <w:proofErr w:type="spellStart"/>
      <w:r w:rsidRPr="00B736B7">
        <w:t>lpp</w:t>
      </w:r>
      <w:proofErr w:type="spellEnd"/>
      <w:r w:rsidRPr="00B736B7">
        <w:t>.).</w:t>
      </w:r>
    </w:p>
  </w:footnote>
  <w:footnote w:id="16">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2003</w:t>
      </w:r>
      <w:r w:rsidRPr="00B736B7">
        <w:t xml:space="preserve">. gada </w:t>
      </w:r>
      <w:r w:rsidRPr="00B736B7">
        <w:t>22</w:t>
      </w:r>
      <w:r w:rsidRPr="00B736B7">
        <w:t xml:space="preserve">. jūlija Lēmums </w:t>
      </w:r>
      <w:proofErr w:type="spellStart"/>
      <w:r w:rsidRPr="00B736B7">
        <w:t>Nr</w:t>
      </w:r>
      <w:proofErr w:type="spellEnd"/>
      <w:r w:rsidRPr="00B736B7">
        <w:t>. </w:t>
      </w:r>
      <w:r w:rsidRPr="00B736B7">
        <w:t>1608</w:t>
      </w:r>
      <w:r w:rsidRPr="00B736B7">
        <w:t>/</w:t>
      </w:r>
      <w:r w:rsidRPr="00B736B7">
        <w:t>2003</w:t>
      </w:r>
      <w:r w:rsidRPr="00B736B7">
        <w:t>/EK par Kopienas zinātnes un tehnoloģijas statistikas izstrādāšanu un pilnveidošanu (OV L </w:t>
      </w:r>
      <w:r w:rsidRPr="00B736B7">
        <w:t>230</w:t>
      </w:r>
      <w:r w:rsidRPr="00B736B7">
        <w:t xml:space="preserve">, </w:t>
      </w:r>
      <w:r w:rsidRPr="00B736B7">
        <w:t>16</w:t>
      </w:r>
      <w:r w:rsidRPr="00B736B7">
        <w:t>.</w:t>
      </w:r>
      <w:r w:rsidRPr="00B736B7">
        <w:t>9</w:t>
      </w:r>
      <w:r w:rsidRPr="00B736B7">
        <w:t>.</w:t>
      </w:r>
      <w:r w:rsidRPr="00B736B7">
        <w:t>2003</w:t>
      </w:r>
      <w:r w:rsidRPr="00B736B7">
        <w:t xml:space="preserve">., </w:t>
      </w:r>
      <w:r w:rsidRPr="00B736B7">
        <w:t>1</w:t>
      </w:r>
      <w:r w:rsidRPr="00B736B7">
        <w:t>. </w:t>
      </w:r>
      <w:proofErr w:type="spellStart"/>
      <w:r w:rsidRPr="00B736B7">
        <w:t>lpp</w:t>
      </w:r>
      <w:proofErr w:type="spellEnd"/>
      <w:r w:rsidRPr="00B736B7">
        <w:t>.).</w:t>
      </w:r>
    </w:p>
  </w:footnote>
  <w:footnote w:id="17">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2003</w:t>
      </w:r>
      <w:r w:rsidRPr="00B736B7">
        <w:t xml:space="preserve">. gada </w:t>
      </w:r>
      <w:r w:rsidRPr="00B736B7">
        <w:t>5</w:t>
      </w:r>
      <w:r w:rsidRPr="00B736B7">
        <w:t xml:space="preserve">. decembra Regula (EK) </w:t>
      </w:r>
      <w:proofErr w:type="spellStart"/>
      <w:r w:rsidRPr="00B736B7">
        <w:t>Nr</w:t>
      </w:r>
      <w:proofErr w:type="spellEnd"/>
      <w:r w:rsidRPr="00B736B7">
        <w:t>. </w:t>
      </w:r>
      <w:r w:rsidRPr="00B736B7">
        <w:t>48</w:t>
      </w:r>
      <w:r w:rsidRPr="00B736B7">
        <w:t>/</w:t>
      </w:r>
      <w:r w:rsidRPr="00B736B7">
        <w:t>2004</w:t>
      </w:r>
      <w:r w:rsidRPr="00B736B7">
        <w:t xml:space="preserve"> par ikgadējo Kopienas statistikas apkopošanu par tērauda rūpniecību </w:t>
      </w:r>
      <w:r w:rsidRPr="00B736B7">
        <w:t>2003</w:t>
      </w:r>
      <w:r w:rsidRPr="00B736B7">
        <w:t xml:space="preserve">. līdz </w:t>
      </w:r>
      <w:r w:rsidRPr="00B736B7">
        <w:t>2009</w:t>
      </w:r>
      <w:r w:rsidRPr="00B736B7">
        <w:t>. pārskata gadā (OV L </w:t>
      </w:r>
      <w:r w:rsidRPr="00B736B7">
        <w:t>7</w:t>
      </w:r>
      <w:r w:rsidRPr="00B736B7">
        <w:t xml:space="preserve">, </w:t>
      </w:r>
      <w:r w:rsidRPr="00B736B7">
        <w:t>13</w:t>
      </w:r>
      <w:r w:rsidRPr="00B736B7">
        <w:t>.</w:t>
      </w:r>
      <w:r w:rsidRPr="00B736B7">
        <w:t>1</w:t>
      </w:r>
      <w:r w:rsidRPr="00B736B7">
        <w:t>.</w:t>
      </w:r>
      <w:r w:rsidRPr="00B736B7">
        <w:t>2004</w:t>
      </w:r>
      <w:r w:rsidRPr="00B736B7">
        <w:t xml:space="preserve">., </w:t>
      </w:r>
      <w:r w:rsidRPr="00B736B7">
        <w:t>1</w:t>
      </w:r>
      <w:r w:rsidRPr="00B736B7">
        <w:t>. </w:t>
      </w:r>
      <w:proofErr w:type="spellStart"/>
      <w:r w:rsidRPr="00B736B7">
        <w:t>lpp</w:t>
      </w:r>
      <w:proofErr w:type="spellEnd"/>
      <w:r w:rsidRPr="00B736B7">
        <w:t>.).</w:t>
      </w:r>
    </w:p>
  </w:footnote>
  <w:footnote w:id="18">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2004</w:t>
      </w:r>
      <w:r w:rsidRPr="00B736B7">
        <w:t xml:space="preserve">. gada </w:t>
      </w:r>
      <w:r w:rsidRPr="00B736B7">
        <w:t>31</w:t>
      </w:r>
      <w:r w:rsidRPr="00B736B7">
        <w:t xml:space="preserve">. marta Regula (EK) </w:t>
      </w:r>
      <w:proofErr w:type="spellStart"/>
      <w:r w:rsidRPr="00B736B7">
        <w:t>Nr</w:t>
      </w:r>
      <w:proofErr w:type="spellEnd"/>
      <w:r w:rsidRPr="00B736B7">
        <w:t>. </w:t>
      </w:r>
      <w:r w:rsidRPr="00B736B7">
        <w:t>638</w:t>
      </w:r>
      <w:r w:rsidRPr="00B736B7">
        <w:t>/</w:t>
      </w:r>
      <w:r w:rsidRPr="00B736B7">
        <w:t>2004</w:t>
      </w:r>
      <w:r w:rsidRPr="00B736B7">
        <w:t xml:space="preserve"> par Kopienas </w:t>
      </w:r>
      <w:r w:rsidRPr="00B736B7">
        <w:t xml:space="preserve">statistiku dalībvalstu savstarpējās preču tirdzniecības jomā un par Padomes Regulas (EEK) </w:t>
      </w:r>
      <w:proofErr w:type="spellStart"/>
      <w:r w:rsidRPr="00B736B7">
        <w:t>Nr</w:t>
      </w:r>
      <w:proofErr w:type="spellEnd"/>
      <w:r w:rsidRPr="00B736B7">
        <w:t>. </w:t>
      </w:r>
      <w:r w:rsidRPr="00B736B7">
        <w:t>3330</w:t>
      </w:r>
      <w:r w:rsidRPr="00B736B7">
        <w:t>/</w:t>
      </w:r>
      <w:r w:rsidRPr="00B736B7">
        <w:t>91</w:t>
      </w:r>
      <w:r w:rsidRPr="00B736B7">
        <w:t xml:space="preserve"> atcelšanu (OV L </w:t>
      </w:r>
      <w:r w:rsidRPr="00B736B7">
        <w:t>102</w:t>
      </w:r>
      <w:r w:rsidRPr="00B736B7">
        <w:t xml:space="preserve">, </w:t>
      </w:r>
      <w:r w:rsidRPr="00B736B7">
        <w:t>7</w:t>
      </w:r>
      <w:r w:rsidRPr="00B736B7">
        <w:t>.</w:t>
      </w:r>
      <w:r w:rsidRPr="00B736B7">
        <w:t>4</w:t>
      </w:r>
      <w:r w:rsidRPr="00B736B7">
        <w:t>.</w:t>
      </w:r>
      <w:r w:rsidRPr="00B736B7">
        <w:t>2004</w:t>
      </w:r>
      <w:r w:rsidRPr="00B736B7">
        <w:t xml:space="preserve">., </w:t>
      </w:r>
      <w:r w:rsidRPr="00B736B7">
        <w:t>1</w:t>
      </w:r>
      <w:r w:rsidRPr="00B736B7">
        <w:t>. </w:t>
      </w:r>
      <w:proofErr w:type="spellStart"/>
      <w:r w:rsidRPr="00B736B7">
        <w:t>lpp</w:t>
      </w:r>
      <w:proofErr w:type="spellEnd"/>
      <w:r w:rsidRPr="00B736B7">
        <w:t>.).</w:t>
      </w:r>
    </w:p>
  </w:footnote>
  <w:footnote w:id="19">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2004</w:t>
      </w:r>
      <w:r w:rsidRPr="00B736B7">
        <w:t xml:space="preserve">. gada </w:t>
      </w:r>
      <w:r w:rsidRPr="00B736B7">
        <w:t>21</w:t>
      </w:r>
      <w:r w:rsidRPr="00B736B7">
        <w:t xml:space="preserve">. aprīļa Regula (EK) </w:t>
      </w:r>
      <w:proofErr w:type="spellStart"/>
      <w:r w:rsidRPr="00B736B7">
        <w:t>Nr</w:t>
      </w:r>
      <w:proofErr w:type="spellEnd"/>
      <w:r w:rsidRPr="00B736B7">
        <w:t>. </w:t>
      </w:r>
      <w:r w:rsidRPr="00B736B7">
        <w:t>808</w:t>
      </w:r>
      <w:r w:rsidRPr="00B736B7">
        <w:t>/</w:t>
      </w:r>
      <w:r w:rsidRPr="00B736B7">
        <w:t>2004</w:t>
      </w:r>
      <w:r w:rsidRPr="00B736B7">
        <w:t xml:space="preserve"> attiecībā uz Kopienas statistiku </w:t>
      </w:r>
      <w:r w:rsidRPr="00B736B7">
        <w:t>par informācijas sabiedrību (OV L </w:t>
      </w:r>
      <w:r w:rsidRPr="00B736B7">
        <w:t>143</w:t>
      </w:r>
      <w:r w:rsidRPr="00B736B7">
        <w:t xml:space="preserve">, </w:t>
      </w:r>
      <w:r w:rsidRPr="00B736B7">
        <w:t>30</w:t>
      </w:r>
      <w:r w:rsidRPr="00B736B7">
        <w:t>.</w:t>
      </w:r>
      <w:r w:rsidRPr="00B736B7">
        <w:t>4</w:t>
      </w:r>
      <w:r w:rsidRPr="00B736B7">
        <w:t>.</w:t>
      </w:r>
      <w:r w:rsidRPr="00B736B7">
        <w:t>2004</w:t>
      </w:r>
      <w:r w:rsidRPr="00B736B7">
        <w:t xml:space="preserve">., </w:t>
      </w:r>
      <w:r w:rsidRPr="00B736B7">
        <w:t>49</w:t>
      </w:r>
      <w:r w:rsidRPr="00B736B7">
        <w:t>. </w:t>
      </w:r>
      <w:proofErr w:type="spellStart"/>
      <w:r w:rsidRPr="00B736B7">
        <w:t>lpp</w:t>
      </w:r>
      <w:proofErr w:type="spellEnd"/>
      <w:r w:rsidRPr="00B736B7">
        <w:t>.).</w:t>
      </w:r>
    </w:p>
  </w:footnote>
  <w:footnote w:id="20">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2007</w:t>
      </w:r>
      <w:r w:rsidRPr="00B736B7">
        <w:t xml:space="preserve">. gada </w:t>
      </w:r>
      <w:r w:rsidRPr="00B736B7">
        <w:t>20</w:t>
      </w:r>
      <w:r w:rsidRPr="00B736B7">
        <w:t>. jūnija Regula (EK) </w:t>
      </w:r>
      <w:proofErr w:type="spellStart"/>
      <w:r w:rsidRPr="00B736B7">
        <w:t>Nr</w:t>
      </w:r>
      <w:proofErr w:type="spellEnd"/>
      <w:r w:rsidRPr="00B736B7">
        <w:t>. </w:t>
      </w:r>
      <w:r w:rsidRPr="00B736B7">
        <w:t>716</w:t>
      </w:r>
      <w:r w:rsidRPr="00B736B7">
        <w:t>/</w:t>
      </w:r>
      <w:r w:rsidRPr="00B736B7">
        <w:t>2007</w:t>
      </w:r>
      <w:r w:rsidRPr="00B736B7">
        <w:t xml:space="preserve"> attiecībā uz Kopienas statistiku par ārvalstu saistītu uzņēmumu struktūru un darbību (OV L </w:t>
      </w:r>
      <w:r w:rsidRPr="00B736B7">
        <w:t>171</w:t>
      </w:r>
      <w:r w:rsidRPr="00B736B7">
        <w:t xml:space="preserve">, </w:t>
      </w:r>
      <w:r w:rsidRPr="00B736B7">
        <w:t>29</w:t>
      </w:r>
      <w:r w:rsidRPr="00B736B7">
        <w:t>.</w:t>
      </w:r>
      <w:r w:rsidRPr="00B736B7">
        <w:t>6</w:t>
      </w:r>
      <w:r w:rsidRPr="00B736B7">
        <w:t>.</w:t>
      </w:r>
      <w:r w:rsidRPr="00B736B7">
        <w:t>2007</w:t>
      </w:r>
      <w:r w:rsidRPr="00B736B7">
        <w:t xml:space="preserve">., </w:t>
      </w:r>
      <w:r w:rsidRPr="00B736B7">
        <w:t>17</w:t>
      </w:r>
      <w:r w:rsidRPr="00B736B7">
        <w:t>. </w:t>
      </w:r>
      <w:proofErr w:type="spellStart"/>
      <w:r w:rsidRPr="00B736B7">
        <w:t>lpp</w:t>
      </w:r>
      <w:proofErr w:type="spellEnd"/>
      <w:r w:rsidRPr="00B736B7">
        <w:t>.).</w:t>
      </w:r>
    </w:p>
  </w:footnote>
  <w:footnote w:id="21">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2008</w:t>
      </w:r>
      <w:r w:rsidRPr="00B736B7">
        <w:t xml:space="preserve">. gada </w:t>
      </w:r>
      <w:r w:rsidRPr="00B736B7">
        <w:t>20</w:t>
      </w:r>
      <w:r w:rsidRPr="00B736B7">
        <w:t xml:space="preserve">. februāra Regula (EK) </w:t>
      </w:r>
      <w:proofErr w:type="spellStart"/>
      <w:r w:rsidRPr="00B736B7">
        <w:t>Nr</w:t>
      </w:r>
      <w:proofErr w:type="spellEnd"/>
      <w:r w:rsidRPr="00B736B7">
        <w:t>. </w:t>
      </w:r>
      <w:r w:rsidRPr="00B736B7">
        <w:t>177</w:t>
      </w:r>
      <w:r w:rsidRPr="00B736B7">
        <w:t>/</w:t>
      </w:r>
      <w:r w:rsidRPr="00B736B7">
        <w:t>2008</w:t>
      </w:r>
      <w:r w:rsidRPr="00B736B7">
        <w:t xml:space="preserve">, ar ko izveido kopēju uzņēmumu reģistru sistēmu statistikas vajadzībām un atceļ Padomes Regulu (EEK) </w:t>
      </w:r>
      <w:proofErr w:type="spellStart"/>
      <w:r w:rsidRPr="00B736B7">
        <w:t>Nr</w:t>
      </w:r>
      <w:proofErr w:type="spellEnd"/>
      <w:r w:rsidRPr="00B736B7">
        <w:t>. </w:t>
      </w:r>
      <w:r w:rsidRPr="00B736B7">
        <w:t>2186</w:t>
      </w:r>
      <w:r w:rsidRPr="00B736B7">
        <w:t>/</w:t>
      </w:r>
      <w:r w:rsidRPr="00B736B7">
        <w:t>93</w:t>
      </w:r>
      <w:r w:rsidRPr="00B736B7">
        <w:t xml:space="preserve"> (OV L </w:t>
      </w:r>
      <w:r w:rsidRPr="00B736B7">
        <w:t>61</w:t>
      </w:r>
      <w:r w:rsidRPr="00B736B7">
        <w:t xml:space="preserve">, </w:t>
      </w:r>
      <w:r w:rsidRPr="00B736B7">
        <w:t>5</w:t>
      </w:r>
      <w:r w:rsidRPr="00B736B7">
        <w:t>.</w:t>
      </w:r>
      <w:r w:rsidRPr="00B736B7">
        <w:t>3</w:t>
      </w:r>
      <w:r w:rsidRPr="00B736B7">
        <w:t>.</w:t>
      </w:r>
      <w:r w:rsidRPr="00B736B7">
        <w:t>2008</w:t>
      </w:r>
      <w:r w:rsidRPr="00B736B7">
        <w:t xml:space="preserve">., </w:t>
      </w:r>
      <w:r w:rsidRPr="00B736B7">
        <w:t>6</w:t>
      </w:r>
      <w:r w:rsidRPr="00B736B7">
        <w:t>. </w:t>
      </w:r>
      <w:proofErr w:type="spellStart"/>
      <w:r w:rsidRPr="00B736B7">
        <w:t>lpp</w:t>
      </w:r>
      <w:proofErr w:type="spellEnd"/>
      <w:r w:rsidRPr="00B736B7">
        <w:t>.).</w:t>
      </w:r>
    </w:p>
  </w:footnote>
  <w:footnote w:id="22">
    <w:p w:rsidR="00132BAA" w:rsidRPr="00B736B7" w:rsidRDefault="00B31A4A">
      <w:pPr>
        <w:pStyle w:val="FootnoteText"/>
      </w:pPr>
      <w:r w:rsidRPr="00B736B7">
        <w:rPr>
          <w:rStyle w:val="FootnoteReference"/>
        </w:rPr>
        <w:footnoteRef/>
      </w:r>
      <w:r w:rsidRPr="00B736B7">
        <w:tab/>
      </w:r>
      <w:r w:rsidRPr="00B736B7">
        <w:t>Eiropas Parlamenta u</w:t>
      </w:r>
      <w:r w:rsidRPr="00B736B7">
        <w:t xml:space="preserve">n Padomes </w:t>
      </w:r>
      <w:r w:rsidRPr="00B736B7">
        <w:t>2008</w:t>
      </w:r>
      <w:r w:rsidRPr="00B736B7">
        <w:t xml:space="preserve">. gada </w:t>
      </w:r>
      <w:r w:rsidRPr="00B736B7">
        <w:t>11</w:t>
      </w:r>
      <w:r w:rsidRPr="00B736B7">
        <w:t xml:space="preserve">. marta Regula (EK) </w:t>
      </w:r>
      <w:proofErr w:type="spellStart"/>
      <w:r w:rsidRPr="00B736B7">
        <w:t>Nr</w:t>
      </w:r>
      <w:proofErr w:type="spellEnd"/>
      <w:r w:rsidRPr="00B736B7">
        <w:t>. </w:t>
      </w:r>
      <w:r w:rsidRPr="00B736B7">
        <w:t>295</w:t>
      </w:r>
      <w:r w:rsidRPr="00B736B7">
        <w:t>/</w:t>
      </w:r>
      <w:r w:rsidRPr="00B736B7">
        <w:t>2008</w:t>
      </w:r>
      <w:r w:rsidRPr="00B736B7">
        <w:t xml:space="preserve"> par uzņēmējdarbības strukturālo statistiku (OV L </w:t>
      </w:r>
      <w:r w:rsidRPr="00B736B7">
        <w:t>97</w:t>
      </w:r>
      <w:r w:rsidRPr="00B736B7">
        <w:t xml:space="preserve">, </w:t>
      </w:r>
      <w:r w:rsidRPr="00B736B7">
        <w:t>9</w:t>
      </w:r>
      <w:r w:rsidRPr="00B736B7">
        <w:t>.</w:t>
      </w:r>
      <w:r w:rsidRPr="00B736B7">
        <w:t>4</w:t>
      </w:r>
      <w:r w:rsidRPr="00B736B7">
        <w:t>.</w:t>
      </w:r>
      <w:r w:rsidRPr="00B736B7">
        <w:t>2008</w:t>
      </w:r>
      <w:r w:rsidRPr="00B736B7">
        <w:t xml:space="preserve">., </w:t>
      </w:r>
      <w:r w:rsidRPr="00B736B7">
        <w:t>13</w:t>
      </w:r>
      <w:r w:rsidRPr="00B736B7">
        <w:t>. </w:t>
      </w:r>
      <w:proofErr w:type="spellStart"/>
      <w:r w:rsidRPr="00B736B7">
        <w:t>lpp</w:t>
      </w:r>
      <w:proofErr w:type="spellEnd"/>
      <w:r w:rsidRPr="00B736B7">
        <w:t>.).</w:t>
      </w:r>
    </w:p>
  </w:footnote>
  <w:footnote w:id="23">
    <w:p w:rsidR="00132BAA" w:rsidRPr="00B736B7" w:rsidRDefault="00B31A4A">
      <w:pPr>
        <w:pStyle w:val="FootnoteText"/>
      </w:pPr>
      <w:r w:rsidRPr="00B736B7">
        <w:rPr>
          <w:rStyle w:val="FootnoteReference"/>
        </w:rPr>
        <w:footnoteRef/>
      </w:r>
      <w:r w:rsidRPr="00B736B7">
        <w:tab/>
      </w:r>
      <w:r w:rsidRPr="00B736B7">
        <w:t xml:space="preserve">Eiropas Parlamenta un Padomes </w:t>
      </w:r>
      <w:r w:rsidRPr="00B736B7">
        <w:t>2009</w:t>
      </w:r>
      <w:r w:rsidRPr="00B736B7">
        <w:t xml:space="preserve">. gada </w:t>
      </w:r>
      <w:r w:rsidRPr="00B736B7">
        <w:t>6</w:t>
      </w:r>
      <w:r w:rsidRPr="00B736B7">
        <w:t xml:space="preserve">. maija Regula (EK) </w:t>
      </w:r>
      <w:proofErr w:type="spellStart"/>
      <w:r w:rsidRPr="00B736B7">
        <w:t>Nr</w:t>
      </w:r>
      <w:proofErr w:type="spellEnd"/>
      <w:r w:rsidRPr="00B736B7">
        <w:t>. </w:t>
      </w:r>
      <w:r w:rsidRPr="00B736B7">
        <w:t>471</w:t>
      </w:r>
      <w:r w:rsidRPr="00B736B7">
        <w:t>/</w:t>
      </w:r>
      <w:r w:rsidRPr="00B736B7">
        <w:t>2009</w:t>
      </w:r>
      <w:r w:rsidRPr="00B736B7">
        <w:t xml:space="preserve"> par Kopienas statistiku attiecībā uz ārējo tirdz</w:t>
      </w:r>
      <w:r w:rsidRPr="00B736B7">
        <w:t xml:space="preserve">niecību ar ārpuskopienas valstīm un par Padomes Regulas (EK) </w:t>
      </w:r>
      <w:proofErr w:type="spellStart"/>
      <w:r w:rsidRPr="00B736B7">
        <w:t>Nr</w:t>
      </w:r>
      <w:proofErr w:type="spellEnd"/>
      <w:r w:rsidRPr="00B736B7">
        <w:t>. </w:t>
      </w:r>
      <w:r w:rsidRPr="00B736B7">
        <w:t>1172</w:t>
      </w:r>
      <w:r w:rsidRPr="00B736B7">
        <w:t>/</w:t>
      </w:r>
      <w:r w:rsidRPr="00B736B7">
        <w:t>95</w:t>
      </w:r>
      <w:r w:rsidRPr="00B736B7">
        <w:t xml:space="preserve"> atcelšanu (OV L </w:t>
      </w:r>
      <w:r w:rsidRPr="00B736B7">
        <w:t>152</w:t>
      </w:r>
      <w:r w:rsidRPr="00B736B7">
        <w:t xml:space="preserve">, </w:t>
      </w:r>
      <w:r w:rsidRPr="00B736B7">
        <w:t>16</w:t>
      </w:r>
      <w:r w:rsidRPr="00B736B7">
        <w:t>.</w:t>
      </w:r>
      <w:r w:rsidRPr="00B736B7">
        <w:t>6</w:t>
      </w:r>
      <w:r w:rsidRPr="00B736B7">
        <w:t>.</w:t>
      </w:r>
      <w:r w:rsidRPr="00B736B7">
        <w:t>2009</w:t>
      </w:r>
      <w:r w:rsidRPr="00B736B7">
        <w:t xml:space="preserve">., </w:t>
      </w:r>
      <w:r w:rsidRPr="00B736B7">
        <w:t>23</w:t>
      </w:r>
      <w:r w:rsidRPr="00B736B7">
        <w:t>. </w:t>
      </w:r>
      <w:proofErr w:type="spellStart"/>
      <w:r w:rsidRPr="00B736B7">
        <w:t>lpp</w:t>
      </w:r>
      <w:proofErr w:type="spellEnd"/>
      <w:r w:rsidRPr="00B736B7">
        <w:t>.).</w:t>
      </w:r>
    </w:p>
  </w:footnote>
  <w:footnote w:id="24">
    <w:p w:rsidR="00132BAA" w:rsidRPr="00B736B7" w:rsidRDefault="00B31A4A">
      <w:pPr>
        <w:pStyle w:val="FootnoteText"/>
      </w:pPr>
      <w:r w:rsidRPr="00B736B7">
        <w:rPr>
          <w:rStyle w:val="FootnoteReference"/>
        </w:rPr>
        <w:footnoteRef/>
      </w:r>
      <w:r w:rsidRPr="00B736B7">
        <w:tab/>
      </w:r>
      <w:r w:rsidRPr="00B736B7">
        <w:t xml:space="preserve">Padomes </w:t>
      </w:r>
      <w:r w:rsidRPr="00B736B7">
        <w:t>1993</w:t>
      </w:r>
      <w:r w:rsidRPr="00B736B7">
        <w:t xml:space="preserve">. gada </w:t>
      </w:r>
      <w:r w:rsidRPr="00B736B7">
        <w:t>15</w:t>
      </w:r>
      <w:r w:rsidRPr="00B736B7">
        <w:t xml:space="preserve">. marta Regula (EEK) </w:t>
      </w:r>
      <w:proofErr w:type="spellStart"/>
      <w:r w:rsidRPr="00B736B7">
        <w:t>Nr</w:t>
      </w:r>
      <w:proofErr w:type="spellEnd"/>
      <w:r w:rsidRPr="00B736B7">
        <w:t>. </w:t>
      </w:r>
      <w:r w:rsidRPr="00B736B7">
        <w:t>696</w:t>
      </w:r>
      <w:r w:rsidRPr="00B736B7">
        <w:t>/</w:t>
      </w:r>
      <w:r w:rsidRPr="00B736B7">
        <w:t>93</w:t>
      </w:r>
      <w:r w:rsidRPr="00B736B7">
        <w:t xml:space="preserve"> par statistikas vienībām ražošanas sistēmas novērošanai un analīzei Kopienā (OV L </w:t>
      </w:r>
      <w:r w:rsidRPr="00B736B7">
        <w:t>76</w:t>
      </w:r>
      <w:r w:rsidRPr="00B736B7">
        <w:t xml:space="preserve">, </w:t>
      </w:r>
      <w:r w:rsidRPr="00B736B7">
        <w:t>30</w:t>
      </w:r>
      <w:r w:rsidRPr="00B736B7">
        <w:t>.</w:t>
      </w:r>
      <w:r w:rsidRPr="00B736B7">
        <w:t>3</w:t>
      </w:r>
      <w:r w:rsidRPr="00B736B7">
        <w:t>.</w:t>
      </w:r>
      <w:r w:rsidRPr="00B736B7">
        <w:t>1993</w:t>
      </w:r>
      <w:r w:rsidRPr="00B736B7">
        <w:t xml:space="preserve">., </w:t>
      </w:r>
      <w:r w:rsidRPr="00B736B7">
        <w:t>1</w:t>
      </w:r>
      <w:r w:rsidRPr="00B736B7">
        <w:t>. </w:t>
      </w:r>
      <w:proofErr w:type="spellStart"/>
      <w:r w:rsidRPr="00B736B7">
        <w:t>lpp</w:t>
      </w:r>
      <w:proofErr w:type="spellEnd"/>
      <w:r w:rsidRPr="00B736B7">
        <w:t>.).</w:t>
      </w:r>
    </w:p>
  </w:footnote>
  <w:footnote w:id="25">
    <w:p w:rsidR="00132BAA" w:rsidRPr="00B736B7" w:rsidRDefault="00B31A4A">
      <w:pPr>
        <w:pStyle w:val="FootnoteText"/>
      </w:pPr>
      <w:r w:rsidRPr="00B736B7">
        <w:rPr>
          <w:rStyle w:val="FootnoteReference"/>
        </w:rPr>
        <w:footnoteRef/>
      </w:r>
      <w:r w:rsidRPr="00B736B7">
        <w:tab/>
      </w:r>
      <w:r w:rsidRPr="00B736B7">
        <w:t xml:space="preserve">Padomes </w:t>
      </w:r>
      <w:r w:rsidRPr="00B736B7">
        <w:t>2006</w:t>
      </w:r>
      <w:r w:rsidRPr="00B736B7">
        <w:t xml:space="preserve">. gada </w:t>
      </w:r>
      <w:r w:rsidRPr="00B736B7">
        <w:t>28</w:t>
      </w:r>
      <w:r w:rsidRPr="00B736B7">
        <w:t xml:space="preserve">. novembra Direktīva </w:t>
      </w:r>
      <w:r w:rsidRPr="00B736B7">
        <w:t>2006</w:t>
      </w:r>
      <w:r w:rsidRPr="00B736B7">
        <w:t>/</w:t>
      </w:r>
      <w:r w:rsidRPr="00B736B7">
        <w:t>112</w:t>
      </w:r>
      <w:r w:rsidRPr="00B736B7">
        <w:t>/EK par kopējo pievienotās vērtības nodokļa sistēmu (OV L </w:t>
      </w:r>
      <w:r w:rsidRPr="00B736B7">
        <w:t>347</w:t>
      </w:r>
      <w:r w:rsidRPr="00B736B7">
        <w:t xml:space="preserve">, </w:t>
      </w:r>
      <w:r w:rsidRPr="00B736B7">
        <w:t>11</w:t>
      </w:r>
      <w:r w:rsidRPr="00B736B7">
        <w:t>.</w:t>
      </w:r>
      <w:r w:rsidRPr="00B736B7">
        <w:t>12</w:t>
      </w:r>
      <w:r w:rsidRPr="00B736B7">
        <w:t>.</w:t>
      </w:r>
      <w:r w:rsidRPr="00B736B7">
        <w:t>2006</w:t>
      </w:r>
      <w:r w:rsidRPr="00B736B7">
        <w:t xml:space="preserve">., </w:t>
      </w:r>
      <w:r w:rsidRPr="00B736B7">
        <w:t>1</w:t>
      </w:r>
      <w:r w:rsidRPr="00B736B7">
        <w:t>. </w:t>
      </w:r>
      <w:proofErr w:type="spellStart"/>
      <w:r w:rsidRPr="00B736B7">
        <w:t>lpp</w:t>
      </w:r>
      <w:proofErr w:type="spellEnd"/>
      <w:r w:rsidRPr="00B736B7">
        <w:t>.).</w:t>
      </w:r>
    </w:p>
  </w:footnote>
  <w:footnote w:id="26">
    <w:p w:rsidR="00132BAA" w:rsidRPr="00B736B7" w:rsidRDefault="00B31A4A">
      <w:pPr>
        <w:pStyle w:val="FootnoteText"/>
      </w:pPr>
      <w:r w:rsidRPr="00B736B7">
        <w:rPr>
          <w:rStyle w:val="FootnoteReference"/>
        </w:rPr>
        <w:footnoteRef/>
      </w:r>
      <w:r w:rsidRPr="00B736B7">
        <w:tab/>
      </w:r>
      <w:r w:rsidRPr="00B736B7">
        <w:t xml:space="preserve">Eiropas Parlamenta un Padomes Regula (EK) </w:t>
      </w:r>
      <w:proofErr w:type="spellStart"/>
      <w:r w:rsidRPr="00B736B7">
        <w:t>Nr</w:t>
      </w:r>
      <w:proofErr w:type="spellEnd"/>
      <w:r w:rsidRPr="00B736B7">
        <w:t>. </w:t>
      </w:r>
      <w:r w:rsidRPr="00B736B7">
        <w:t>1893</w:t>
      </w:r>
      <w:r w:rsidRPr="00B736B7">
        <w:t>/</w:t>
      </w:r>
      <w:r w:rsidRPr="00B736B7">
        <w:t>2006</w:t>
      </w:r>
      <w:r w:rsidRPr="00B736B7">
        <w:t xml:space="preserve">, ar ko izveido NACE </w:t>
      </w:r>
      <w:r w:rsidRPr="00B736B7">
        <w:t>2</w:t>
      </w:r>
      <w:r w:rsidRPr="00B736B7">
        <w:t xml:space="preserve">. </w:t>
      </w:r>
      <w:proofErr w:type="spellStart"/>
      <w:r w:rsidRPr="00B736B7">
        <w:t>red</w:t>
      </w:r>
      <w:proofErr w:type="spellEnd"/>
      <w:r w:rsidRPr="00B736B7">
        <w:t xml:space="preserve">. </w:t>
      </w:r>
      <w:r w:rsidRPr="00B736B7">
        <w:t xml:space="preserve">saimniecisko darbību statistisko klasifikāciju, kā arī groza Padomes Regulu (EEK) </w:t>
      </w:r>
      <w:proofErr w:type="spellStart"/>
      <w:r w:rsidRPr="00B736B7">
        <w:t>Nr</w:t>
      </w:r>
      <w:proofErr w:type="spellEnd"/>
      <w:r w:rsidRPr="00B736B7">
        <w:t>. </w:t>
      </w:r>
      <w:r w:rsidRPr="00B736B7">
        <w:t>3037</w:t>
      </w:r>
      <w:r w:rsidRPr="00B736B7">
        <w:t>/</w:t>
      </w:r>
      <w:r w:rsidRPr="00B736B7">
        <w:t>90</w:t>
      </w:r>
      <w:r w:rsidRPr="00B736B7">
        <w:t xml:space="preserve"> un dažas EK regulas par īpašām statistikas jomām (OV L </w:t>
      </w:r>
      <w:r w:rsidRPr="00B736B7">
        <w:t>393</w:t>
      </w:r>
      <w:r w:rsidRPr="00B736B7">
        <w:t xml:space="preserve">, </w:t>
      </w:r>
      <w:r w:rsidRPr="00B736B7">
        <w:t>30</w:t>
      </w:r>
      <w:r w:rsidRPr="00B736B7">
        <w:t>.</w:t>
      </w:r>
      <w:r w:rsidRPr="00B736B7">
        <w:t>12</w:t>
      </w:r>
      <w:r w:rsidRPr="00B736B7">
        <w:t>.</w:t>
      </w:r>
      <w:r w:rsidRPr="00B736B7">
        <w:t>2006</w:t>
      </w:r>
      <w:r w:rsidRPr="00B736B7">
        <w:t xml:space="preserve">., </w:t>
      </w:r>
      <w:r w:rsidRPr="00B736B7">
        <w:t>1</w:t>
      </w:r>
      <w:r w:rsidRPr="00B736B7">
        <w:t xml:space="preserve">. </w:t>
      </w:r>
      <w:proofErr w:type="spellStart"/>
      <w:r w:rsidRPr="00B736B7">
        <w:t>lpp</w:t>
      </w:r>
      <w:proofErr w:type="spellEnd"/>
      <w:r w:rsidRPr="00B736B7">
        <w:t>.).</w:t>
      </w:r>
    </w:p>
  </w:footnote>
  <w:footnote w:id="27">
    <w:p w:rsidR="00132BAA" w:rsidRPr="00B736B7" w:rsidRDefault="00B31A4A">
      <w:pPr>
        <w:pStyle w:val="FootnoteText"/>
      </w:pPr>
      <w:r w:rsidRPr="00B736B7">
        <w:rPr>
          <w:rStyle w:val="FootnoteReference"/>
        </w:rPr>
        <w:footnoteRef/>
      </w:r>
      <w:r w:rsidRPr="00B736B7">
        <w:tab/>
      </w:r>
      <w:r w:rsidRPr="00B736B7">
        <w:t xml:space="preserve">Padomes </w:t>
      </w:r>
      <w:r w:rsidRPr="00B736B7">
        <w:t>2006</w:t>
      </w:r>
      <w:r w:rsidRPr="00B736B7">
        <w:t xml:space="preserve">. gada </w:t>
      </w:r>
      <w:r w:rsidRPr="00B736B7">
        <w:t>28</w:t>
      </w:r>
      <w:r w:rsidRPr="00B736B7">
        <w:t xml:space="preserve">. novembra Direktīva </w:t>
      </w:r>
      <w:r w:rsidRPr="00B736B7">
        <w:t>2006</w:t>
      </w:r>
      <w:r w:rsidRPr="00B736B7">
        <w:t>/</w:t>
      </w:r>
      <w:r w:rsidRPr="00B736B7">
        <w:t>112</w:t>
      </w:r>
      <w:r w:rsidRPr="00B736B7">
        <w:t xml:space="preserve">/EK par kopējo pievienotās </w:t>
      </w:r>
      <w:r w:rsidRPr="00B736B7">
        <w:t>vērtības nodokļa sistēmu.</w:t>
      </w:r>
    </w:p>
    <w:p w:rsidR="00132BAA" w:rsidRPr="00B736B7" w:rsidRDefault="00B31A4A">
      <w:pPr>
        <w:pStyle w:val="FootnoteText"/>
        <w:ind w:firstLine="0"/>
      </w:pPr>
      <w:r w:rsidRPr="00B736B7">
        <w:t>(OV L </w:t>
      </w:r>
      <w:r w:rsidRPr="00B736B7">
        <w:t>347</w:t>
      </w:r>
      <w:r w:rsidRPr="00B736B7">
        <w:t xml:space="preserve">, </w:t>
      </w:r>
      <w:r w:rsidRPr="00B736B7">
        <w:t>11</w:t>
      </w:r>
      <w:r w:rsidRPr="00B736B7">
        <w:t>.</w:t>
      </w:r>
      <w:r w:rsidRPr="00B736B7">
        <w:t>12</w:t>
      </w:r>
      <w:r w:rsidRPr="00B736B7">
        <w:t>.</w:t>
      </w:r>
      <w:r w:rsidRPr="00B736B7">
        <w:t>2006</w:t>
      </w:r>
      <w:r w:rsidRPr="00B736B7">
        <w:t xml:space="preserve">., </w:t>
      </w:r>
      <w:r w:rsidRPr="00B736B7">
        <w:t>1</w:t>
      </w:r>
      <w:r w:rsidRPr="00B736B7">
        <w:t>. </w:t>
      </w:r>
      <w:proofErr w:type="spellStart"/>
      <w:r w:rsidRPr="00B736B7">
        <w:t>lpp</w:t>
      </w:r>
      <w:proofErr w:type="spellEnd"/>
      <w:r w:rsidRPr="00B736B7">
        <w:t>.)</w:t>
      </w:r>
    </w:p>
  </w:footnote>
  <w:footnote w:id="28">
    <w:p w:rsidR="00132BAA" w:rsidRPr="00B736B7" w:rsidRDefault="00B31A4A">
      <w:pPr>
        <w:pStyle w:val="FootnoteText"/>
        <w:rPr>
          <w:szCs w:val="24"/>
        </w:rPr>
      </w:pPr>
      <w:r w:rsidRPr="00B736B7">
        <w:rPr>
          <w:rStyle w:val="FootnoteReference"/>
        </w:rPr>
        <w:footnoteRef/>
      </w:r>
      <w:r w:rsidRPr="00B736B7">
        <w:tab/>
      </w:r>
      <w:r w:rsidRPr="00B736B7">
        <w:t>ABM: budžeta līdzekļu vadība pa darbības jomām; ABB: budžeta līdzekļu sadale pa darbības jomām.</w:t>
      </w:r>
    </w:p>
  </w:footnote>
  <w:footnote w:id="29">
    <w:p w:rsidR="00132BAA" w:rsidRPr="00B736B7" w:rsidRDefault="00B31A4A">
      <w:pPr>
        <w:pStyle w:val="FootnoteText"/>
        <w:rPr>
          <w:szCs w:val="24"/>
        </w:rPr>
      </w:pPr>
      <w:r w:rsidRPr="00B736B7">
        <w:rPr>
          <w:rStyle w:val="FootnoteReference"/>
        </w:rPr>
        <w:footnoteRef/>
      </w:r>
      <w:r w:rsidRPr="00B736B7">
        <w:tab/>
      </w:r>
      <w:r w:rsidRPr="00B736B7">
        <w:t xml:space="preserve">Kā paredzēts Finanšu regulas </w:t>
      </w:r>
      <w:r w:rsidRPr="00B736B7">
        <w:t>54</w:t>
      </w:r>
      <w:r w:rsidRPr="00B736B7">
        <w:t xml:space="preserve">. panta </w:t>
      </w:r>
      <w:r w:rsidRPr="00B736B7">
        <w:t>2</w:t>
      </w:r>
      <w:r w:rsidRPr="00B736B7">
        <w:t>. punkta attiecīgi a) un b) apakšpunktā.</w:t>
      </w:r>
    </w:p>
  </w:footnote>
  <w:footnote w:id="30">
    <w:p w:rsidR="00132BAA" w:rsidRPr="00B736B7" w:rsidRDefault="00B31A4A">
      <w:pPr>
        <w:pStyle w:val="FootnoteText"/>
        <w:jc w:val="left"/>
        <w:rPr>
          <w:szCs w:val="24"/>
        </w:rPr>
      </w:pPr>
      <w:r w:rsidRPr="00B736B7">
        <w:rPr>
          <w:rStyle w:val="FootnoteReference"/>
        </w:rPr>
        <w:footnoteRef/>
      </w:r>
      <w:r w:rsidRPr="00B736B7">
        <w:tab/>
      </w:r>
      <w:r w:rsidRPr="00B736B7">
        <w:t xml:space="preserve">Skaidrojumus par pārvaldības veidiem un atsauces uz Finanšu regulu skatīt </w:t>
      </w:r>
      <w:proofErr w:type="spellStart"/>
      <w:r w:rsidRPr="00B736B7">
        <w:t>BudgWeb</w:t>
      </w:r>
      <w:proofErr w:type="spellEnd"/>
      <w:r w:rsidRPr="00B736B7">
        <w:t xml:space="preserve"> tīmekļa vietnē: </w:t>
      </w:r>
      <w:hyperlink r:id="rId4">
        <w:r w:rsidRPr="00B736B7">
          <w:rPr>
            <w:rStyle w:val="Hyperlink"/>
          </w:rPr>
          <w:t>https://myintracomm.ec.europa.eu/budgweb/EN/man/budgmanag/Pa</w:t>
        </w:r>
        <w:r w:rsidRPr="00B736B7">
          <w:rPr>
            <w:rStyle w:val="Hyperlink"/>
          </w:rPr>
          <w:t>ges/budgmanag.aspx</w:t>
        </w:r>
      </w:hyperlink>
      <w:r w:rsidRPr="00B736B7">
        <w:t xml:space="preserve"> </w:t>
      </w:r>
    </w:p>
  </w:footnote>
  <w:footnote w:id="31">
    <w:p w:rsidR="00132BAA" w:rsidRPr="00B736B7" w:rsidRDefault="00B31A4A">
      <w:pPr>
        <w:pStyle w:val="FootnoteText"/>
        <w:rPr>
          <w:szCs w:val="24"/>
        </w:rPr>
      </w:pPr>
      <w:r w:rsidRPr="00B736B7">
        <w:rPr>
          <w:rStyle w:val="FootnoteReference"/>
        </w:rPr>
        <w:footnoteRef/>
      </w:r>
      <w:r w:rsidRPr="00B736B7">
        <w:tab/>
      </w:r>
      <w:proofErr w:type="spellStart"/>
      <w:r w:rsidRPr="00B736B7">
        <w:t>Dif</w:t>
      </w:r>
      <w:proofErr w:type="spellEnd"/>
      <w:r w:rsidRPr="00B736B7">
        <w:t xml:space="preserve">. – diferencētās apropriācijas, </w:t>
      </w:r>
      <w:proofErr w:type="spellStart"/>
      <w:r w:rsidRPr="00B736B7">
        <w:t>nedif</w:t>
      </w:r>
      <w:proofErr w:type="spellEnd"/>
      <w:r w:rsidRPr="00B736B7">
        <w:t>. – nediferencētās apropriācijas.</w:t>
      </w:r>
    </w:p>
  </w:footnote>
  <w:footnote w:id="32">
    <w:p w:rsidR="00132BAA" w:rsidRPr="00B736B7" w:rsidRDefault="00B31A4A">
      <w:pPr>
        <w:pStyle w:val="FootnoteText"/>
        <w:rPr>
          <w:szCs w:val="24"/>
        </w:rPr>
      </w:pPr>
      <w:r w:rsidRPr="00B736B7">
        <w:rPr>
          <w:rStyle w:val="FootnoteReference"/>
        </w:rPr>
        <w:footnoteRef/>
      </w:r>
      <w:r w:rsidRPr="00B736B7">
        <w:tab/>
      </w:r>
      <w:r w:rsidRPr="00B736B7">
        <w:t xml:space="preserve">EBTA: Eiropas Brīvās tirdzniecības asociācija. </w:t>
      </w:r>
    </w:p>
  </w:footnote>
  <w:footnote w:id="33">
    <w:p w:rsidR="00132BAA" w:rsidRPr="00B736B7" w:rsidRDefault="00B31A4A">
      <w:pPr>
        <w:pStyle w:val="FootnoteText"/>
        <w:rPr>
          <w:szCs w:val="24"/>
        </w:rPr>
      </w:pPr>
      <w:r w:rsidRPr="00B736B7">
        <w:rPr>
          <w:rStyle w:val="FootnoteReference"/>
        </w:rPr>
        <w:footnoteRef/>
      </w:r>
      <w:r w:rsidRPr="00B736B7">
        <w:tab/>
      </w:r>
      <w:r w:rsidRPr="00B736B7">
        <w:t xml:space="preserve">Kandidātvalstis un attiecīgā gadījumā potenciālās kandidātvalstis no </w:t>
      </w:r>
      <w:proofErr w:type="spellStart"/>
      <w:r w:rsidRPr="00B736B7">
        <w:t>Rietumbalkāniem</w:t>
      </w:r>
      <w:proofErr w:type="spellEnd"/>
      <w:r w:rsidRPr="00B736B7">
        <w:t>.</w:t>
      </w:r>
    </w:p>
  </w:footnote>
  <w:footnote w:id="34">
    <w:p w:rsidR="00132BAA" w:rsidRPr="00B736B7" w:rsidRDefault="00B31A4A">
      <w:pPr>
        <w:pStyle w:val="FootnoteText"/>
        <w:rPr>
          <w:szCs w:val="24"/>
        </w:rPr>
      </w:pPr>
      <w:r w:rsidRPr="00B736B7">
        <w:rPr>
          <w:rStyle w:val="FootnoteReference"/>
        </w:rPr>
        <w:footnoteRef/>
      </w:r>
      <w:r w:rsidRPr="00B736B7">
        <w:tab/>
      </w:r>
      <w:r w:rsidRPr="00B736B7">
        <w:t xml:space="preserve">Tehniskais un/vai </w:t>
      </w:r>
      <w:r w:rsidRPr="00B736B7">
        <w:t>administratīvais atbalsts un ES programmu un/vai darbību īstenošanas atbalsta izdevumi (kādreizējās “BA” pozīcijas), netiešā pētniecība, tiešā pētniecība.</w:t>
      </w:r>
    </w:p>
  </w:footnote>
  <w:footnote w:id="35">
    <w:p w:rsidR="00132BAA" w:rsidRPr="00B736B7" w:rsidRDefault="00B31A4A">
      <w:pPr>
        <w:pStyle w:val="FootnoteText"/>
        <w:rPr>
          <w:szCs w:val="24"/>
        </w:rPr>
      </w:pPr>
      <w:r w:rsidRPr="00B736B7">
        <w:rPr>
          <w:rStyle w:val="FootnoteReference"/>
        </w:rPr>
        <w:footnoteRef/>
      </w:r>
      <w:r w:rsidRPr="00B736B7">
        <w:tab/>
      </w:r>
      <w:r w:rsidRPr="00B736B7">
        <w:t>Tehniskais un/vai administratīvais atbalsts un ES programmu un/vai darbību īstenošanas atbalsta izd</w:t>
      </w:r>
      <w:r w:rsidRPr="00B736B7">
        <w:t>evumi (kādreizējās “BA” pozīcijas), netiešā pētniecība, tiešā pētniecība.</w:t>
      </w:r>
    </w:p>
  </w:footnote>
  <w:footnote w:id="36">
    <w:p w:rsidR="00132BAA" w:rsidRPr="00B736B7" w:rsidRDefault="00B31A4A">
      <w:pPr>
        <w:pStyle w:val="FootnoteText"/>
        <w:rPr>
          <w:szCs w:val="24"/>
        </w:rPr>
      </w:pPr>
      <w:r w:rsidRPr="00B736B7">
        <w:rPr>
          <w:rStyle w:val="FootnoteReference"/>
        </w:rPr>
        <w:footnoteRef/>
      </w:r>
      <w:r w:rsidRPr="00B736B7">
        <w:tab/>
      </w:r>
      <w:r w:rsidRPr="00B736B7">
        <w:t xml:space="preserve">Rezultāti ir attiecīgie produkti vai pakalpojumi (piemēram, finansēto studentu apmaiņu skaits, uzbūvēto ceļu garums kilometros </w:t>
      </w:r>
      <w:proofErr w:type="spellStart"/>
      <w:r w:rsidRPr="00B736B7">
        <w:t>utt</w:t>
      </w:r>
      <w:proofErr w:type="spellEnd"/>
      <w:r w:rsidRPr="00B736B7">
        <w:t>.).</w:t>
      </w:r>
    </w:p>
  </w:footnote>
  <w:footnote w:id="37">
    <w:p w:rsidR="00132BAA" w:rsidRPr="00B736B7" w:rsidRDefault="00B31A4A">
      <w:pPr>
        <w:pStyle w:val="FootnoteText"/>
        <w:rPr>
          <w:szCs w:val="24"/>
        </w:rPr>
      </w:pPr>
      <w:r w:rsidRPr="00B736B7">
        <w:rPr>
          <w:rStyle w:val="FootnoteReference"/>
        </w:rPr>
        <w:footnoteRef/>
      </w:r>
      <w:r w:rsidRPr="00B736B7">
        <w:tab/>
      </w:r>
      <w:r w:rsidRPr="00B736B7">
        <w:t xml:space="preserve">Kā norādīts </w:t>
      </w:r>
      <w:r w:rsidRPr="00B736B7">
        <w:t>1</w:t>
      </w:r>
      <w:r w:rsidRPr="00B736B7">
        <w:t>.</w:t>
      </w:r>
      <w:r w:rsidRPr="00B736B7">
        <w:t>4</w:t>
      </w:r>
      <w:r w:rsidRPr="00B736B7">
        <w:t>.</w:t>
      </w:r>
      <w:r w:rsidRPr="00B736B7">
        <w:t>2</w:t>
      </w:r>
      <w:r w:rsidRPr="00B736B7">
        <w:t>. punktā. “Konkrētie mērķi.</w:t>
      </w:r>
      <w:r w:rsidRPr="00B736B7">
        <w:t xml:space="preserve">..” </w:t>
      </w:r>
    </w:p>
  </w:footnote>
  <w:footnote w:id="38">
    <w:p w:rsidR="00132BAA" w:rsidRPr="00B736B7" w:rsidRDefault="00B31A4A">
      <w:pPr>
        <w:pStyle w:val="FootnoteText"/>
        <w:rPr>
          <w:szCs w:val="24"/>
        </w:rPr>
      </w:pPr>
      <w:r w:rsidRPr="00B736B7">
        <w:rPr>
          <w:rStyle w:val="FootnoteReference"/>
        </w:rPr>
        <w:footnoteRef/>
      </w:r>
      <w:r w:rsidRPr="00B736B7">
        <w:tab/>
      </w:r>
      <w:r w:rsidRPr="00B736B7">
        <w:t>N gads ir gads, kurā priekšlikumu/iniciatīvu sāk īstenot.</w:t>
      </w:r>
    </w:p>
  </w:footnote>
  <w:footnote w:id="39">
    <w:p w:rsidR="00132BAA" w:rsidRPr="00B736B7" w:rsidRDefault="00B31A4A">
      <w:pPr>
        <w:pStyle w:val="FootnoteText"/>
        <w:rPr>
          <w:szCs w:val="24"/>
        </w:rPr>
      </w:pPr>
      <w:r w:rsidRPr="00B736B7">
        <w:rPr>
          <w:rStyle w:val="FootnoteReference"/>
        </w:rPr>
        <w:footnoteRef/>
      </w:r>
      <w:r w:rsidRPr="00B736B7">
        <w:tab/>
      </w:r>
      <w:r w:rsidRPr="00B736B7">
        <w:t>Tehniskais un/vai administratīvais atbalsts un ES programmu un/vai darbību īstenošanas atbalsta izdevumi (kādreizējās “BA” pozīcijas), netiešā pētniecība, tiešā pētniecība.</w:t>
      </w:r>
    </w:p>
  </w:footnote>
  <w:footnote w:id="40">
    <w:p w:rsidR="00132BAA" w:rsidRPr="00B736B7" w:rsidRDefault="00B31A4A">
      <w:pPr>
        <w:pStyle w:val="FootnoteText"/>
        <w:rPr>
          <w:szCs w:val="24"/>
        </w:rPr>
      </w:pPr>
      <w:r w:rsidRPr="00B736B7">
        <w:rPr>
          <w:rStyle w:val="FootnoteReference"/>
        </w:rPr>
        <w:footnoteRef/>
      </w:r>
      <w:r w:rsidRPr="00B736B7">
        <w:tab/>
      </w:r>
      <w:r w:rsidRPr="00B736B7">
        <w:rPr>
          <w:i/>
        </w:rPr>
        <w:t>CA</w:t>
      </w:r>
      <w:r w:rsidRPr="00B736B7">
        <w:t xml:space="preserve"> = līgumdarb</w:t>
      </w:r>
      <w:r w:rsidRPr="00B736B7">
        <w:t xml:space="preserve">inieki, </w:t>
      </w:r>
      <w:r w:rsidRPr="00B736B7">
        <w:rPr>
          <w:i/>
        </w:rPr>
        <w:t>AL</w:t>
      </w:r>
      <w:r w:rsidRPr="00B736B7">
        <w:t xml:space="preserve"> = vietējie darbinieki, </w:t>
      </w:r>
      <w:r w:rsidRPr="00B736B7">
        <w:rPr>
          <w:i/>
        </w:rPr>
        <w:t>SNE</w:t>
      </w:r>
      <w:r w:rsidRPr="00B736B7">
        <w:t xml:space="preserve"> = valstu norīkotie eksperti, </w:t>
      </w:r>
      <w:r w:rsidRPr="00B736B7">
        <w:rPr>
          <w:i/>
        </w:rPr>
        <w:t>INT</w:t>
      </w:r>
      <w:r w:rsidRPr="00B736B7">
        <w:t xml:space="preserve"> = aģentūras darbinieki; </w:t>
      </w:r>
      <w:r w:rsidRPr="00B736B7">
        <w:rPr>
          <w:i/>
        </w:rPr>
        <w:t>JED</w:t>
      </w:r>
      <w:r w:rsidRPr="00B736B7">
        <w:t xml:space="preserve"> = jaunākie eksperti delegācijās. </w:t>
      </w:r>
    </w:p>
  </w:footnote>
  <w:footnote w:id="41">
    <w:p w:rsidR="00132BAA" w:rsidRDefault="00B31A4A">
      <w:pPr>
        <w:pStyle w:val="FootnoteText"/>
        <w:rPr>
          <w:szCs w:val="24"/>
        </w:rPr>
      </w:pPr>
      <w:r w:rsidRPr="00B736B7">
        <w:rPr>
          <w:rStyle w:val="FootnoteReference"/>
        </w:rPr>
        <w:footnoteRef/>
      </w:r>
      <w:r w:rsidRPr="00B736B7">
        <w:tab/>
      </w:r>
      <w:r w:rsidRPr="00B736B7">
        <w:t>Ārštata darbiniekiem paredzēto maksimālo summu finansē no darbības apropriācijām (kādreizējām “BA” pozīcijām).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AA" w:rsidRDefault="00132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A4DE08"/>
    <w:lvl w:ilvl="0">
      <w:start w:val="1"/>
      <w:numFmt w:val="decimal"/>
      <w:pStyle w:val="TableofFigures"/>
      <w:lvlText w:val="%1."/>
      <w:lvlJc w:val="left"/>
      <w:pPr>
        <w:tabs>
          <w:tab w:val="num" w:pos="1209"/>
        </w:tabs>
        <w:ind w:left="1209" w:hanging="360"/>
      </w:pPr>
    </w:lvl>
  </w:abstractNum>
  <w:abstractNum w:abstractNumId="1">
    <w:nsid w:val="FFFFFF7E"/>
    <w:multiLevelType w:val="singleLevel"/>
    <w:tmpl w:val="E2E88294"/>
    <w:lvl w:ilvl="0">
      <w:start w:val="1"/>
      <w:numFmt w:val="decimal"/>
      <w:pStyle w:val="Caption"/>
      <w:lvlText w:val="%1."/>
      <w:lvlJc w:val="left"/>
      <w:pPr>
        <w:tabs>
          <w:tab w:val="num" w:pos="926"/>
        </w:tabs>
        <w:ind w:left="926" w:hanging="360"/>
      </w:pPr>
    </w:lvl>
  </w:abstractNum>
  <w:abstractNum w:abstractNumId="2">
    <w:nsid w:val="FFFFFF80"/>
    <w:multiLevelType w:val="singleLevel"/>
    <w:tmpl w:val="1FA45650"/>
    <w:lvl w:ilvl="0">
      <w:start w:val="1"/>
      <w:numFmt w:val="bullet"/>
      <w:pStyle w:val="List"/>
      <w:lvlText w:val=""/>
      <w:lvlJc w:val="left"/>
      <w:pPr>
        <w:tabs>
          <w:tab w:val="num" w:pos="1492"/>
        </w:tabs>
        <w:ind w:left="1492" w:hanging="360"/>
      </w:pPr>
      <w:rPr>
        <w:rFonts w:ascii="Symbol" w:hAnsi="Symbol" w:hint="default"/>
      </w:rPr>
    </w:lvl>
  </w:abstractNum>
  <w:abstractNum w:abstractNumId="3">
    <w:nsid w:val="FFFFFF81"/>
    <w:multiLevelType w:val="singleLevel"/>
    <w:tmpl w:val="2FF650A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nsid w:val="FFFFFF82"/>
    <w:multiLevelType w:val="singleLevel"/>
    <w:tmpl w:val="4F9EF0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65D172F"/>
    <w:multiLevelType w:val="multilevel"/>
    <w:tmpl w:val="6AEE9BA4"/>
    <w:lvl w:ilvl="0">
      <w:start w:val="1"/>
      <w:numFmt w:val="decimal"/>
      <w:pStyle w:val="TOAHeading"/>
      <w:lvlText w:val="(%1)"/>
      <w:lvlJc w:val="left"/>
      <w:pPr>
        <w:tabs>
          <w:tab w:val="num" w:pos="1911"/>
        </w:tabs>
        <w:ind w:left="1911" w:hanging="709"/>
      </w:pPr>
    </w:lvl>
    <w:lvl w:ilvl="1">
      <w:start w:val="1"/>
      <w:numFmt w:val="lowerLetter"/>
      <w:pStyle w:val="YReferences"/>
      <w:lvlText w:val="(%2)"/>
      <w:lvlJc w:val="left"/>
      <w:pPr>
        <w:tabs>
          <w:tab w:val="num" w:pos="2619"/>
        </w:tabs>
        <w:ind w:left="2619" w:hanging="708"/>
      </w:pPr>
    </w:lvl>
    <w:lvl w:ilvl="2">
      <w:start w:val="1"/>
      <w:numFmt w:val="bullet"/>
      <w:pStyle w:val="ListDash"/>
      <w:lvlText w:val="–"/>
      <w:lvlJc w:val="left"/>
      <w:pPr>
        <w:tabs>
          <w:tab w:val="num" w:pos="3328"/>
        </w:tabs>
        <w:ind w:left="3328" w:hanging="709"/>
      </w:pPr>
      <w:rPr>
        <w:rFonts w:ascii="Times New Roman" w:hAnsi="Times New Roman"/>
      </w:rPr>
    </w:lvl>
    <w:lvl w:ilvl="3">
      <w:start w:val="1"/>
      <w:numFmt w:val="bullet"/>
      <w:pStyle w:val="ListDash3"/>
      <w:lvlText w:val=""/>
      <w:lvlJc w:val="left"/>
      <w:pPr>
        <w:tabs>
          <w:tab w:val="num" w:pos="4037"/>
        </w:tabs>
        <w:ind w:left="4037"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2B5C67"/>
    <w:multiLevelType w:val="singleLevel"/>
    <w:tmpl w:val="40D2097A"/>
    <w:lvl w:ilvl="0">
      <w:start w:val="1"/>
      <w:numFmt w:val="bullet"/>
      <w:pStyle w:val="TableofAuthorities"/>
      <w:lvlText w:val="–"/>
      <w:lvlJc w:val="left"/>
      <w:pPr>
        <w:tabs>
          <w:tab w:val="num" w:pos="283"/>
        </w:tabs>
        <w:ind w:left="283" w:hanging="283"/>
      </w:pPr>
      <w:rPr>
        <w:rFonts w:ascii="Times New Roman" w:hAnsi="Times New Roman"/>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91103A0"/>
    <w:multiLevelType w:val="singleLevel"/>
    <w:tmpl w:val="39A25962"/>
    <w:lvl w:ilvl="0">
      <w:start w:val="1"/>
      <w:numFmt w:val="bullet"/>
      <w:lvlRestart w:val="0"/>
      <w:pStyle w:val="CommentSubject"/>
      <w:lvlText w:val="–"/>
      <w:lvlJc w:val="left"/>
      <w:pPr>
        <w:tabs>
          <w:tab w:val="num" w:pos="850"/>
        </w:tabs>
        <w:ind w:left="850" w:hanging="850"/>
      </w:pPr>
    </w:lvl>
  </w:abstractNum>
  <w:abstractNum w:abstractNumId="25">
    <w:nsid w:val="6DD14640"/>
    <w:multiLevelType w:val="singleLevel"/>
    <w:tmpl w:val="6886582C"/>
    <w:lvl w:ilvl="0">
      <w:start w:val="1"/>
      <w:numFmt w:val="decimal"/>
      <w:lvlRestart w:val="0"/>
      <w:pStyle w:val="ListNumber2"/>
      <w:lvlText w:val="(%1)"/>
      <w:lvlJc w:val="left"/>
      <w:pPr>
        <w:tabs>
          <w:tab w:val="num" w:pos="709"/>
        </w:tabs>
        <w:ind w:left="709" w:hanging="709"/>
      </w:pPr>
    </w:lvl>
  </w:abstractNum>
  <w:abstractNum w:abstractNumId="26">
    <w:nsid w:val="6E5C21E3"/>
    <w:multiLevelType w:val="singleLevel"/>
    <w:tmpl w:val="91AE4CCA"/>
    <w:lvl w:ilvl="0">
      <w:start w:val="1"/>
      <w:numFmt w:val="bullet"/>
      <w:pStyle w:val="Title"/>
      <w:lvlText w:val="–"/>
      <w:lvlJc w:val="left"/>
      <w:pPr>
        <w:tabs>
          <w:tab w:val="num" w:pos="2199"/>
        </w:tabs>
        <w:ind w:left="2199" w:hanging="283"/>
      </w:pPr>
      <w:rPr>
        <w:rFonts w:ascii="Times New Roman" w:hAnsi="Times New Roman"/>
      </w:r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5"/>
  </w:num>
  <w:num w:numId="3">
    <w:abstractNumId w:val="15"/>
  </w:num>
  <w:num w:numId="4">
    <w:abstractNumId w:val="14"/>
  </w:num>
  <w:num w:numId="5">
    <w:abstractNumId w:val="27"/>
  </w:num>
  <w:num w:numId="6">
    <w:abstractNumId w:val="20"/>
  </w:num>
  <w:num w:numId="7">
    <w:abstractNumId w:val="2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lvlOverride w:ilvl="0">
      <w:startOverride w:val="1"/>
    </w:lvlOverride>
  </w:num>
  <w:num w:numId="12">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9"/>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2"/>
  </w:num>
  <w:num w:numId="18">
    <w:abstractNumId w:val="22"/>
  </w:num>
  <w:num w:numId="19">
    <w:abstractNumId w:val="26"/>
  </w:num>
  <w:num w:numId="20">
    <w:abstractNumId w:val="13"/>
  </w:num>
  <w:num w:numId="2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4"/>
    </w:lvlOverride>
    <w:lvlOverride w:ilvl="1">
      <w:startOverride w:val="1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0"/>
  </w:num>
  <w:num w:numId="70">
    <w:abstractNumId w:val="23"/>
  </w:num>
  <w:num w:numId="71">
    <w:abstractNumId w:val="9"/>
  </w:num>
  <w:num w:numId="72">
    <w:abstractNumId w:val="11"/>
  </w:num>
  <w:num w:numId="73">
    <w:abstractNumId w:val="7"/>
  </w:num>
  <w:num w:numId="74">
    <w:abstractNumId w:val="21"/>
  </w:num>
  <w:num w:numId="75">
    <w:abstractNumId w:val="6"/>
  </w:num>
  <w:num w:numId="76">
    <w:abstractNumId w:val="12"/>
  </w:num>
  <w:num w:numId="77">
    <w:abstractNumId w:val="17"/>
  </w:num>
  <w:num w:numId="78">
    <w:abstractNumId w:val="18"/>
  </w:num>
  <w:num w:numId="79">
    <w:abstractNumId w:val="8"/>
  </w:num>
  <w:num w:numId="80">
    <w:abstractNumId w:val="16"/>
  </w:num>
  <w:num w:numId="81">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7: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5"/>
    <w:docVar w:name="DQCStatus" w:val="Yellow"/>
    <w:docVar w:name="DQCVersion" w:val="3"/>
    <w:docVar w:name="DQCWithWarnings" w:val="0"/>
    <w:docVar w:name="LW_CONFIDENCE" w:val=" "/>
    <w:docVar w:name="LW_CONST_RESTREINT_UE" w:val="RESTREINT UE"/>
    <w:docVar w:name="LW_CORRIGENDUM" w:val="&lt;UNUSED&gt;"/>
    <w:docVar w:name="LW_COVERPAGE_GUID" w:val="08C03CC3BD8C40D09ED9F1ACC21B0E67"/>
    <w:docVar w:name="LW_CROSSREFERENCE" w:val="{SWD(2017) 98 final}_x000b_{SWD(2017) 99 final}"/>
    <w:docVar w:name="LW_DocType" w:val="COM"/>
    <w:docVar w:name="LW_EMISSION" w:val="6.3.2017"/>
    <w:docVar w:name="LW_EMISSION_ISODATE" w:val="2017-03-06"/>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 (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48"/>
    <w:docVar w:name="LW_REF.II.NEW.CP_YEAR" w:val="2017"/>
    <w:docVar w:name="LW_REF.INST.NEW" w:val="COM"/>
    <w:docVar w:name="LW_REF.INST.NEW_ADOPTED" w:val="final"/>
    <w:docVar w:name="LW_REF.INST.NEW_TEXT" w:val="(2017) 114"/>
    <w:docVar w:name="LW_REF.INTERNE" w:val="&lt;UNUSED&gt;"/>
    <w:docVar w:name="LW_SOUS.TITRE.OBJ.CP" w:val="&lt;UNUSED&gt;"/>
    <w:docVar w:name="LW_STATUT.CP" w:val="Priek\u353?likums"/>
    <w:docVar w:name="LW_SUPERTITRE" w:val="&lt;UNUSED&gt;"/>
    <w:docVar w:name="LW_TITRE.OBJ.CP" w:val="par Eiropas uz\u326?\u275?m\u275?jdarb\u299?bas statistiku,_x000b_ar ko groza Regulu (EK) Nr. 184/2005 un atce\u316? 10 ties\u299?bu aktus uz\u326?\u275?m\u275?jdarb\u299?bas statistikas jom\u257?"/>
    <w:docVar w:name="LW_TYPE.DOC.CP" w:val="EIROPAS PARLAMENTA UN PADOMES REGULA"/>
  </w:docVars>
  <w:rsids>
    <w:rsidRoot w:val="00132BAA"/>
    <w:rsid w:val="00132BAA"/>
    <w:rsid w:val="00B31A4A"/>
    <w:rsid w:val="00B736B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lv-LV" w:eastAsia="lv-LV"/>
    </w:rPr>
  </w:style>
  <w:style w:type="character" w:customStyle="1" w:styleId="Heading5Char">
    <w:name w:val="Heading 5 Char"/>
    <w:basedOn w:val="DefaultParagraphFont"/>
    <w:link w:val="Heading5"/>
    <w:rPr>
      <w:rFonts w:ascii="Arial" w:eastAsia="Times New Roman" w:hAnsi="Arial" w:cs="Times New Roman"/>
      <w:szCs w:val="20"/>
      <w:lang w:val="lv-LV"/>
    </w:rPr>
  </w:style>
  <w:style w:type="character" w:customStyle="1" w:styleId="Heading6Char">
    <w:name w:val="Heading 6 Char"/>
    <w:basedOn w:val="DefaultParagraphFont"/>
    <w:link w:val="Heading6"/>
    <w:rPr>
      <w:rFonts w:ascii="Arial" w:eastAsia="Times New Roman" w:hAnsi="Arial" w:cs="Times New Roman"/>
      <w:i/>
      <w:szCs w:val="20"/>
      <w:lang w:val="lv-LV"/>
    </w:rPr>
  </w:style>
  <w:style w:type="character" w:customStyle="1" w:styleId="Heading7Char">
    <w:name w:val="Heading 7 Char"/>
    <w:basedOn w:val="DefaultParagraphFont"/>
    <w:link w:val="Heading7"/>
    <w:rPr>
      <w:rFonts w:ascii="Arial" w:eastAsia="Times New Roman" w:hAnsi="Arial" w:cs="Times New Roman"/>
      <w:sz w:val="20"/>
      <w:szCs w:val="20"/>
      <w:lang w:val="lv-LV"/>
    </w:rPr>
  </w:style>
  <w:style w:type="character" w:customStyle="1" w:styleId="Heading8Char">
    <w:name w:val="Heading 8 Char"/>
    <w:basedOn w:val="DefaultParagraphFont"/>
    <w:link w:val="Heading8"/>
    <w:rPr>
      <w:rFonts w:ascii="Arial" w:eastAsia="Times New Roman" w:hAnsi="Arial" w:cs="Times New Roman"/>
      <w:i/>
      <w:sz w:val="20"/>
      <w:szCs w:val="20"/>
      <w:lang w:val="lv-LV"/>
    </w:rPr>
  </w:style>
  <w:style w:type="character" w:customStyle="1" w:styleId="Heading9Char">
    <w:name w:val="Heading 9 Char"/>
    <w:basedOn w:val="DefaultParagraphFont"/>
    <w:link w:val="Heading9"/>
    <w:rPr>
      <w:rFonts w:ascii="Arial" w:eastAsia="Times New Roman" w:hAnsi="Arial" w:cs="Times New Roman"/>
      <w:i/>
      <w:sz w:val="18"/>
      <w:szCs w:val="20"/>
      <w:lang w:val="lv-LV"/>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unhideWhenUsed/>
    <w:qFormat/>
    <w:pPr>
      <w:numPr>
        <w:numId w:val="15"/>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6"/>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28"/>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lv-LV"/>
    </w:rPr>
  </w:style>
  <w:style w:type="character" w:customStyle="1" w:styleId="Text2Char">
    <w:name w:val="Text 2 Char"/>
    <w:rPr>
      <w:rFonts w:ascii="Times New Roman" w:hAnsi="Times New Roman" w:cs="Times New Roman"/>
      <w:sz w:val="24"/>
      <w:lang w:val="lv-LV"/>
    </w:rPr>
  </w:style>
  <w:style w:type="character" w:customStyle="1" w:styleId="NumPar1Char">
    <w:name w:val="NumPar 1 Char"/>
    <w:rPr>
      <w:rFonts w:ascii="Times New Roman" w:hAnsi="Times New Roman" w:cs="Times New Roman"/>
      <w:sz w:val="24"/>
      <w:lang w:val="lv-LV"/>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7"/>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lv-LV"/>
    </w:rPr>
  </w:style>
  <w:style w:type="paragraph" w:styleId="TableofAuthorities">
    <w:name w:val="table of authorities"/>
    <w:basedOn w:val="Normal"/>
    <w:next w:val="Normal"/>
    <w:semiHidden/>
    <w:pPr>
      <w:numPr>
        <w:numId w:val="18"/>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9"/>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20"/>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20"/>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20"/>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20"/>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lv-LV"/>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lv-LV" w:eastAsia="lv-LV"/>
    </w:rPr>
  </w:style>
  <w:style w:type="character" w:customStyle="1" w:styleId="tw4winError">
    <w:name w:val="tw4winError"/>
    <w:rPr>
      <w:color w:val="00FF00"/>
      <w:sz w:val="40"/>
      <w:lang w:val="lv-LV" w:eastAsia="lv-LV"/>
    </w:rPr>
  </w:style>
  <w:style w:type="character" w:customStyle="1" w:styleId="tw4winTerm">
    <w:name w:val="tw4winTerm"/>
    <w:rPr>
      <w:color w:val="0000FF"/>
      <w:lang w:val="lv-LV" w:eastAsia="lv-LV"/>
    </w:rPr>
  </w:style>
  <w:style w:type="character" w:customStyle="1" w:styleId="tw4winPopup">
    <w:name w:val="tw4winPopup"/>
    <w:rPr>
      <w:noProof/>
      <w:color w:val="008000"/>
      <w:lang w:val="lv-LV" w:eastAsia="lv-LV"/>
    </w:rPr>
  </w:style>
  <w:style w:type="character" w:customStyle="1" w:styleId="tw4winJump">
    <w:name w:val="tw4winJump"/>
    <w:rPr>
      <w:noProof/>
      <w:color w:val="008080"/>
      <w:lang w:val="lv-LV" w:eastAsia="lv-LV"/>
    </w:rPr>
  </w:style>
  <w:style w:type="character" w:customStyle="1" w:styleId="tw4winExternal">
    <w:name w:val="tw4winExternal"/>
    <w:rPr>
      <w:noProof/>
      <w:color w:val="808080"/>
      <w:lang w:val="lv-LV" w:eastAsia="lv-LV"/>
    </w:rPr>
  </w:style>
  <w:style w:type="character" w:customStyle="1" w:styleId="tw4winInternal">
    <w:name w:val="tw4winInternal"/>
    <w:rPr>
      <w:noProof/>
      <w:color w:val="FF0000"/>
      <w:lang w:val="lv-LV" w:eastAsia="lv-LV"/>
    </w:rPr>
  </w:style>
  <w:style w:type="character" w:customStyle="1" w:styleId="DONOTTRANSLATE">
    <w:name w:val="DO_NOT_TRANSLATE"/>
    <w:rPr>
      <w:noProof/>
      <w:color w:val="800000"/>
      <w:lang w:val="lv-LV"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index heading" w:uiPriority="0"/>
    <w:lsdException w:name="caption" w:uiPriority="35" w:qFormat="1"/>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4"/>
      </w:numPr>
      <w:outlineLvl w:val="3"/>
    </w:pPr>
    <w:rPr>
      <w:rFonts w:eastAsiaTheme="majorEastAsia"/>
      <w:bCs/>
      <w:iCs/>
    </w:rPr>
  </w:style>
  <w:style w:type="paragraph" w:styleId="Heading5">
    <w:name w:val="heading 5"/>
    <w:basedOn w:val="Normal"/>
    <w:next w:val="Normal"/>
    <w:link w:val="Heading5Char"/>
    <w:qFormat/>
    <w:pPr>
      <w:spacing w:before="240" w:after="60"/>
      <w:ind w:left="3332" w:hanging="708"/>
      <w:outlineLvl w:val="4"/>
    </w:pPr>
    <w:rPr>
      <w:rFonts w:ascii="Arial" w:eastAsia="Times New Roman" w:hAnsi="Arial"/>
      <w:sz w:val="22"/>
      <w:szCs w:val="20"/>
    </w:rPr>
  </w:style>
  <w:style w:type="paragraph" w:styleId="Heading6">
    <w:name w:val="heading 6"/>
    <w:basedOn w:val="Normal"/>
    <w:next w:val="Normal"/>
    <w:link w:val="Heading6Char"/>
    <w:qFormat/>
    <w:pPr>
      <w:spacing w:before="240" w:after="60"/>
      <w:ind w:left="4040" w:hanging="708"/>
      <w:outlineLvl w:val="5"/>
    </w:pPr>
    <w:rPr>
      <w:rFonts w:ascii="Arial" w:eastAsia="Times New Roman" w:hAnsi="Arial"/>
      <w:i/>
      <w:sz w:val="22"/>
      <w:szCs w:val="20"/>
    </w:rPr>
  </w:style>
  <w:style w:type="paragraph" w:styleId="Heading7">
    <w:name w:val="heading 7"/>
    <w:basedOn w:val="Normal"/>
    <w:next w:val="Normal"/>
    <w:link w:val="Heading7Char"/>
    <w:qFormat/>
    <w:pPr>
      <w:spacing w:before="240" w:after="60"/>
      <w:ind w:left="4748" w:hanging="708"/>
      <w:outlineLvl w:val="6"/>
    </w:pPr>
    <w:rPr>
      <w:rFonts w:ascii="Arial" w:eastAsia="Times New Roman" w:hAnsi="Arial"/>
      <w:sz w:val="20"/>
      <w:szCs w:val="20"/>
    </w:rPr>
  </w:style>
  <w:style w:type="paragraph" w:styleId="Heading8">
    <w:name w:val="heading 8"/>
    <w:basedOn w:val="Normal"/>
    <w:next w:val="Normal"/>
    <w:link w:val="Heading8Char"/>
    <w:qFormat/>
    <w:pPr>
      <w:spacing w:before="240" w:after="60"/>
      <w:ind w:left="5456" w:hanging="708"/>
      <w:outlineLvl w:val="7"/>
    </w:pPr>
    <w:rPr>
      <w:rFonts w:ascii="Arial" w:eastAsia="Times New Roman" w:hAnsi="Arial"/>
      <w:i/>
      <w:sz w:val="20"/>
      <w:szCs w:val="20"/>
    </w:rPr>
  </w:style>
  <w:style w:type="paragraph" w:styleId="Heading9">
    <w:name w:val="heading 9"/>
    <w:basedOn w:val="Normal"/>
    <w:next w:val="Normal"/>
    <w:link w:val="Heading9Char"/>
    <w:qFormat/>
    <w:pPr>
      <w:spacing w:before="240" w:after="60"/>
      <w:ind w:left="6164" w:hanging="708"/>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Hyperlink">
    <w:name w:val="Hyperlink"/>
    <w:rPr>
      <w:color w:val="0000FF"/>
      <w:u w:val="single"/>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unhideWhenUsed/>
    <w:pPr>
      <w:numPr>
        <w:numId w:val="9"/>
      </w:numPr>
      <w:contextualSpacing/>
    </w:pPr>
  </w:style>
  <w:style w:type="paragraph" w:styleId="ListBullet4">
    <w:name w:val="List Bullet 4"/>
    <w:basedOn w:val="Normal"/>
    <w:unhideWhenUsed/>
    <w:pPr>
      <w:tabs>
        <w:tab w:val="num" w:pos="1209"/>
      </w:tabs>
      <w:ind w:left="1209" w:hanging="360"/>
      <w:contextualSpacing/>
    </w:pPr>
  </w:style>
  <w:style w:type="character" w:styleId="CommentReference">
    <w:name w:val="annotation reference"/>
    <w:uiPriority w:val="99"/>
    <w:rPr>
      <w:rFonts w:cs="Times New Roman"/>
      <w:sz w:val="16"/>
      <w:szCs w:val="16"/>
      <w:lang w:val="lv-LV" w:eastAsia="lv-LV"/>
    </w:rPr>
  </w:style>
  <w:style w:type="character" w:customStyle="1" w:styleId="Heading5Char">
    <w:name w:val="Heading 5 Char"/>
    <w:basedOn w:val="DefaultParagraphFont"/>
    <w:link w:val="Heading5"/>
    <w:rPr>
      <w:rFonts w:ascii="Arial" w:eastAsia="Times New Roman" w:hAnsi="Arial" w:cs="Times New Roman"/>
      <w:szCs w:val="20"/>
      <w:lang w:val="lv-LV"/>
    </w:rPr>
  </w:style>
  <w:style w:type="character" w:customStyle="1" w:styleId="Heading6Char">
    <w:name w:val="Heading 6 Char"/>
    <w:basedOn w:val="DefaultParagraphFont"/>
    <w:link w:val="Heading6"/>
    <w:rPr>
      <w:rFonts w:ascii="Arial" w:eastAsia="Times New Roman" w:hAnsi="Arial" w:cs="Times New Roman"/>
      <w:i/>
      <w:szCs w:val="20"/>
      <w:lang w:val="lv-LV"/>
    </w:rPr>
  </w:style>
  <w:style w:type="character" w:customStyle="1" w:styleId="Heading7Char">
    <w:name w:val="Heading 7 Char"/>
    <w:basedOn w:val="DefaultParagraphFont"/>
    <w:link w:val="Heading7"/>
    <w:rPr>
      <w:rFonts w:ascii="Arial" w:eastAsia="Times New Roman" w:hAnsi="Arial" w:cs="Times New Roman"/>
      <w:sz w:val="20"/>
      <w:szCs w:val="20"/>
      <w:lang w:val="lv-LV"/>
    </w:rPr>
  </w:style>
  <w:style w:type="character" w:customStyle="1" w:styleId="Heading8Char">
    <w:name w:val="Heading 8 Char"/>
    <w:basedOn w:val="DefaultParagraphFont"/>
    <w:link w:val="Heading8"/>
    <w:rPr>
      <w:rFonts w:ascii="Arial" w:eastAsia="Times New Roman" w:hAnsi="Arial" w:cs="Times New Roman"/>
      <w:i/>
      <w:sz w:val="20"/>
      <w:szCs w:val="20"/>
      <w:lang w:val="lv-LV"/>
    </w:rPr>
  </w:style>
  <w:style w:type="character" w:customStyle="1" w:styleId="Heading9Char">
    <w:name w:val="Heading 9 Char"/>
    <w:basedOn w:val="DefaultParagraphFont"/>
    <w:link w:val="Heading9"/>
    <w:rPr>
      <w:rFonts w:ascii="Arial" w:eastAsia="Times New Roman" w:hAnsi="Arial" w:cs="Times New Roman"/>
      <w:i/>
      <w:sz w:val="18"/>
      <w:szCs w:val="20"/>
      <w:lang w:val="lv-LV"/>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unhideWhenUsed/>
    <w:qFormat/>
    <w:pPr>
      <w:numPr>
        <w:numId w:val="15"/>
      </w:numPr>
      <w:tabs>
        <w:tab w:val="clear" w:pos="926"/>
      </w:tabs>
      <w:spacing w:before="0" w:after="200"/>
      <w:ind w:left="0" w:firstLine="0"/>
    </w:pPr>
    <w:rPr>
      <w:b/>
      <w:bCs/>
      <w:color w:val="4F81BD" w:themeColor="accent1"/>
      <w:sz w:val="18"/>
      <w:szCs w:val="18"/>
    </w:rPr>
  </w:style>
  <w:style w:type="paragraph" w:styleId="TableofFigures">
    <w:name w:val="table of figures"/>
    <w:basedOn w:val="Normal"/>
    <w:next w:val="Normal"/>
    <w:uiPriority w:val="99"/>
    <w:semiHidden/>
    <w:unhideWhenUsed/>
    <w:pPr>
      <w:numPr>
        <w:numId w:val="16"/>
      </w:numPr>
      <w:tabs>
        <w:tab w:val="clear" w:pos="1209"/>
      </w:tabs>
      <w:spacing w:after="0"/>
      <w:ind w:left="0" w:firstLine="0"/>
    </w:pPr>
  </w:style>
  <w:style w:type="paragraph" w:styleId="ListNumber2">
    <w:name w:val="List Number 2"/>
    <w:basedOn w:val="Normal"/>
    <w:unhideWhenUsed/>
    <w:pPr>
      <w:numPr>
        <w:numId w:val="1"/>
      </w:numPr>
      <w:contextualSpacing/>
    </w:pPr>
  </w:style>
  <w:style w:type="paragraph" w:styleId="ListNumber3">
    <w:name w:val="List Number 3"/>
    <w:basedOn w:val="Normal"/>
    <w:uiPriority w:val="99"/>
    <w:unhideWhenUsed/>
    <w:pPr>
      <w:tabs>
        <w:tab w:val="num" w:pos="1134"/>
      </w:tabs>
      <w:ind w:left="1134" w:hanging="283"/>
      <w:contextualSpacing/>
    </w:pPr>
  </w:style>
  <w:style w:type="paragraph" w:styleId="ListNumber4">
    <w:name w:val="List Number 4"/>
    <w:basedOn w:val="Normal"/>
    <w:uiPriority w:val="99"/>
    <w:unhideWhenUsed/>
    <w:pPr>
      <w:tabs>
        <w:tab w:val="num" w:pos="1134"/>
      </w:tabs>
      <w:ind w:left="1134" w:hanging="283"/>
      <w:contextualSpacing/>
    </w:pPr>
  </w:style>
  <w:style w:type="paragraph" w:styleId="CommentSubject">
    <w:name w:val="annotation subject"/>
    <w:basedOn w:val="CommentText"/>
    <w:next w:val="CommentText"/>
    <w:link w:val="CommentSubjectChar"/>
    <w:unhideWhenUsed/>
    <w:pPr>
      <w:numPr>
        <w:numId w:val="28"/>
      </w:numPr>
      <w:tabs>
        <w:tab w:val="clear" w:pos="850"/>
      </w:tabs>
      <w:ind w:left="0" w:firstLine="0"/>
    </w:pPr>
    <w:rPr>
      <w:b/>
      <w:bCs/>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lv-LV"/>
    </w:rPr>
  </w:style>
  <w:style w:type="character" w:customStyle="1" w:styleId="Text2Char">
    <w:name w:val="Text 2 Char"/>
    <w:rPr>
      <w:rFonts w:ascii="Times New Roman" w:hAnsi="Times New Roman" w:cs="Times New Roman"/>
      <w:sz w:val="24"/>
      <w:lang w:val="lv-LV"/>
    </w:rPr>
  </w:style>
  <w:style w:type="character" w:customStyle="1" w:styleId="NumPar1Char">
    <w:name w:val="NumPar 1 Char"/>
    <w:rPr>
      <w:rFonts w:ascii="Times New Roman" w:hAnsi="Times New Roman" w:cs="Times New Roman"/>
      <w:sz w:val="24"/>
      <w:lang w:val="lv-LV"/>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tabs>
        <w:tab w:val="num" w:pos="850"/>
      </w:tabs>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tabs>
        <w:tab w:val="num" w:pos="850"/>
      </w:tabs>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tabs>
        <w:tab w:val="num" w:pos="850"/>
      </w:tabs>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tabs>
        <w:tab w:val="num" w:pos="850"/>
      </w:tabs>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Enclosures">
    <w:name w:val="Enclosures"/>
    <w:basedOn w:val="Normal"/>
    <w:next w:val="Participants"/>
    <w:pPr>
      <w:keepNext/>
      <w:keepLines/>
      <w:tabs>
        <w:tab w:val="left" w:pos="5642"/>
      </w:tabs>
      <w:spacing w:before="480" w:after="0"/>
      <w:ind w:left="1792" w:hanging="1792"/>
      <w:jc w:val="left"/>
    </w:pPr>
    <w:rPr>
      <w:rFonts w:eastAsia="Times New Roman"/>
      <w:szCs w:val="20"/>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numPr>
        <w:numId w:val="17"/>
      </w:numPr>
      <w:tabs>
        <w:tab w:val="clear" w:pos="1492"/>
      </w:tabs>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tabs>
        <w:tab w:val="num" w:pos="709"/>
      </w:tabs>
      <w:spacing w:before="0" w:after="240"/>
      <w:ind w:left="709" w:hanging="709"/>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tabs>
        <w:tab w:val="num" w:pos="283"/>
      </w:tabs>
      <w:spacing w:before="0" w:after="240"/>
      <w:ind w:left="283" w:hanging="283"/>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191" w:hanging="119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uiPriority w:val="99"/>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uiPriority w:val="99"/>
    <w:qFormat/>
    <w:pPr>
      <w:tabs>
        <w:tab w:val="num" w:pos="850"/>
      </w:tabs>
      <w:spacing w:before="0" w:after="60"/>
      <w:ind w:left="850" w:hanging="850"/>
      <w:jc w:val="center"/>
      <w:outlineLvl w:val="1"/>
    </w:pPr>
    <w:rPr>
      <w:rFonts w:ascii="Arial" w:eastAsia="Times New Roman" w:hAnsi="Arial"/>
      <w:szCs w:val="20"/>
    </w:rPr>
  </w:style>
  <w:style w:type="character" w:customStyle="1" w:styleId="SubtitleChar">
    <w:name w:val="Subtitle Char"/>
    <w:basedOn w:val="DefaultParagraphFont"/>
    <w:link w:val="Subtitle"/>
    <w:uiPriority w:val="99"/>
    <w:rPr>
      <w:rFonts w:ascii="Arial" w:eastAsia="Times New Roman" w:hAnsi="Arial" w:cs="Times New Roman"/>
      <w:sz w:val="24"/>
      <w:szCs w:val="20"/>
      <w:lang w:val="lv-LV"/>
    </w:rPr>
  </w:style>
  <w:style w:type="paragraph" w:styleId="TableofAuthorities">
    <w:name w:val="table of authorities"/>
    <w:basedOn w:val="Normal"/>
    <w:next w:val="Normal"/>
    <w:semiHidden/>
    <w:pPr>
      <w:numPr>
        <w:numId w:val="18"/>
      </w:numPr>
      <w:tabs>
        <w:tab w:val="clear" w:pos="283"/>
        <w:tab w:val="num" w:pos="850"/>
      </w:tabs>
      <w:spacing w:before="0" w:after="240"/>
      <w:ind w:left="850" w:hanging="850"/>
    </w:pPr>
    <w:rPr>
      <w:rFonts w:eastAsia="Times New Roman"/>
      <w:szCs w:val="20"/>
    </w:rPr>
  </w:style>
  <w:style w:type="paragraph" w:styleId="Title">
    <w:name w:val="Title"/>
    <w:basedOn w:val="Normal"/>
    <w:link w:val="TitleChar"/>
    <w:uiPriority w:val="99"/>
    <w:qFormat/>
    <w:pPr>
      <w:numPr>
        <w:numId w:val="19"/>
      </w:numPr>
      <w:tabs>
        <w:tab w:val="clear" w:pos="2199"/>
        <w:tab w:val="num" w:pos="850"/>
      </w:tabs>
      <w:spacing w:before="240" w:after="60"/>
      <w:ind w:left="850" w:hanging="85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uiPriority w:val="99"/>
    <w:rPr>
      <w:rFonts w:ascii="Arial" w:eastAsia="Times New Roman" w:hAnsi="Arial" w:cs="Times New Roman"/>
      <w:b/>
      <w:kern w:val="28"/>
      <w:sz w:val="32"/>
      <w:szCs w:val="20"/>
      <w:lang w:val="en-GB"/>
    </w:rPr>
  </w:style>
  <w:style w:type="paragraph" w:styleId="TOAHeading">
    <w:name w:val="toa heading"/>
    <w:basedOn w:val="Normal"/>
    <w:next w:val="Normal"/>
    <w:semiHidden/>
    <w:pPr>
      <w:numPr>
        <w:numId w:val="20"/>
      </w:numPr>
      <w:tabs>
        <w:tab w:val="clear" w:pos="1911"/>
      </w:tabs>
      <w:spacing w:after="240"/>
      <w:ind w:left="0" w:firstLine="0"/>
    </w:pPr>
    <w:rPr>
      <w:rFonts w:ascii="Arial" w:eastAsia="Times New Roman" w:hAnsi="Arial"/>
      <w:b/>
      <w:szCs w:val="20"/>
    </w:rPr>
  </w:style>
  <w:style w:type="paragraph" w:customStyle="1" w:styleId="YReferences">
    <w:name w:val="YReferences"/>
    <w:basedOn w:val="Normal"/>
    <w:next w:val="Normal"/>
    <w:pPr>
      <w:numPr>
        <w:ilvl w:val="1"/>
        <w:numId w:val="20"/>
      </w:numPr>
      <w:tabs>
        <w:tab w:val="clear" w:pos="2619"/>
      </w:tabs>
      <w:spacing w:before="0" w:after="480"/>
      <w:ind w:left="1191" w:hanging="1191"/>
    </w:pPr>
    <w:rPr>
      <w:rFonts w:eastAsia="Times New Roman"/>
      <w:szCs w:val="20"/>
    </w:rPr>
  </w:style>
  <w:style w:type="paragraph" w:customStyle="1" w:styleId="ListDash">
    <w:name w:val="List Dash"/>
    <w:basedOn w:val="Normal"/>
    <w:pPr>
      <w:numPr>
        <w:ilvl w:val="2"/>
        <w:numId w:val="20"/>
      </w:numPr>
      <w:tabs>
        <w:tab w:val="clear" w:pos="3328"/>
        <w:tab w:val="num" w:pos="283"/>
      </w:tabs>
      <w:spacing w:before="0" w:after="240"/>
      <w:ind w:left="283" w:hanging="283"/>
    </w:pPr>
    <w:rPr>
      <w:rFonts w:eastAsia="Times New Roman"/>
      <w:szCs w:val="20"/>
    </w:rPr>
  </w:style>
  <w:style w:type="paragraph" w:customStyle="1" w:styleId="ListDash3">
    <w:name w:val="List Dash 3"/>
    <w:basedOn w:val="Text3"/>
    <w:pPr>
      <w:numPr>
        <w:ilvl w:val="3"/>
        <w:numId w:val="20"/>
      </w:numPr>
      <w:tabs>
        <w:tab w:val="clear" w:pos="4037"/>
        <w:tab w:val="num" w:pos="2199"/>
      </w:tabs>
      <w:spacing w:before="0" w:after="240"/>
      <w:ind w:left="2199" w:hanging="283"/>
    </w:pPr>
    <w:rPr>
      <w:rFonts w:eastAsia="Times New Roman"/>
      <w:szCs w:val="20"/>
    </w:rPr>
  </w:style>
  <w:style w:type="paragraph" w:customStyle="1" w:styleId="ListDash4">
    <w:name w:val="List Dash 4"/>
    <w:basedOn w:val="Text4"/>
    <w:pPr>
      <w:tabs>
        <w:tab w:val="num" w:pos="926"/>
      </w:tabs>
      <w:spacing w:before="0" w:after="240"/>
      <w:ind w:left="926" w:hanging="360"/>
    </w:pPr>
    <w:rPr>
      <w:rFonts w:eastAsia="Times New Roman"/>
      <w:szCs w:val="20"/>
    </w:rPr>
  </w:style>
  <w:style w:type="paragraph" w:customStyle="1" w:styleId="ListNumber1">
    <w:name w:val="List Number 1"/>
    <w:basedOn w:val="Text1"/>
    <w:pPr>
      <w:tabs>
        <w:tab w:val="num" w:pos="1209"/>
      </w:tabs>
      <w:spacing w:before="0" w:after="240"/>
      <w:ind w:left="1209" w:hanging="360"/>
    </w:pPr>
    <w:rPr>
      <w:rFonts w:eastAsia="Times New Roman"/>
      <w:szCs w:val="20"/>
    </w:rPr>
  </w:style>
  <w:style w:type="paragraph" w:customStyle="1" w:styleId="ListNumber1Level2">
    <w:name w:val="List Number 1 (Level 2)"/>
    <w:basedOn w:val="Text1"/>
    <w:pPr>
      <w:numPr>
        <w:ilvl w:val="1"/>
        <w:numId w:val="10"/>
      </w:numPr>
      <w:spacing w:before="0" w:after="240"/>
    </w:pPr>
    <w:rPr>
      <w:rFonts w:eastAsia="Times New Roman"/>
      <w:szCs w:val="20"/>
    </w:rPr>
  </w:style>
  <w:style w:type="paragraph" w:customStyle="1" w:styleId="ListNumber1Level3">
    <w:name w:val="List Number 1 (Level 3)"/>
    <w:basedOn w:val="Text1"/>
    <w:pPr>
      <w:numPr>
        <w:ilvl w:val="2"/>
        <w:numId w:val="10"/>
      </w:numPr>
      <w:spacing w:before="0" w:after="240"/>
    </w:pPr>
    <w:rPr>
      <w:rFonts w:eastAsia="Times New Roman"/>
      <w:szCs w:val="20"/>
    </w:rPr>
  </w:style>
  <w:style w:type="paragraph" w:customStyle="1" w:styleId="ListNumber1Level4">
    <w:name w:val="List Number 1 (Level 4)"/>
    <w:basedOn w:val="Text1"/>
    <w:pPr>
      <w:numPr>
        <w:ilvl w:val="3"/>
        <w:numId w:val="10"/>
      </w:numPr>
      <w:spacing w:before="0" w:after="240"/>
    </w:pPr>
    <w:rPr>
      <w:rFonts w:eastAsia="Times New Roman"/>
      <w:szCs w:val="20"/>
    </w:rPr>
  </w:style>
  <w:style w:type="paragraph" w:customStyle="1" w:styleId="ListNumber2Level2">
    <w:name w:val="List Number 2 (Level 2)"/>
    <w:basedOn w:val="Text2"/>
    <w:pPr>
      <w:tabs>
        <w:tab w:val="num" w:pos="2494"/>
      </w:tabs>
      <w:spacing w:before="0" w:after="240"/>
      <w:ind w:left="2494" w:hanging="708"/>
    </w:pPr>
    <w:rPr>
      <w:rFonts w:eastAsia="Times New Roman"/>
      <w:szCs w:val="20"/>
    </w:rPr>
  </w:style>
  <w:style w:type="paragraph" w:customStyle="1" w:styleId="ListNumber2Level3">
    <w:name w:val="List Number 2 (Level 3)"/>
    <w:basedOn w:val="Text2"/>
    <w:pPr>
      <w:tabs>
        <w:tab w:val="num" w:pos="3203"/>
      </w:tabs>
      <w:spacing w:before="0" w:after="240"/>
      <w:ind w:left="3203" w:hanging="709"/>
    </w:pPr>
    <w:rPr>
      <w:rFonts w:eastAsia="Times New Roman"/>
      <w:szCs w:val="20"/>
    </w:rPr>
  </w:style>
  <w:style w:type="paragraph" w:customStyle="1" w:styleId="ListNumber2Level4">
    <w:name w:val="List Number 2 (Level 4)"/>
    <w:basedOn w:val="Text2"/>
    <w:pPr>
      <w:tabs>
        <w:tab w:val="num" w:pos="3912"/>
      </w:tabs>
      <w:spacing w:before="0" w:after="240"/>
      <w:ind w:left="3901" w:hanging="703"/>
    </w:pPr>
    <w:rPr>
      <w:rFonts w:eastAsia="Times New Roman"/>
      <w:szCs w:val="20"/>
    </w:rPr>
  </w:style>
  <w:style w:type="paragraph" w:customStyle="1" w:styleId="ListNumber3Level2">
    <w:name w:val="List Number 3 (Level 2)"/>
    <w:basedOn w:val="Text3"/>
    <w:pPr>
      <w:tabs>
        <w:tab w:val="num" w:pos="3333"/>
      </w:tabs>
      <w:spacing w:before="0" w:after="240"/>
      <w:ind w:left="3333" w:hanging="708"/>
    </w:pPr>
    <w:rPr>
      <w:rFonts w:eastAsia="Times New Roman"/>
      <w:szCs w:val="20"/>
    </w:rPr>
  </w:style>
  <w:style w:type="paragraph" w:customStyle="1" w:styleId="ListNumber3Level3">
    <w:name w:val="List Number 3 (Level 3)"/>
    <w:basedOn w:val="Text3"/>
    <w:pPr>
      <w:tabs>
        <w:tab w:val="num" w:pos="4042"/>
      </w:tabs>
      <w:spacing w:before="0" w:after="240"/>
      <w:ind w:left="4042" w:hanging="709"/>
    </w:pPr>
    <w:rPr>
      <w:rFonts w:eastAsia="Times New Roman"/>
      <w:szCs w:val="20"/>
    </w:rPr>
  </w:style>
  <w:style w:type="paragraph" w:customStyle="1" w:styleId="ListNumber3Level4">
    <w:name w:val="List Number 3 (Level 4)"/>
    <w:basedOn w:val="Text3"/>
    <w:pPr>
      <w:tabs>
        <w:tab w:val="num" w:pos="4751"/>
      </w:tabs>
      <w:spacing w:before="0" w:after="240"/>
      <w:ind w:left="4751" w:hanging="709"/>
    </w:pPr>
    <w:rPr>
      <w:rFonts w:eastAsia="Times New Roman"/>
      <w:szCs w:val="20"/>
    </w:rPr>
  </w:style>
  <w:style w:type="paragraph" w:customStyle="1" w:styleId="ListNumber4Level2">
    <w:name w:val="List Number 4 (Level 2)"/>
    <w:basedOn w:val="Text4"/>
    <w:pPr>
      <w:tabs>
        <w:tab w:val="num" w:pos="4297"/>
      </w:tabs>
      <w:spacing w:before="0" w:after="240"/>
      <w:ind w:left="4297" w:hanging="708"/>
    </w:pPr>
    <w:rPr>
      <w:rFonts w:eastAsia="Times New Roman"/>
      <w:szCs w:val="20"/>
    </w:rPr>
  </w:style>
  <w:style w:type="paragraph" w:customStyle="1" w:styleId="ListNumber4Level3">
    <w:name w:val="List Number 4 (Level 3)"/>
    <w:basedOn w:val="Text4"/>
    <w:pPr>
      <w:tabs>
        <w:tab w:val="num" w:pos="5006"/>
      </w:tabs>
      <w:spacing w:before="0" w:after="240"/>
      <w:ind w:left="5006" w:hanging="709"/>
    </w:pPr>
    <w:rPr>
      <w:rFonts w:eastAsia="Times New Roman"/>
      <w:szCs w:val="20"/>
    </w:rPr>
  </w:style>
  <w:style w:type="paragraph" w:customStyle="1" w:styleId="ListNumber4Level4">
    <w:name w:val="List Number 4 (Level 4)"/>
    <w:basedOn w:val="Text4"/>
    <w:pPr>
      <w:tabs>
        <w:tab w:val="num" w:pos="5715"/>
      </w:tabs>
      <w:spacing w:before="0" w:after="240"/>
      <w:ind w:left="5715" w:hanging="709"/>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b/>
      <w:smallCaps/>
      <w:sz w:val="20"/>
      <w:szCs w:val="20"/>
      <w:u w:val="single"/>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paragraph" w:customStyle="1" w:styleId="StyleNumPar2NotBold">
    <w:name w:val="Style NumPar 2 + Not Bold"/>
    <w:basedOn w:val="NumPar2"/>
    <w:pPr>
      <w:numPr>
        <w:ilvl w:val="0"/>
        <w:numId w:val="0"/>
      </w:numPr>
      <w:tabs>
        <w:tab w:val="num" w:pos="850"/>
      </w:tabs>
      <w:ind w:left="850" w:hanging="850"/>
    </w:pPr>
  </w:style>
  <w:style w:type="paragraph" w:customStyle="1" w:styleId="StyleNumPar1NotBold">
    <w:name w:val="Style NumPar 1 + Not Bold"/>
    <w:basedOn w:val="NumPar1"/>
    <w:link w:val="StyleNumPar1NotBoldChar"/>
    <w:pPr>
      <w:numPr>
        <w:numId w:val="0"/>
      </w:numPr>
      <w:tabs>
        <w:tab w:val="num" w:pos="850"/>
        <w:tab w:val="num" w:pos="1134"/>
      </w:tabs>
      <w:spacing w:before="240" w:after="0"/>
      <w:ind w:left="482" w:hanging="482"/>
    </w:pPr>
    <w:rPr>
      <w:rFonts w:ascii="Times New Roman Bold" w:eastAsia="Times New Roman" w:hAnsi="Times New Roman Bold"/>
      <w:b/>
      <w:smallCaps/>
      <w:szCs w:val="24"/>
    </w:rPr>
  </w:style>
  <w:style w:type="character" w:customStyle="1" w:styleId="StyleNumPar1NotBoldChar">
    <w:name w:val="Style NumPar 1 + Not Bold Char"/>
    <w:link w:val="StyleNumPar1NotBold"/>
    <w:rPr>
      <w:rFonts w:ascii="Times New Roman Bold" w:eastAsia="Times New Roman" w:hAnsi="Times New Roman Bold" w:cs="Times New Roman"/>
      <w:b/>
      <w:smallCaps/>
      <w:sz w:val="24"/>
      <w:szCs w:val="24"/>
      <w:lang w:val="lv-LV"/>
    </w:rPr>
  </w:style>
  <w:style w:type="paragraph" w:styleId="NormalWeb">
    <w:name w:val="Normal (Web)"/>
    <w:basedOn w:val="Normal"/>
    <w:pPr>
      <w:spacing w:before="100" w:beforeAutospacing="1" w:after="100" w:afterAutospacing="1"/>
    </w:pPr>
    <w:rPr>
      <w:rFonts w:ascii="Arial" w:eastAsia="Times New Roman" w:hAnsi="Arial" w:cs="Arial"/>
      <w:sz w:val="20"/>
      <w:szCs w:val="20"/>
    </w:rPr>
  </w:style>
  <w:style w:type="paragraph" w:customStyle="1" w:styleId="bodytext0">
    <w:name w:val="bodytext"/>
    <w:basedOn w:val="Normal"/>
    <w:pPr>
      <w:spacing w:before="100" w:beforeAutospacing="1" w:after="100" w:afterAutospacing="1"/>
    </w:pPr>
    <w:rPr>
      <w:rFonts w:ascii="Arial" w:eastAsia="Times New Roman" w:hAnsi="Arial" w:cs="Arial"/>
      <w:sz w:val="20"/>
      <w:szCs w:val="20"/>
    </w:rPr>
  </w:style>
  <w:style w:type="paragraph" w:customStyle="1" w:styleId="titre3">
    <w:name w:val="titre3"/>
    <w:basedOn w:val="Normal"/>
    <w:pPr>
      <w:spacing w:before="100" w:beforeAutospacing="1" w:after="100" w:afterAutospacing="1"/>
    </w:pPr>
    <w:rPr>
      <w:rFonts w:ascii="Arial" w:eastAsia="Times New Roman" w:hAnsi="Arial" w:cs="Arial"/>
      <w:b/>
      <w:bCs/>
      <w:sz w:val="20"/>
      <w:szCs w:val="20"/>
    </w:rPr>
  </w:style>
  <w:style w:type="character" w:customStyle="1" w:styleId="titre41">
    <w:name w:val="titre41"/>
    <w:rPr>
      <w:rFonts w:ascii="Arial" w:hAnsi="Arial" w:cs="Arial" w:hint="default"/>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ext">
    <w:name w:val="Text"/>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tw4winMark">
    <w:name w:val="tw4winMark"/>
    <w:rPr>
      <w:rFonts w:ascii="Times New Roman" w:hAnsi="Times New Roman"/>
      <w:vanish/>
      <w:color w:val="800080"/>
      <w:sz w:val="24"/>
      <w:vertAlign w:val="subscript"/>
      <w:lang w:val="lv-LV" w:eastAsia="lv-LV"/>
    </w:rPr>
  </w:style>
  <w:style w:type="character" w:customStyle="1" w:styleId="tw4winError">
    <w:name w:val="tw4winError"/>
    <w:rPr>
      <w:color w:val="00FF00"/>
      <w:sz w:val="40"/>
      <w:lang w:val="lv-LV" w:eastAsia="lv-LV"/>
    </w:rPr>
  </w:style>
  <w:style w:type="character" w:customStyle="1" w:styleId="tw4winTerm">
    <w:name w:val="tw4winTerm"/>
    <w:rPr>
      <w:color w:val="0000FF"/>
      <w:lang w:val="lv-LV" w:eastAsia="lv-LV"/>
    </w:rPr>
  </w:style>
  <w:style w:type="character" w:customStyle="1" w:styleId="tw4winPopup">
    <w:name w:val="tw4winPopup"/>
    <w:rPr>
      <w:noProof/>
      <w:color w:val="008000"/>
      <w:lang w:val="lv-LV" w:eastAsia="lv-LV"/>
    </w:rPr>
  </w:style>
  <w:style w:type="character" w:customStyle="1" w:styleId="tw4winJump">
    <w:name w:val="tw4winJump"/>
    <w:rPr>
      <w:noProof/>
      <w:color w:val="008080"/>
      <w:lang w:val="lv-LV" w:eastAsia="lv-LV"/>
    </w:rPr>
  </w:style>
  <w:style w:type="character" w:customStyle="1" w:styleId="tw4winExternal">
    <w:name w:val="tw4winExternal"/>
    <w:rPr>
      <w:noProof/>
      <w:color w:val="808080"/>
      <w:lang w:val="lv-LV" w:eastAsia="lv-LV"/>
    </w:rPr>
  </w:style>
  <w:style w:type="character" w:customStyle="1" w:styleId="tw4winInternal">
    <w:name w:val="tw4winInternal"/>
    <w:rPr>
      <w:noProof/>
      <w:color w:val="FF0000"/>
      <w:lang w:val="lv-LV" w:eastAsia="lv-LV"/>
    </w:rPr>
  </w:style>
  <w:style w:type="character" w:customStyle="1" w:styleId="DONOTTRANSLATE">
    <w:name w:val="DO_NOT_TRANSLATE"/>
    <w:rPr>
      <w:noProof/>
      <w:color w:val="800000"/>
      <w:lang w:val="lv-LV" w:eastAsia="lv-LV"/>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Times New Roman"/>
      <w:bCs/>
      <w:szCs w:val="28"/>
    </w:rPr>
  </w:style>
  <w:style w:type="character" w:customStyle="1" w:styleId="FooterCoverPageChar">
    <w:name w:val="Footer Cover Page Char"/>
    <w:link w:val="FooterCoverPage"/>
    <w:rPr>
      <w:rFonts w:ascii="Times New Roman" w:eastAsia="Times New Roman" w:hAnsi="Times New Roman" w:cs="Times New Roman"/>
      <w:bCs/>
      <w:sz w:val="24"/>
      <w:szCs w:val="28"/>
    </w:rPr>
  </w:style>
  <w:style w:type="paragraph" w:customStyle="1" w:styleId="HeaderCoverPage">
    <w:name w:val="Header Cover Page"/>
    <w:basedOn w:val="Normal"/>
    <w:link w:val="HeaderCoverPageChar"/>
    <w:pPr>
      <w:tabs>
        <w:tab w:val="center" w:pos="4535"/>
        <w:tab w:val="right" w:pos="9071"/>
      </w:tabs>
      <w:spacing w:before="0"/>
    </w:pPr>
    <w:rPr>
      <w:rFonts w:eastAsia="Times New Roman"/>
      <w:bCs/>
      <w:szCs w:val="28"/>
    </w:rPr>
  </w:style>
  <w:style w:type="character" w:customStyle="1" w:styleId="HeaderCoverPageChar">
    <w:name w:val="Header Cover Page Char"/>
    <w:link w:val="HeaderCoverPage"/>
    <w:rPr>
      <w:rFonts w:ascii="Times New Roman" w:eastAsia="Times New Roman" w:hAnsi="Times New Roman" w:cs="Times New Roman"/>
      <w:bCs/>
      <w:sz w:val="24"/>
      <w:szCs w:val="28"/>
    </w:rPr>
  </w:style>
  <w:style w:type="paragraph" w:customStyle="1" w:styleId="SubTitle1">
    <w:name w:val="SubTitle 1"/>
    <w:basedOn w:val="Normal"/>
    <w:next w:val="Normal"/>
    <w:uiPriority w:val="99"/>
    <w:pPr>
      <w:spacing w:before="0" w:after="0"/>
      <w:ind w:left="851"/>
      <w:jc w:val="center"/>
    </w:pPr>
    <w:rPr>
      <w:rFonts w:ascii="Arial" w:eastAsia="Times New Roman" w:hAnsi="Arial"/>
      <w:iCs/>
      <w:sz w:val="32"/>
      <w:szCs w:val="24"/>
    </w:rPr>
  </w:style>
  <w:style w:type="character" w:customStyle="1" w:styleId="s7">
    <w:name w:val="s7"/>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stitle-article-norm2">
    <w:name w:val="stitle-article-norm2"/>
    <w:basedOn w:val="Normal"/>
    <w:pPr>
      <w:spacing w:before="240" w:line="312" w:lineRule="atLeast"/>
      <w:jc w:val="center"/>
    </w:pPr>
    <w:rPr>
      <w:rFonts w:eastAsia="Times New Roman"/>
      <w:b/>
      <w:bCs/>
      <w:szCs w:val="24"/>
    </w:rPr>
  </w:style>
  <w:style w:type="paragraph" w:customStyle="1" w:styleId="norm3">
    <w:name w:val="norm3"/>
    <w:basedOn w:val="Normal"/>
    <w:pPr>
      <w:spacing w:after="0" w:line="312" w:lineRule="atLeas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Normal"/>
    <w:pPr>
      <w:autoSpaceDE w:val="0"/>
      <w:autoSpaceDN w:val="0"/>
      <w:adjustRightInd w:val="0"/>
      <w:spacing w:after="0"/>
      <w:ind w:left="720" w:hanging="720"/>
    </w:pPr>
    <w:rPr>
      <w:bCs/>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8"/>
      </w:numPr>
    </w:pPr>
  </w:style>
  <w:style w:type="paragraph" w:customStyle="1" w:styleId="Tiret1">
    <w:name w:val="Tiret 1"/>
    <w:basedOn w:val="Point1"/>
    <w:pPr>
      <w:numPr>
        <w:numId w:val="69"/>
      </w:numPr>
    </w:pPr>
  </w:style>
  <w:style w:type="paragraph" w:customStyle="1" w:styleId="Tiret2">
    <w:name w:val="Tiret 2"/>
    <w:basedOn w:val="Point2"/>
    <w:pPr>
      <w:numPr>
        <w:numId w:val="70"/>
      </w:numPr>
    </w:pPr>
  </w:style>
  <w:style w:type="paragraph" w:customStyle="1" w:styleId="Tiret3">
    <w:name w:val="Tiret 3"/>
    <w:basedOn w:val="Point3"/>
    <w:pPr>
      <w:numPr>
        <w:numId w:val="71"/>
      </w:numPr>
    </w:pPr>
  </w:style>
  <w:style w:type="paragraph" w:customStyle="1" w:styleId="Tiret4">
    <w:name w:val="Tiret 4"/>
    <w:basedOn w:val="Point4"/>
    <w:pPr>
      <w:numPr>
        <w:numId w:val="7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3"/>
      </w:numPr>
    </w:pPr>
  </w:style>
  <w:style w:type="paragraph" w:customStyle="1" w:styleId="NumPar2">
    <w:name w:val="NumPar 2"/>
    <w:basedOn w:val="Normal"/>
    <w:next w:val="Text1"/>
    <w:pPr>
      <w:numPr>
        <w:ilvl w:val="1"/>
        <w:numId w:val="73"/>
      </w:numPr>
    </w:pPr>
  </w:style>
  <w:style w:type="paragraph" w:customStyle="1" w:styleId="NumPar3">
    <w:name w:val="NumPar 3"/>
    <w:basedOn w:val="Normal"/>
    <w:next w:val="Text1"/>
    <w:pPr>
      <w:numPr>
        <w:ilvl w:val="2"/>
        <w:numId w:val="73"/>
      </w:numPr>
    </w:pPr>
  </w:style>
  <w:style w:type="paragraph" w:customStyle="1" w:styleId="NumPar4">
    <w:name w:val="NumPar 4"/>
    <w:basedOn w:val="Normal"/>
    <w:next w:val="Text1"/>
    <w:pPr>
      <w:numPr>
        <w:ilvl w:val="3"/>
        <w:numId w:val="7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5"/>
      </w:numPr>
    </w:pPr>
  </w:style>
  <w:style w:type="paragraph" w:customStyle="1" w:styleId="Point1number">
    <w:name w:val="Point 1 (number)"/>
    <w:basedOn w:val="Normal"/>
    <w:pPr>
      <w:numPr>
        <w:ilvl w:val="2"/>
        <w:numId w:val="75"/>
      </w:numPr>
    </w:pPr>
  </w:style>
  <w:style w:type="paragraph" w:customStyle="1" w:styleId="Point2number">
    <w:name w:val="Point 2 (number)"/>
    <w:basedOn w:val="Normal"/>
    <w:pPr>
      <w:numPr>
        <w:ilvl w:val="4"/>
        <w:numId w:val="75"/>
      </w:numPr>
    </w:pPr>
  </w:style>
  <w:style w:type="paragraph" w:customStyle="1" w:styleId="Point3number">
    <w:name w:val="Point 3 (number)"/>
    <w:basedOn w:val="Normal"/>
    <w:pPr>
      <w:numPr>
        <w:ilvl w:val="6"/>
        <w:numId w:val="75"/>
      </w:numPr>
    </w:pPr>
  </w:style>
  <w:style w:type="paragraph" w:customStyle="1" w:styleId="Point0letter">
    <w:name w:val="Point 0 (letter)"/>
    <w:basedOn w:val="Normal"/>
    <w:pPr>
      <w:numPr>
        <w:ilvl w:val="1"/>
        <w:numId w:val="75"/>
      </w:numPr>
    </w:pPr>
  </w:style>
  <w:style w:type="paragraph" w:customStyle="1" w:styleId="Point1letter">
    <w:name w:val="Point 1 (letter)"/>
    <w:basedOn w:val="Normal"/>
    <w:pPr>
      <w:numPr>
        <w:ilvl w:val="3"/>
        <w:numId w:val="75"/>
      </w:numPr>
    </w:pPr>
  </w:style>
  <w:style w:type="paragraph" w:customStyle="1" w:styleId="Point2letter">
    <w:name w:val="Point 2 (letter)"/>
    <w:basedOn w:val="Normal"/>
    <w:pPr>
      <w:numPr>
        <w:ilvl w:val="5"/>
        <w:numId w:val="75"/>
      </w:numPr>
    </w:pPr>
  </w:style>
  <w:style w:type="paragraph" w:customStyle="1" w:styleId="Point3letter">
    <w:name w:val="Point 3 (letter)"/>
    <w:basedOn w:val="Normal"/>
    <w:pPr>
      <w:numPr>
        <w:ilvl w:val="7"/>
        <w:numId w:val="75"/>
      </w:numPr>
    </w:pPr>
  </w:style>
  <w:style w:type="paragraph" w:customStyle="1" w:styleId="Point4letter">
    <w:name w:val="Point 4 (letter)"/>
    <w:basedOn w:val="Normal"/>
    <w:pPr>
      <w:numPr>
        <w:ilvl w:val="8"/>
        <w:numId w:val="75"/>
      </w:numPr>
    </w:pPr>
  </w:style>
  <w:style w:type="paragraph" w:customStyle="1" w:styleId="Bullet0">
    <w:name w:val="Bullet 0"/>
    <w:basedOn w:val="Normal"/>
    <w:pPr>
      <w:numPr>
        <w:numId w:val="76"/>
      </w:numPr>
    </w:pPr>
  </w:style>
  <w:style w:type="paragraph" w:customStyle="1" w:styleId="Bullet1">
    <w:name w:val="Bullet 1"/>
    <w:basedOn w:val="Normal"/>
    <w:pPr>
      <w:numPr>
        <w:numId w:val="77"/>
      </w:numPr>
    </w:pPr>
  </w:style>
  <w:style w:type="paragraph" w:customStyle="1" w:styleId="Bullet2">
    <w:name w:val="Bullet 2"/>
    <w:basedOn w:val="Normal"/>
    <w:pPr>
      <w:numPr>
        <w:numId w:val="78"/>
      </w:numPr>
    </w:pPr>
  </w:style>
  <w:style w:type="paragraph" w:customStyle="1" w:styleId="Bullet3">
    <w:name w:val="Bullet 3"/>
    <w:basedOn w:val="Normal"/>
    <w:pPr>
      <w:numPr>
        <w:numId w:val="79"/>
      </w:numPr>
    </w:pPr>
  </w:style>
  <w:style w:type="paragraph" w:customStyle="1" w:styleId="Bullet4">
    <w:name w:val="Bullet 4"/>
    <w:basedOn w:val="Normal"/>
    <w:pPr>
      <w:numPr>
        <w:numId w:val="8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mart-regulation/impact/ia_carried_out/cia_2016_en.htm"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186/6937805/Summary+report+on+the+open+public+consultations/52c01d34-ca85-4e8d-aaae-df4ae84b8dea" TargetMode="External"/><Relationship Id="rId2" Type="http://schemas.openxmlformats.org/officeDocument/2006/relationships/hyperlink" Target="http://ec.europa.eu/eurostat/documents/10186/7142348/ABS-Report.pdf" TargetMode="External"/><Relationship Id="rId1" Type="http://schemas.openxmlformats.org/officeDocument/2006/relationships/hyperlink" Target="http://ec.europa.eu/eurostat/web/quality/evaluation" TargetMode="External"/><Relationship Id="rId4"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60CC-2D8B-4587-9892-7489D3E1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50</Pages>
  <Words>12173</Words>
  <Characters>87410</Characters>
  <Application>Microsoft Office Word</Application>
  <DocSecurity>0</DocSecurity>
  <Lines>4600</Lines>
  <Paragraphs>3111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2017-02-13T10:23:00Z</cp:lastPrinted>
  <dcterms:created xsi:type="dcterms:W3CDTF">2017-02-27T12:38:00Z</dcterms:created>
  <dcterms:modified xsi:type="dcterms:W3CDTF">2017-02-27T13:37:00Z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