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8FCEE94F63548EDB872EA4E73B8209E"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bdr w:val="none" w:sz="0" w:space="0" w:color="auto" w:frame="1"/>
        </w:rPr>
        <w:t>•</w:t>
      </w:r>
      <w:r>
        <w:rPr>
          <w:noProof/>
        </w:rPr>
        <w:tab/>
        <w:t>Przyczyny i cele wniosku</w:t>
      </w:r>
    </w:p>
    <w:p>
      <w:pPr>
        <w:rPr>
          <w:rFonts w:eastAsia="Arial Unicode MS"/>
          <w:noProof/>
          <w:color w:val="000000"/>
        </w:rPr>
      </w:pPr>
      <w:r>
        <w:rPr>
          <w:noProof/>
        </w:rPr>
        <w:t>Zapotrzebowanie na informacje statystyczne dotyczące przedsiębiorstw na potrzeby kształtowania polityki i do innych celów jest coraz większe. Europejski System Statystyczny (ESS)</w:t>
      </w:r>
      <w:r>
        <w:rPr>
          <w:rStyle w:val="FootnoteReference"/>
          <w:noProof/>
        </w:rPr>
        <w:footnoteReference w:id="1"/>
      </w:r>
      <w:r>
        <w:rPr>
          <w:noProof/>
        </w:rPr>
        <w:t xml:space="preserve"> ma zapewniać wysokiej jakości dane statystyczne w tej dziedzinie w sposób terminowy i zapewniający porównywalność we wszystkich państwach członkowskich. Rozpowszechnianie statystyki gospodarczej ESS powinno stanowić podstawę decyzji dotyczących gospodarki rynkowej opartej na wiedzy i innowacyjności, poprawy dostępu do jednolitego rynku dla małych i średnich przedsiębiorstw oraz wspierania przedsiębiorczości i konkurencyjności.</w:t>
      </w:r>
    </w:p>
    <w:p>
      <w:pPr>
        <w:rPr>
          <w:noProof/>
        </w:rPr>
      </w:pPr>
      <w:r>
        <w:rPr>
          <w:noProof/>
        </w:rPr>
        <w:t>Projekt rozporządzenia w sprawie europejskiej statystyki gospodarczej zmieniającego rozporządzenie (WE) nr 184/2005 i uchylającego 10 aktów prawnych w dziedzinie statystyki gospodarczej (FRIBS) jest częścią REFIT, programu sprawności i wydajności regulacyjnej Komisji Europejskiej, mającego na celu uproszczenie prawa UE i ograniczenie zbędnych kosztów regulacyjnych, w którym statystykę gospodarczą określono jako jeden z priorytetowych obszarów. Projekt rozporządzenia przewiduje integrację wymogów statystycznych oraz aktów prawnych w dziedzinie statystyki gospodarczej poprzez ich ujednolicenie i uproszczenie oraz zmniejszenie obciążenia administracyjnego dla przedsiębiorstw.</w:t>
      </w:r>
    </w:p>
    <w:p>
      <w:pPr>
        <w:rPr>
          <w:noProof/>
        </w:rPr>
      </w:pPr>
      <w:r>
        <w:rPr>
          <w:noProof/>
        </w:rPr>
        <w:t xml:space="preserve">Obecny system tworzenia europejskiej statystyki gospodarczej jest podzielony na odrębne rozporządzenia dotyczące poszczególnych dziedzin. Prowadzi to do niespójności gromadzonych danych i nieefektywności procesu ich tworzenia. FRIBS zapewni wspólne ramy prawne dla opracowywania i zestawiania statystyki gospodarczej ESS. Jego rezultatem ma być: poprawa jakości rejestrów ESS dotyczących przedsiębiorstw, wspólne definicje stosowane do wszystkich dziedzin statystycznych, które obejmuje FRIBS, wymiana możliwych do zidentyfikowania danych jednostkowych i zintegrowana struktura danych. Powinno to doprowadzić do racjonalizacji krajowych procesów tworzenia statystyk, lepszego wykorzystania istniejących źródeł danych oraz zmniejszenia obciążenia statystycznego dla respondentów podczas zestawiania statystyki gospodarczej ESS. Ponadto FRIBS przyczyni się do stworzenia zharmonizowanych struktur danych i wspólnych standardów jakości danych, które umożliwią powiązanie poszczególnych rodzajów statystyki gospodarczej, co jeszcze bardziej zwiększy wartość zebranych informacji.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rPr>
        <w:t>Spójność z przepisami obowiązującymi w tej dziedzinie polityki</w:t>
      </w:r>
    </w:p>
    <w:p>
      <w:pPr>
        <w:rPr>
          <w:noProof/>
        </w:rPr>
      </w:pPr>
      <w:r>
        <w:rPr>
          <w:noProof/>
        </w:rPr>
        <w:t>Aby podejmować decyzje oparte na konkretach, decydenci i przedsiębiorcy coraz bardziej potrzebują wiarygodnych i wysokiej jakości danych statystycznych. Obecnie jednak, w kontekście coraz większej presji na zasoby ludzkie i finansowe dostępne dla celów tworzenia statystyk, dostarczanie coraz większej ilości niezbędnych statystyk o wysokiej jakości stało się dla ESS poważnym wyzwaniem. Jednocześnie ESS stoi w obliczu żądań ograniczenia obciążenia administracyjnego ze strony dostawców danych (respondentów – przedsiębiorstw). Aby sprostać tym wyzwaniom, Komisja (Eurostat) podjęła ostatnio szereg inicjatyw zmierzających do zapewnienia bardziej efektywnego procesu tworzenia statystyk europejskich oraz zmniejszenia obciążenia respondentów poprzez uproszczenie i poprawę koordynacji i współpracy w ramach ESS. Przykładem takiej inicjatywy jest dokonana w 2015 r. zmiana rozporządzenia (WE) nr 223/2009 w sprawie statystyki europejskiej, przy pomocy której wyjaśniono bardziej szczegółowo zarządzanie ESS i wzmocniono instrumenty koordynacji i współpracy na poziomie UE i na poziomie krajowym. Inne podobne inicjatywy, na przykład w dziedzinie statystyki społecznej, są objęte programem REFIT Komisji i mają na celu uproszczenie i ujednolicenie procesu tworzenia statystyk europejskich w wybranych dziedzinach.</w:t>
      </w:r>
    </w:p>
    <w:p>
      <w:pPr>
        <w:rPr>
          <w:noProof/>
        </w:rPr>
      </w:pPr>
      <w:r>
        <w:rPr>
          <w:noProof/>
        </w:rPr>
        <w:t>Statystyka gospodarcza stanowi jeden z trzech filarów ESS w Europejskim programie statystycznym na lata 2013–2017</w:t>
      </w:r>
      <w:r>
        <w:rPr>
          <w:rStyle w:val="FootnoteReference"/>
          <w:noProof/>
        </w:rPr>
        <w:footnoteReference w:id="2"/>
      </w:r>
      <w:r>
        <w:rPr>
          <w:noProof/>
        </w:rPr>
        <w:t xml:space="preserve">. Każdy z tych filarów obejmuje zbiór pierwotnych danych statystycznych, który służy wielorakim potrzebom i stanowi wkład do systemów rachunkowości (np. rachunków narodowych lub bilansów płatniczych), jak również podstawę wskaźników dla różnych potrzeb politycznych. „Wizja 2020” ESS, przyjęta przez Komitet ds. ESS w maju 2014 r., jest strategiczną odpowiedzią ESS na wyzwania związane ze statystyką publiczną. Stwierdza się w niej, że powinna istnieć możliwość wykorzystywania danych z różnych dziedzin statystycznych, aby móc lepiej analizować nowe zjawiska (np. globalizację) i lepiej służyć obszarom polityki UE o dużym potencjale oddziaływania. Dane wyjściowe powinny opierać się na wydajnych i solidnych procesach statystycznych. Program modernizacji europejskiej statystyki przedsiębiorstw i handlu (MEETS) posłużył do przygotowania realizacji „Wizji 2020” ESS w dziedzinie statystyki gospodarczej i dotyczącej handlu. Podjęto szereg działań w celu integracji, uproszczenia, powiązania danych i opracowania zharmonizowanej metodyki. </w:t>
      </w:r>
    </w:p>
    <w:p>
      <w:pPr>
        <w:pStyle w:val="ManualHeading2"/>
        <w:rPr>
          <w:noProof/>
          <w:color w:val="000000"/>
        </w:rPr>
      </w:pPr>
      <w:r>
        <w:rPr>
          <w:noProof/>
          <w:color w:val="000000"/>
          <w:bdr w:val="none" w:sz="0" w:space="0" w:color="auto" w:frame="1"/>
        </w:rPr>
        <w:t>•</w:t>
      </w:r>
      <w:r>
        <w:rPr>
          <w:noProof/>
        </w:rPr>
        <w:tab/>
      </w:r>
      <w:r>
        <w:rPr>
          <w:noProof/>
          <w:color w:val="000000"/>
        </w:rPr>
        <w:t>Spójność z innymi politykami Unii</w:t>
      </w:r>
    </w:p>
    <w:p>
      <w:pPr>
        <w:rPr>
          <w:noProof/>
        </w:rPr>
      </w:pPr>
      <w:r>
        <w:rPr>
          <w:noProof/>
        </w:rPr>
        <w:t>Jednym z celów FRIBS jest zapewnienie danych statystycznych adekwatnych do ich przeznaczenia, które przyczynią się do formułowania i monitorowania polityk UE mających wpływ na przedsiębiorstwa.</w:t>
      </w:r>
    </w:p>
    <w:p>
      <w:pPr>
        <w:rPr>
          <w:noProof/>
        </w:rPr>
      </w:pPr>
      <w:r>
        <w:rPr>
          <w:noProof/>
        </w:rPr>
        <w:t>Dokładniej rzecz ujmując, monitorowanie postępów w realizacji 10 priorytetów określonych przez Komisję Europejską, w szczególności w odniesieniu do tworzenia miejsc pracy, wzrostu gospodarczego i inwestycji, jednolitego rynku cyfrowego, rynku wewnętrznego i umów handlowych UE, wymaga zharmonizowanej i porównywalnej statystyki europejskiej, którą:</w:t>
      </w:r>
    </w:p>
    <w:p>
      <w:pPr>
        <w:pStyle w:val="Bullet0"/>
        <w:numPr>
          <w:ilvl w:val="0"/>
          <w:numId w:val="11"/>
        </w:numPr>
        <w:rPr>
          <w:noProof/>
        </w:rPr>
      </w:pPr>
      <w:r>
        <w:rPr>
          <w:noProof/>
        </w:rPr>
        <w:t>decydenci mogą wykorzystać do opracowywania inicjatyw politycznych odpowiadających celom Komisji, a także do monitorowania ich realizacji;</w:t>
      </w:r>
    </w:p>
    <w:p>
      <w:pPr>
        <w:pStyle w:val="Bullet0"/>
        <w:rPr>
          <w:noProof/>
        </w:rPr>
      </w:pPr>
      <w:r>
        <w:rPr>
          <w:noProof/>
        </w:rPr>
        <w:t>media mogą wykorzystać do informowania o dziedzinach określonych w 10 priorytetach.</w:t>
      </w:r>
    </w:p>
    <w:p>
      <w:pPr>
        <w:pStyle w:val="ManualHeading1"/>
        <w:rPr>
          <w:noProof/>
          <w:color w:val="000000"/>
        </w:rPr>
      </w:pPr>
      <w:r>
        <w:rPr>
          <w:noProof/>
          <w:color w:val="000000"/>
        </w:rPr>
        <w:t>2.</w:t>
      </w:r>
      <w:r>
        <w:rPr>
          <w:noProof/>
        </w:rPr>
        <w:tab/>
      </w:r>
      <w:r>
        <w:rPr>
          <w:noProof/>
          <w:color w:val="000000"/>
        </w:rPr>
        <w:t>PODSTAWA PRAWNA, POMOCNICZOŚĆ I PROPORCJONALNOŚĆ</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Podstawa prawna</w:t>
      </w:r>
    </w:p>
    <w:p>
      <w:pPr>
        <w:rPr>
          <w:noProof/>
        </w:rPr>
      </w:pPr>
      <w:r>
        <w:rPr>
          <w:noProof/>
        </w:rPr>
        <w:t xml:space="preserve">Podstawą prawną statystyki europejskiej jest art. 338 Traktatu o funkcjonowaniu Unii Europejskiej. Na mocy tego artykułu prawodawcy Unii przyjmują środki w celu tworzenia statystyk, jeżeli jest to konieczne do prowadzenia działań Unii.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 xml:space="preserve">Pomocniczość (w przypadku kompetencji niewyłącznych) </w:t>
      </w:r>
    </w:p>
    <w:p>
      <w:pPr>
        <w:rPr>
          <w:noProof/>
        </w:rPr>
      </w:pPr>
      <w:r>
        <w:rPr>
          <w:noProof/>
        </w:rPr>
        <w:t>Zasada pomocniczości ma zastosowanie, o ile wniosek nie wchodzi w zakres wyłącznych kompetencji UE. W ramach Europejskiego Systemu Statystycznego państwa członkowskie zapewniają rzeczywiste gromadzenie informacji statystycznych na poziomie krajowym. Do zestawiania statystyki gospodarczej na szczeblu europejskim niezbędna jest zharmonizowana metodyka i definicja wspólnego produktu, który ma być dostarczany przez państwa członkowskie. Tylko Komisja może koordynować niezbędną harmonizację informacji statystycznych we wszystkich państwach członkowskich i tworzyć statystykę gospodarczą na szczeblu europejskim na podstawie danych gromadzonych przez państwa członkowskie. Unia Europejska może zatem przyjąć środki zgodnie z zasadą pomocniczości określoną w art. 5 Traktatu o Unii Europejskiej (TUE). W związku z tym proponowane działanie UE jest w pełni uzasadnione. Może to zostać w pełni osiągnięte jedynie poprzez działanie na szczeblu UE.</w:t>
      </w:r>
    </w:p>
    <w:p>
      <w:pPr>
        <w:rPr>
          <w:noProof/>
        </w:rPr>
      </w:pPr>
      <w:r>
        <w:rPr>
          <w:noProof/>
        </w:rPr>
        <w:t>Ponadto lepsze monitorowanie globalizacji, oparte na lepszej wiedzy na temat wielonarodowych grup przedsiębiorstw, może być prowadzone tylko na szczeblu europejskim.</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Proporcjonalność</w:t>
      </w:r>
    </w:p>
    <w:p>
      <w:pPr>
        <w:rPr>
          <w:noProof/>
        </w:rPr>
      </w:pPr>
      <w:r>
        <w:rPr>
          <w:noProof/>
        </w:rPr>
        <w:t>Wniosek jest zgodny z zasadą proporcjonalności z następujących względów:</w:t>
      </w:r>
    </w:p>
    <w:p>
      <w:pPr>
        <w:rPr>
          <w:noProof/>
        </w:rPr>
      </w:pPr>
      <w:r>
        <w:rPr>
          <w:noProof/>
        </w:rPr>
        <w:t xml:space="preserve">Zapewni on jakość europejskiej statystyki gospodarczej, w tym jej porównywalność, przydatność i adekwatność w stosunku do potrzeb, w sposób zharmonizowany we wszystkich państwach członkowskich poprzez zastosowanie jednakowych zasad. Doprowadzi to do większej efektywności kosztowej przy jednoczesnym poszanowaniu specyfiki systemów państw członkowskich. </w:t>
      </w:r>
    </w:p>
    <w:p>
      <w:pPr>
        <w:rPr>
          <w:noProof/>
        </w:rPr>
      </w:pPr>
      <w:r>
        <w:rPr>
          <w:noProof/>
        </w:rPr>
        <w:t>Ujednolicenie pojęć i metod, wyeliminowanie dublowania oraz możliwość pełniejszego wykorzystania źródeł innych niż badania powinny przyczynić się do zmniejszenia finansowego i administracyjnego obciążenia respondentów. Rozporządzenie FRIBS jest w dużym stopniu ukierunkowane na produkt, co oznacza, że państwa członkowskie mają swobodę w zakresie wyboru wkładu (źródeł danych), o ile tylko będą dostarczać produkt (dane statystyczne), który jest zgodny z uzgodnionymi definicjami i uzgodnionymi standardami jakości. Zachęca się państwa członkowskie do wykorzystywania w miarę możliwości istniejących źródeł administracyjnych lub źródeł innowacyjnych, takich jak duże zbiory danych, aby sprostać potrzebom statystycznym. Nowe wymogi dotyczące danych wprowadzone w rozporządzeniu FRIBS zostały przetestowane w badaniach pilotażowych w celu wykazania możliwości ich zastosowania.</w:t>
      </w:r>
    </w:p>
    <w:p>
      <w:pPr>
        <w:rPr>
          <w:noProof/>
        </w:rPr>
      </w:pPr>
      <w:r>
        <w:rPr>
          <w:noProof/>
        </w:rPr>
        <w:t>Obecne unijne akty prawne dotyczące statystyki gospodarczej były w ostatnich latach wielokrotnie zmieniane. Unaoczniło to, że wprowadzenie jednego rozporządzenia ustanawiającego wspólne ramy gromadzenia, przetwarzania i rozpowszechniania danych statystycznych dotyczących przedsiębiorstw może usprawnić te procesy (stosunek kosztów do korzyści) i zwiększyć ich efektywność.</w:t>
      </w:r>
    </w:p>
    <w:p>
      <w:pPr>
        <w:rPr>
          <w:noProof/>
          <w:color w:val="000000"/>
        </w:rPr>
      </w:pPr>
      <w:r>
        <w:rPr>
          <w:noProof/>
        </w:rPr>
        <w:t xml:space="preserve">Zgodnie zatem z zasadą proporcjonalności zakres proponowanego rozporządzenia jest ograniczony do niezbędnego minimum i nie wykracza poza to, co jest konieczne do osiągnięcia jego celów. </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Wybór instrumentu</w:t>
      </w:r>
    </w:p>
    <w:p>
      <w:pPr>
        <w:autoSpaceDE w:val="0"/>
        <w:autoSpaceDN w:val="0"/>
        <w:adjustRightInd w:val="0"/>
        <w:spacing w:after="0"/>
        <w:rPr>
          <w:noProof/>
          <w:color w:val="000000"/>
          <w:szCs w:val="24"/>
        </w:rPr>
      </w:pPr>
      <w:r>
        <w:rPr>
          <w:noProof/>
          <w:color w:val="000000"/>
        </w:rPr>
        <w:t>Proponowany instrument: rozporządzenie.</w:t>
      </w:r>
    </w:p>
    <w:p>
      <w:pPr>
        <w:rPr>
          <w:noProof/>
          <w:color w:val="000000"/>
          <w:szCs w:val="24"/>
        </w:rPr>
      </w:pPr>
      <w:r>
        <w:rPr>
          <w:noProof/>
          <w:color w:val="000000"/>
        </w:rPr>
        <w:t xml:space="preserve">Mając na uwadze cele i treść wniosku, za najbardziej odpowiedni instrument należy uznać rozporządzenie. </w:t>
      </w:r>
    </w:p>
    <w:p>
      <w:pPr>
        <w:autoSpaceDE w:val="0"/>
        <w:autoSpaceDN w:val="0"/>
        <w:adjustRightInd w:val="0"/>
        <w:spacing w:after="0"/>
        <w:rPr>
          <w:noProof/>
        </w:rPr>
      </w:pPr>
      <w:r>
        <w:rPr>
          <w:noProof/>
          <w:color w:val="000000"/>
        </w:rPr>
        <w:t>Wybór odpowiedniego instrumentu zależy od tego, jaki cel prawny dany akt ma osiągnąć. Ze względu na zapotrzebowanie na informacje na szczeblu europejskim w dziedzinie statystyki europejskiej aktami podstawowymi są zazwyczaj rozporządzenia, a nie dyrektywy. Rozporządzenie jest lepszym rozwiązaniem, ponieważ ustanawia się w nim te same przepisy dla całej Unii Europejskiej, nie dając państwom członkowskim możliwości ich niepełnego lub selektywnego stosowania. Zapewnia ono porównywalność danych w UE do celów europejskich statystyk o wysokiej jakości. Jest ono stosowane bezpośrednio, co oznacza, że nie musi być transponowane do prawa krajowego. Zastosowanie rozporządzenia jest zgodne z innymi europejskimi aktami podstawowymi w dziedzinie statystyki przyjętymi od 1997 r.</w:t>
      </w:r>
    </w:p>
    <w:p>
      <w:pPr>
        <w:pStyle w:val="ManualHeading1"/>
        <w:rPr>
          <w:noProof/>
          <w:color w:val="000000"/>
        </w:rPr>
      </w:pPr>
      <w:r>
        <w:rPr>
          <w:noProof/>
          <w:color w:val="000000"/>
        </w:rPr>
        <w:t>3.</w:t>
      </w:r>
      <w:r>
        <w:rPr>
          <w:noProof/>
        </w:rPr>
        <w:tab/>
      </w:r>
      <w:r>
        <w:rPr>
          <w:noProof/>
          <w:color w:val="000000"/>
        </w:rPr>
        <w:t xml:space="preserve">WYNIKI OCEN </w:t>
      </w:r>
      <w:r>
        <w:rPr>
          <w:i/>
          <w:noProof/>
          <w:color w:val="000000"/>
        </w:rPr>
        <w:t>EX POST</w:t>
      </w:r>
      <w:r>
        <w:rPr>
          <w:noProof/>
          <w:color w:val="000000"/>
        </w:rPr>
        <w:t>, KONSULTACJI Z ZAINTERESOWANYMI STRONAMI I OCEN SKUTKÓW</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 xml:space="preserve">Oceny </w:t>
      </w:r>
      <w:r>
        <w:rPr>
          <w:i/>
          <w:noProof/>
          <w:color w:val="000000"/>
          <w:bdr w:val="none" w:sz="0" w:space="0" w:color="auto" w:frame="1"/>
        </w:rPr>
        <w:t>ex post</w:t>
      </w:r>
      <w:r>
        <w:rPr>
          <w:noProof/>
          <w:color w:val="000000"/>
          <w:bdr w:val="none" w:sz="0" w:space="0" w:color="auto" w:frame="1"/>
        </w:rPr>
        <w:t> / kontrole sprawności obowiązującego prawodawstwa</w:t>
      </w:r>
    </w:p>
    <w:p>
      <w:pPr>
        <w:rPr>
          <w:noProof/>
        </w:rPr>
      </w:pPr>
      <w:r>
        <w:rPr>
          <w:noProof/>
        </w:rPr>
        <w:t>Ponieważ niniejsza inicjatywa miała swój początek przed przyjęciem wytycznych dotyczących lepszego stanowienia prawa, nie przeprowadzono tak szczegółowej oceny obecnej sytuacji (według pięciu kryteriów oceny), by ją poprzeć. Zgodnie ze standardami Komisji na potrzeby oceny istniejącego prawodawstwa, w tym oceny Europejskiego programu statystycznego</w:t>
      </w:r>
      <w:r>
        <w:rPr>
          <w:rStyle w:val="FootnoteReference"/>
          <w:noProof/>
        </w:rPr>
        <w:footnoteReference w:id="3"/>
      </w:r>
      <w:r>
        <w:rPr>
          <w:noProof/>
        </w:rPr>
        <w:t>, zastosowano system obowiązujący w Eurostacie, który stanowił centralny element całego procesu. Oprócz tego Eurostat przeprowadza co roku badania w celu uzyskania lepszej wiedzy na temat użytkowników, ich potrzeb i zadowolenia z usług Eurostatu. Wyniki ocen są wykorzystywane przez Eurostat do ulepszania procesu tworzenia danych i wyników statystycznych. Są one wykorzystywane w różnych planach strategicznych, takich jak program prac i plan zarządzania.</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Konsultacje z zainteresowanymi stronami</w:t>
      </w:r>
    </w:p>
    <w:p>
      <w:pPr>
        <w:rPr>
          <w:noProof/>
        </w:rPr>
      </w:pPr>
      <w:r>
        <w:rPr>
          <w:noProof/>
        </w:rPr>
        <w:t>Główne kategorie zainteresowanych stron w przypadku europejskiej statystyki gospodarczej to użytkownicy danych (inne służby Komisji, krajowe urzędy statystyczne monitorujące sektor przedsiębiorstw, krajowe banki centralne i Europejski Bank Centralny, stowarzyszenia zawodowe i naukowcy), podmioty zestawiające dane (krajowe instytuty statystyczne, ale również inne organy odpowiedzialne za zestawianie danych, takie jak krajowe banki centralne) oraz dostawcy danych (przedsiębiorstwa (w tym MŚP)).</w:t>
      </w:r>
    </w:p>
    <w:p>
      <w:pPr>
        <w:rPr>
          <w:noProof/>
        </w:rPr>
      </w:pPr>
      <w:r>
        <w:rPr>
          <w:noProof/>
        </w:rPr>
        <w:t>Pierwsza runda konsultacji z zainteresowanymi stronami obejmowała elementy infrastrukturalne FRIBS (takie jak rejestry przedsiębiorstw, wymiana danych jednostkowych, kwestie związane z jakością i poufnością) i miała miejsce w okresie od lipca do października 2014 r. Druga runda rozpoczęła się w drugiej połowie 2015 r. i była poświęcona kwestiom zmiany wymogów dotyczących danych, które mają być wprowadzone przez FRIBS. W trzeciej rundzie natomiast, która odbyła się jesienią 2015 r. i w pierwszym kwartale 2016 r., zebrano opinie zainteresowanych stron na temat modernizacji statystyk dotyczących wewnątrzunijnego handlu towarami (Intrastat). Każda runda składała się z ukierunkowanych konsultacji z organami odpowiedzialnymi za zestawianie danych (krajowe urzędy statystyczne) i konsultacji społecznych z dostawcami danych (przedsiębiorstwa). Dwie pierwsze rundy obejmowały również konsultacje społeczne z użytkownikami danych. Wyniki tych konsultacji społecznych zostały szczegółowo przedstawione w dwóch sprawozdaniach</w:t>
      </w:r>
      <w:r>
        <w:rPr>
          <w:rStyle w:val="FootnoteReference"/>
          <w:noProof/>
        </w:rPr>
        <w:footnoteReference w:id="4"/>
      </w:r>
      <w:r>
        <w:rPr>
          <w:noProof/>
        </w:rPr>
        <w:t>.</w:t>
      </w:r>
    </w:p>
    <w:p>
      <w:pPr>
        <w:rPr>
          <w:noProof/>
        </w:rPr>
      </w:pPr>
      <w:r>
        <w:rPr>
          <w:noProof/>
        </w:rPr>
        <w:t>Główne wyniki odnośnych konsultacji można podsumować w następujący sposób:</w:t>
      </w:r>
    </w:p>
    <w:p>
      <w:pPr>
        <w:pStyle w:val="Bullet0"/>
        <w:rPr>
          <w:noProof/>
        </w:rPr>
      </w:pPr>
      <w:r>
        <w:rPr>
          <w:noProof/>
        </w:rPr>
        <w:t>Użytkownicy danych sygnalizowali problemy, jeśli chodzi o przydatność obecnie dostępnej statystyki gospodarczej, a w szczególności trudności w łączeniu danych statystycznych z różnych dziedzin statystycznych dotyczących działalności gospodarczej ze względu na niespójność i brak informacji na temat takich kwestii, jak sektor usług i globalizacja. Ich zdaniem jedno ujednolicone rozporządzenie zwiększyłoby spójność statystyki gospodarczej.</w:t>
      </w:r>
    </w:p>
    <w:p>
      <w:pPr>
        <w:pStyle w:val="Bullet0"/>
        <w:rPr>
          <w:noProof/>
        </w:rPr>
      </w:pPr>
      <w:r>
        <w:rPr>
          <w:noProof/>
        </w:rPr>
        <w:t xml:space="preserve">Podmioty tworzące dane (krajowe instytuty statystyczne) są zaniepokojone wzrostem kosztów tworzenia związanym ze spełnianiem nowych wymogów dotyczących danych wynikających z FRIBS, które jednak odpowiadają wyrażanym od dawna potrzebom użytkowników. </w:t>
      </w:r>
    </w:p>
    <w:p>
      <w:pPr>
        <w:pStyle w:val="Bullet0"/>
        <w:rPr>
          <w:noProof/>
        </w:rPr>
      </w:pPr>
      <w:r>
        <w:rPr>
          <w:noProof/>
        </w:rPr>
        <w:t xml:space="preserve">Dostawcy danych są zaniepokojeni zwiększeniem obciążenia w wyniku dodatkowych potrzeb w zakresie danych. Ukierunkowane konsultacje wykazały, że modernizacja statystyk dotyczących handlu wewnątrzunijnego zrównoważyłaby to zwiększenie z nawiązką. </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Gromadzenie i wykorzystanie wiedzy eksperckiej</w:t>
      </w:r>
    </w:p>
    <w:p>
      <w:pPr>
        <w:rPr>
          <w:noProof/>
        </w:rPr>
      </w:pPr>
      <w:r>
        <w:rPr>
          <w:noProof/>
        </w:rPr>
        <w:t xml:space="preserve">Projekt FRIBS omawiano na licznych posiedzeniach z udziałem ekspertów krajowych, poświęconych nie tylko statystyce gospodarczej, lecz także statystyce makroekonomicznej oraz statystyce dotyczącej rachunków narodowych i bilansu płatniczego. Sprawozdanie z postępów w projekcie przedstawiono Komitetowi ds. Europejskiego Systemu Statystycznego (Komitet ds. ESS) ustanowionemu rozporządzeniem (WE) nr 223/2009. </w:t>
      </w:r>
    </w:p>
    <w:p>
      <w:pPr>
        <w:rPr>
          <w:noProof/>
        </w:rPr>
      </w:pPr>
      <w:r>
        <w:rPr>
          <w:noProof/>
        </w:rPr>
        <w:t xml:space="preserve">Konsultacje z zainteresowanymi stronami, opisane powyżej, które obejmują użytkowników danych i dostawców danych, stanowiły dodatkowe źródło danych zewnętrznych, z którego skorzystano.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Ocena skutków</w:t>
      </w:r>
    </w:p>
    <w:p>
      <w:pPr>
        <w:rPr>
          <w:noProof/>
        </w:rPr>
      </w:pPr>
      <w:r>
        <w:rPr>
          <w:noProof/>
        </w:rPr>
        <w:t>Niniejszemu wnioskowi towarzyszy sprawozdanie z oceny skutków, w której wskazano problemy, nakreślono różne warianty strategiczne służące ich rozwiązaniu oraz przedstawiono ocenę skutków poszczególnych wariantów.</w:t>
      </w:r>
    </w:p>
    <w:p>
      <w:pPr>
        <w:rPr>
          <w:noProof/>
        </w:rPr>
      </w:pPr>
      <w:r>
        <w:rPr>
          <w:noProof/>
        </w:rPr>
        <w:t>Sprawozdanie z oceny skutków zostało pozytywnie zaopiniowane przez Radę ds. Kontroli Regulacyjnej w czerwcu 2016 r. (</w:t>
      </w:r>
      <w:hyperlink r:id="rId11" w:anchor="estat">
        <w:r>
          <w:rPr>
            <w:rStyle w:val="Hyperlink"/>
            <w:noProof/>
          </w:rPr>
          <w:t>http://ec.europa.eu/smart-regulation/impact/ia_carried_out/cia_2016_en.htm#estat</w:t>
        </w:r>
      </w:hyperlink>
      <w:r>
        <w:rPr>
          <w:noProof/>
        </w:rPr>
        <w:t>).</w:t>
      </w:r>
    </w:p>
    <w:p>
      <w:pPr>
        <w:rPr>
          <w:noProof/>
        </w:rPr>
      </w:pPr>
      <w:r>
        <w:rPr>
          <w:noProof/>
        </w:rPr>
        <w:t>W ocenie skutków stwierdzono występowanie dwóch źródeł problemów:</w:t>
      </w:r>
    </w:p>
    <w:p>
      <w:pPr>
        <w:rPr>
          <w:noProof/>
        </w:rPr>
      </w:pPr>
      <w:r>
        <w:rPr>
          <w:noProof/>
        </w:rPr>
        <w:t>1)</w:t>
      </w:r>
      <w:r>
        <w:rPr>
          <w:noProof/>
        </w:rPr>
        <w:tab/>
        <w:t>ograniczona przydatność i adekwatność w stosunku do potrzeb europejskiej statystyki gospodarczej;</w:t>
      </w:r>
    </w:p>
    <w:p>
      <w:pPr>
        <w:rPr>
          <w:noProof/>
        </w:rPr>
      </w:pPr>
      <w:r>
        <w:rPr>
          <w:noProof/>
        </w:rPr>
        <w:t>2)</w:t>
      </w:r>
      <w:r>
        <w:rPr>
          <w:noProof/>
        </w:rPr>
        <w:tab/>
        <w:t xml:space="preserve">rozdrobnienie prawne w statystyce gospodarczej. </w:t>
      </w:r>
    </w:p>
    <w:p>
      <w:pPr>
        <w:rPr>
          <w:noProof/>
        </w:rPr>
      </w:pPr>
      <w:r>
        <w:rPr>
          <w:noProof/>
        </w:rPr>
        <w:t>W celu rozwiązania tych problemów przeprowadzono ocenę następujących wariantów:</w:t>
      </w:r>
    </w:p>
    <w:p>
      <w:pPr>
        <w:pStyle w:val="Bullet0"/>
        <w:rPr>
          <w:noProof/>
        </w:rPr>
      </w:pPr>
      <w:r>
        <w:rPr>
          <w:noProof/>
        </w:rPr>
        <w:t>wariant A – scenariusz odniesienia – brak zmian w polityce UE;</w:t>
      </w:r>
    </w:p>
    <w:p>
      <w:pPr>
        <w:pStyle w:val="Bullet0"/>
        <w:rPr>
          <w:noProof/>
        </w:rPr>
      </w:pPr>
      <w:r>
        <w:rPr>
          <w:noProof/>
        </w:rPr>
        <w:t>wariant B – realizacja działań legislacyjnych ograniczona do pewnych dziedzin statystyki gospodarczej, w tym warianty alternatywne dla modernizacji systemu Intrastat;</w:t>
      </w:r>
    </w:p>
    <w:p>
      <w:pPr>
        <w:pStyle w:val="Bullet0"/>
        <w:rPr>
          <w:noProof/>
        </w:rPr>
      </w:pPr>
      <w:r>
        <w:rPr>
          <w:noProof/>
        </w:rPr>
        <w:t>wariant C – modernizacja statystyki przedsiębiorstw w jednolitych ramach prawnych (FRIBS) za pomocą szeregu środków, w tym wariantów alternatywnych dla modernizacji systemu Intrastat.</w:t>
      </w:r>
    </w:p>
    <w:p>
      <w:pPr>
        <w:rPr>
          <w:noProof/>
        </w:rPr>
      </w:pPr>
      <w:r>
        <w:rPr>
          <w:noProof/>
        </w:rPr>
        <w:t>W oparciu o ocenę skutków wariant A wydaje się być nie do zaakceptowania, gdyż wśród decydentów i użytkowników panowałoby rosnące niezadowolenie z rozpowszechnianych danych i zwracaliby się oni ku innym źródłom danych.</w:t>
      </w:r>
    </w:p>
    <w:p>
      <w:pPr>
        <w:rPr>
          <w:noProof/>
        </w:rPr>
      </w:pPr>
      <w:r>
        <w:rPr>
          <w:noProof/>
        </w:rPr>
        <w:t xml:space="preserve">Wariant B dotyczy modernizacji obecnego systemu europejskiej statystyki gospodarczej do pewnego stopnia, w szczególności w odniesieniu do unowocześnienia tworzenia danych i wyprowadzania danych dla sektora polityki i innych użytkowników. Odnosi się to również do modernizacji systemu Intrastat, co powinno zmniejszyć obciążenie dostawców danych. Wariant ten pozostawia jednak wiele z obecnych niedociągnięć bez rozwiązania. Po pierwsze, utrzymywanie 10 oddzielnych aktów prawnych w dziedzinie statystyki gospodarczej oznacza, że w przyszłości potrzebne będą większe wysiłki w celu zmniejszenia rozbieżności i zachowania spójności danych i wskaźników dostarczanych użytkownikom z sektora polityki, i niesie z sobą również duże obciążenie pracą, jeśli chodzi o zarządzanie tymi aktami prawnymi i ich aktualizację. Usprawnienia zaproponowane w ramach tego wariantu tak naprawdę nie zapewniają więcej elastyczności w działaniu ani zdolności reagowania na zmieniające się potrzeby użytkowników. </w:t>
      </w:r>
    </w:p>
    <w:p>
      <w:pPr>
        <w:rPr>
          <w:noProof/>
        </w:rPr>
      </w:pPr>
      <w:r>
        <w:rPr>
          <w:noProof/>
        </w:rPr>
        <w:t xml:space="preserve">Najbardziej zaawansowany i najbardziej przyszłościowy jest wariant C, ponieważ zakłada on modernizację systemu europejskiej statystyki gospodarczej, która uczyni ten system adekwatnym do sytuacji w przyszłości. Europejska statystyka gospodarcza zostanie scalona w jednolitych ramach prawnych FRIBS, które w sposób dorozumiany zagwarantują znacznie większą spójność statystyki gospodarczej (np. pod względem harmonogramu zmian i ujednolicania definicji itp.). Pozwoli to na uzyskanie większych korzyści z systemu ESS jako całości i jednocześnie zmaksymalizuje wartość dodaną UE. Granice między różnymi dziedzinami statystycznymi zatrą się lub wręcz całkowicie znikną. Dzięki temu dostosowaniu można będzie o wiele lepiej służyć potrzebom polityki, gdyż pozwoli ono na rozpowszechnianie bardziej ujednoliconych wskaźników i kombinacji wskaźników. Poprawi ono również sprawność systemu, co nie byłoby możliwe w ramach dwóch poprzednich wariantów. Można będzie służyć nowym potrzebom polityki w znacznie krótszym czasie i w ramach dobrze funkcjonującego i dobrze zorganizowanego systemu. Ponadto, w przeciwieństwie do wariantu B koszty dostosowania rozpowszechnianej statystyki oraz ram prawnych leżących u jej podstaw są w tym preferowanym wariancie C zminimalizowane, gdyż wszelkie konieczne zmiany są wprowadzane w prosty sposób za jednym razem. Co najważniejsze, wariant C wykazuje bez porównania największy potencjał w zakresie zmniejszenia obciążenia przedsiębiorstw. </w:t>
      </w:r>
    </w:p>
    <w:p>
      <w:pPr>
        <w:rPr>
          <w:noProof/>
        </w:rPr>
      </w:pPr>
      <w:r>
        <w:rPr>
          <w:noProof/>
        </w:rPr>
        <w:t>Podsumowując, wszystkie te zalety sprawiają, że najkorzystniejszy jest wyraźnie wariant C. Najlepiej odpowiada on celom programu REFIT poprzez uproszczenie, zmniejszenie zbędnego obciążenia administracyjnego i zintegrowanie różnorodnych i niespójnych tekstów prawnych regulujących obecnie statystykę gospodarczą w jednych spójnych ramach prawnych.</w:t>
      </w:r>
    </w:p>
    <w:p>
      <w:pPr>
        <w:rPr>
          <w:noProof/>
        </w:rPr>
      </w:pPr>
      <w:r>
        <w:rPr>
          <w:noProof/>
        </w:rPr>
        <w:t>Rada ds. Kontroli Regulacyjnej, wyrażając swoją pozytywną opinię, wydała trzy główne zalecenia dotyczące ulepszeń sprawozdania z oceny skutków, mianowicie:</w:t>
      </w:r>
    </w:p>
    <w:p>
      <w:pPr>
        <w:pStyle w:val="ManualNumPar1"/>
        <w:rPr>
          <w:noProof/>
        </w:rPr>
      </w:pPr>
      <w:r>
        <w:rPr>
          <w:noProof/>
        </w:rPr>
        <w:t xml:space="preserve">1) </w:t>
      </w:r>
      <w:r>
        <w:rPr>
          <w:noProof/>
        </w:rPr>
        <w:tab/>
        <w:t xml:space="preserve">Zakres pierwotnie przedstawionych i przeanalizowanych wariantów uznano za niepełny, gdyż proces konsultacji na temat możliwych podwariantów dotyczących modernizacji statystyk handlu wewnątrzunijnego trwa nadal po wstępnym przedłożeniu sprawozdania z oceny skutków do kontroli przez Radę ds. Kontroli Regulacyjnej. Eurostat uaktualnił wykaz proponowanych wariantów polityki, by odzwierciedlić konkluzje Komitetu ds. ESS w odniesieniu do modernizacji handlu wewnątrzunijnego. </w:t>
      </w:r>
    </w:p>
    <w:p>
      <w:pPr>
        <w:pStyle w:val="ManualNumPar1"/>
        <w:rPr>
          <w:noProof/>
        </w:rPr>
      </w:pPr>
      <w:r>
        <w:rPr>
          <w:noProof/>
        </w:rPr>
        <w:t xml:space="preserve">2) </w:t>
      </w:r>
      <w:r>
        <w:rPr>
          <w:noProof/>
        </w:rPr>
        <w:tab/>
        <w:t xml:space="preserve">Wezwano do bardziej wnikliwej analizy ewentualnego wpływu na budżet w poszczególnych państwach członkowskich i określenia, czy niektóre z nich miałyby do czynienia z większymi trudnościami przy wdrażaniu oraz czy w odniesieniu do tych państw członkowskich planowane są jakieś środki łagodzące. Eurostat wprowadził dodatkowe wyjaśnienia co do krajów najbardziej dotkniętych przez zmiany. Ponadto przedstawiono szereg przykładów dotyczących przewidywanych uproszczeń dla mniejszych państw i potencjału racjonalizacyjnego i modernizacyjnego, jaki niesie z sobą FRIBS dzięki możliwościom obniżenia kosztów w przyszłości. Wyjaśniono również, że zostało przewidziane finansowanie (w granicach dostępnego budżetu) działań dotyczących opracowania nowych zbiorów danych. </w:t>
      </w:r>
    </w:p>
    <w:p>
      <w:pPr>
        <w:pStyle w:val="ManualNumPar1"/>
        <w:rPr>
          <w:noProof/>
        </w:rPr>
      </w:pPr>
      <w:r>
        <w:rPr>
          <w:noProof/>
        </w:rPr>
        <w:t xml:space="preserve">3) </w:t>
      </w:r>
      <w:r>
        <w:rPr>
          <w:noProof/>
        </w:rPr>
        <w:tab/>
        <w:t>Wezwano do bardziej wnikliwej analizy wpływu na obciążenie administracyjne dostawców danych i jej bardziej szczegółowego ukierunkowania na MŚP, przy wskazaniu na wszelkie środki, które należy przyjąć w celu ochrony MŚP przed zwiększeniem obciążenia. Eurostat przedstawił wyjaśnienia dotyczące wpływu na obciążenie administracyjne dostawców danych. Niektóre z dodatkowych wymogów dotyczących danych, które są reakcją na wyrażane od dawna szczególne potrzeby użytkowników polegające na umożliwieniu monitorowania działań w ramach polityki wobec MŚP, stanowiłyby w istocie obciążenie MŚP. Przedstawiono szereg przykładów, aby pokazać, że w wielu dziedzinach statystyki gospodarczej istnieją środki specjalne w celu zapewnienia ochrony MŚP przed nadmiernym obciążeniem, a organy odpowiedzialne za gromadzenie danych dołożą szczególnych starań w celu zminimalizowania obciążenia MŚP w odniesieniu do tych nowych wymogów dotyczących danych.</w:t>
      </w:r>
    </w:p>
    <w:p>
      <w:pPr>
        <w:rPr>
          <w:noProof/>
        </w:rPr>
      </w:pPr>
      <w:r>
        <w:rPr>
          <w:noProof/>
        </w:rPr>
        <w:t>Od czasu zatwierdzenia sprawozdania z oceny skutków, w następstwie opinii wyrażonej we wrześniu 2016 r. przez Komitet ds. Statystyki Walutowej, Finansowej i Bilansu Płatniczego, podjęto decyzję o usunięciu z zakresu stosowania rozporządzenia FRIBS statystyki dotyczącej bezpośrednich inwestycji zagranicznych (BIZ) ze względu na to, że istotność BIZ dla statystyki gospodarczej jest mniej wyraźna niż w przypadku statystyki międzynarodowego handlu usługami, która jest obecnie również objęta rozporządzeniem w sprawie bilansu płatniczego</w:t>
      </w:r>
      <w:r>
        <w:rPr>
          <w:rStyle w:val="FootnoteReference"/>
          <w:noProof/>
        </w:rPr>
        <w:footnoteReference w:id="5"/>
      </w:r>
      <w:r>
        <w:rPr>
          <w:noProof/>
        </w:rPr>
        <w:t>. Wymogi dotyczące BIZ pozostaną zatem nadal objęte zakresem tego ostatniego rozporządzenia.</w:t>
      </w:r>
      <w:r>
        <w:rPr>
          <w:rStyle w:val="CommentReference"/>
          <w:noProof/>
        </w:rPr>
        <w:t xml:space="preserve"> </w:t>
      </w:r>
      <w:r>
        <w:rPr>
          <w:noProof/>
        </w:rPr>
        <w:t>Nie zmienia to jednak wniosków wynikających ze sprawozdania z oceny skutków.</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Sprawność regulacyjna i uproszczenie</w:t>
      </w:r>
    </w:p>
    <w:p>
      <w:pPr>
        <w:rPr>
          <w:noProof/>
        </w:rPr>
      </w:pPr>
      <w:r>
        <w:rPr>
          <w:noProof/>
        </w:rPr>
        <w:t>Wniosek jest zgodny z celami programu REFIT dotyczącymi uproszczenia regulacji, przede wszystkim ze względu na fakt, że ujednolica on dziesięć rozporządzeń w ramach jednego instrumentu regulacyjnego i zmniejsza obciążenie przedsiębiorstw, zwłaszcza MŚP. Koszty wdrażania zostały również w pełni uwzględnione i sprawdzone.</w:t>
      </w:r>
    </w:p>
    <w:p>
      <w:pPr>
        <w:rPr>
          <w:noProof/>
        </w:rPr>
      </w:pPr>
      <w:r>
        <w:rPr>
          <w:noProof/>
        </w:rPr>
        <w:t>Mimo że zachęca się państwa członkowskie do korzystania w największym możliwym stopniu z administracyjnych i innowacyjnych źródeł innych niż badania, w tym z nowych metod lub podejść innowacyjnych, reagowanie na nowe potrzeby użytkowników zwiększa obciążenie respondentów. To dodatkowe obciążenie jest jednak rekompensowane z nawiązką przez uproszczenia, zwłaszcza w dziedzinie statystyki handlu wewnątrzunijnego. Ogólnie rzecz biorąc, oczekuje się, że rozporządzenie FRIBS spowoduje zmniejszenie obciążenia administracyjnego przedsiębiorstw o co najmniej 13,5 % rocznie.</w:t>
      </w:r>
    </w:p>
    <w:p>
      <w:pPr>
        <w:rPr>
          <w:noProof/>
        </w:rPr>
      </w:pPr>
      <w:r>
        <w:rPr>
          <w:noProof/>
        </w:rPr>
        <w:t xml:space="preserve">Niektóre z dodatkowych wymogów dotyczących danych objętych rozporządzeniem FRIBS mogą zwiększyć obciążenie MŚP, zwłaszcza w odniesieniu do rozszerzenia statystyki gospodarczej na działalność związaną z usługami, która wcześniej nie była nią objęta. Jest to jednak po części konsekwencją reakcji na wyrażane od dawna szczególne potrzeby użytkowników polegające na umożliwieniu monitorowania działań w ramach polityki europejskiej i krajowej wobec MŚP, w odniesieniu do których brak jest aktualnie wystarczających informacji, gdyż niektóre usługi świadczone również przez MŚP nie są jeszcze uwzględnione. W celu ograniczenia dodatkowego obciążenia zachęca się podmioty zbierające dane do tego, by w odpowiedzi na to zapotrzebowanie danych w możliwie jak największym stopniu korzystały z istniejących danych administracyjnych (np. od organów podatkowych) i ograniczały stosowanie badań, zwłaszcza w odniesieniu do MŚP. </w:t>
      </w:r>
    </w:p>
    <w:p>
      <w:pPr>
        <w:rPr>
          <w:noProof/>
        </w:rPr>
      </w:pPr>
      <w:r>
        <w:rPr>
          <w:noProof/>
        </w:rPr>
        <w:t xml:space="preserve">Uproszczenia przewidziane w rozporządzeniu FRIBS w obszarze statystyki handlu wewnątrzunijnego mogłyby zmniejszyć obciążenie MŚP. Zawsze będą jednak jakieś indywidualne MŚP, które mogą nie skorzystać na zmniejszeniu obciążenia, a nawet odczuć jego zwiększenie. W istocie, mimo że zazwyczaj można spodziewać się pewnego rodzaju korelacji między wielkością przedsiębiorstwa a wielkością jego obrotów handlowych, małe przedsiębiorstwa mogą mieć duże obroty handlowe, a duże przedsiębiorstwa mogą mieć obroty bardzo małe lub nie prowadzić handlu w ogóle. </w:t>
      </w:r>
    </w:p>
    <w:p>
      <w:pPr>
        <w:rPr>
          <w:noProof/>
        </w:rPr>
      </w:pPr>
      <w:r>
        <w:rPr>
          <w:noProof/>
        </w:rPr>
        <w:t xml:space="preserve">Niniejszy wniosek jest zgodny z opinią platformy programu REFIT w sprawie statystyki inwestycji na ochronę środowiska, która zawiera zalecenie większości członków grupy rządowej i niektórych członków grupy zainteresowanych stron, by Komisja kontynuowała swoją ocenę nakładających się na siebie wymogów w zakresie sprawozdawczości na mocy rozporządzenia Komisji (WE) nr 250/2009 (w dziedzinie statystyki strukturalnej dotyczącej przedsiębiorstw) oraz rozporządzenia (UE) nr 691/2011 w sprawie rachunków środowiska i zastąpiła rozporządzenie w sprawie statystyki strukturalnej dotyczącej przedsiębiorstw nowym rozporządzeniem ramowym w celu zintegrowania statystyki gospodarczej (FRIBS). </w:t>
      </w:r>
    </w:p>
    <w:p>
      <w:pPr>
        <w:rPr>
          <w:noProof/>
        </w:rPr>
      </w:pPr>
      <w:r>
        <w:rPr>
          <w:noProof/>
        </w:rPr>
        <w:t>Opinia platformy potwierdza ustalenia Komisji, że istnieje podwójna sprawozdawczość. Aby rozwiązać ten problem, we wniosku FRIBS nie ujęto aspektów rachunków wydatków na ochronę środowiska, które będą zatem wchodzić jedynie w zakres rozporządzenia w sprawie rachunków środowiska (rozp. 691/2011). Nie będzie więc powielania ani podwójnej sprawozdawczości.</w:t>
      </w:r>
    </w:p>
    <w:p>
      <w:pPr>
        <w:rPr>
          <w:noProof/>
        </w:rPr>
      </w:pPr>
      <w:r>
        <w:rPr>
          <w:noProof/>
        </w:rPr>
        <w:t xml:space="preserve">Niniejszy wniosek jest również spójny z podejściem „kontroli zgodności z gospodarką cyfrową” poprzez promowanie interoperacyjności i możliwości ponownego wykorzystania, poprzez stosowanie tych samych specyfikacji technicznych zbiorów danych i tych samych standardów dotyczących przekazywania danych i metadanych, wymiany i udostępniania informacji pomiędzy Eurostatem a państwami członkowskimi.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Prawa podstawowe</w:t>
      </w:r>
    </w:p>
    <w:p>
      <w:pPr>
        <w:rPr>
          <w:noProof/>
        </w:rPr>
      </w:pPr>
      <w:r>
        <w:rPr>
          <w:noProof/>
        </w:rPr>
        <w:t xml:space="preserve">Wniosek nie ma skutków dla ochrony praw podstawowych. </w:t>
      </w:r>
    </w:p>
    <w:p>
      <w:pPr>
        <w:pStyle w:val="ManualHeading1"/>
        <w:rPr>
          <w:noProof/>
          <w:color w:val="000000"/>
        </w:rPr>
      </w:pPr>
      <w:r>
        <w:rPr>
          <w:noProof/>
          <w:color w:val="000000"/>
        </w:rPr>
        <w:t>4.</w:t>
      </w:r>
      <w:r>
        <w:rPr>
          <w:noProof/>
        </w:rPr>
        <w:tab/>
      </w:r>
      <w:r>
        <w:rPr>
          <w:noProof/>
          <w:color w:val="000000"/>
        </w:rPr>
        <w:t>WPŁYW NA BUDŻET</w:t>
      </w:r>
    </w:p>
    <w:p>
      <w:pPr>
        <w:rPr>
          <w:noProof/>
        </w:rPr>
      </w:pPr>
      <w:r>
        <w:rPr>
          <w:noProof/>
        </w:rPr>
        <w:t>Wpływ finansowy wniosku jest nieograniczony w czasie, przy czym jego okres rozruchu trwa 3 lata, od 2019 do 2021 r. W ocenie skutków finansowych uwzględniono wyłącznie lata objęte obecnymi wieloletnimi ramami finansowymi (WRF). Dalsze finansowanie będzie zależało od umów zawartych na następne WRF oraz od kontynuacji konkretnych programów, w ramach których finansowanie to jest planowane.</w:t>
      </w:r>
    </w:p>
    <w:p>
      <w:pPr>
        <w:rPr>
          <w:noProof/>
        </w:rPr>
      </w:pPr>
      <w:r>
        <w:rPr>
          <w:noProof/>
        </w:rPr>
        <w:t>W latach 2019 i 2020 finansowanie będzie pochodziło z istniejących przydziałów środków na programy, w tym z puli 19,5 mln EUR wynikającej z przedłużenia Europejskiego programu statystycznego na lata 2019 i 2020, i dodatkowe finansowanie nie będzie konieczne.</w:t>
      </w:r>
    </w:p>
    <w:p>
      <w:pPr>
        <w:rPr>
          <w:noProof/>
        </w:rPr>
      </w:pPr>
      <w:r>
        <w:rPr>
          <w:noProof/>
        </w:rPr>
        <w:t xml:space="preserve">Łączną wysokość środków na lata 2019 i 2020 szacuje się na 46,453 mln euro. Wpływ na budżet przedstawiono szczegółowo w ocenie skutków finansowych regulacji. </w:t>
      </w:r>
    </w:p>
    <w:p>
      <w:pPr>
        <w:pStyle w:val="ManualHeading1"/>
        <w:rPr>
          <w:noProof/>
          <w:color w:val="000000"/>
        </w:rPr>
      </w:pPr>
      <w:r>
        <w:rPr>
          <w:noProof/>
          <w:color w:val="000000"/>
        </w:rPr>
        <w:t>5.</w:t>
      </w:r>
      <w:r>
        <w:rPr>
          <w:noProof/>
        </w:rPr>
        <w:tab/>
      </w:r>
      <w:r>
        <w:rPr>
          <w:noProof/>
          <w:color w:val="000000"/>
        </w:rPr>
        <w:t>ELEMENTY FAKULTATYWNE</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Plany wdrożenia i monitorowanie, ocena i sprawozdawczość</w:t>
      </w:r>
    </w:p>
    <w:p>
      <w:pPr>
        <w:rPr>
          <w:noProof/>
        </w:rPr>
      </w:pPr>
      <w:r>
        <w:rPr>
          <w:noProof/>
        </w:rPr>
        <w:t>Przewiduje się, że Parlament Europejski i Rada przyjmą wniosek w sprawie rozporządzenia w 2017 lub 2018 r., a wkrótce potem Komisja przyjmie środki wykonawcze. Pierwsze przekazanie danych na podstawie nowego rozporządzenia spodziewane jest w 2019 r.</w:t>
      </w:r>
    </w:p>
    <w:p>
      <w:pPr>
        <w:rPr>
          <w:noProof/>
        </w:rPr>
      </w:pPr>
      <w:r>
        <w:rPr>
          <w:noProof/>
        </w:rPr>
        <w:t>Proponowany instrument prawny będzie przedmiotem kompleksowej oceny według pięciu kryteriów oceny zawartych w wytycznych w sprawie lepszego stanowienia prawa, aby ustalić m.in. jego skuteczność i efektywność w osiąganiu jego założonych celów oraz umożliwić podjęcie decyzji, czy konieczne są nowe środki lub nowelizacja przepisów. W tym zakresie będzie monitorowany wykaz kluczowych wskaźników efektywności w odniesieniu do statystyki gospodarczej.</w:t>
      </w:r>
    </w:p>
    <w:p>
      <w:pPr>
        <w:rPr>
          <w:noProof/>
        </w:rPr>
      </w:pPr>
      <w:r>
        <w:rPr>
          <w:noProof/>
        </w:rPr>
        <w:t>Ważne jest, aby odnosić się do narzędzi monitorowania i oceny istniejących obecnie i obowiązujących dla całej produkcji statystycznej Eurostatu, które pozwalają już teraz na dobrą analizę zmian skuteczności i efektywności tej nowej inicjatywy statystycznej oraz jakości wytwarzanych danych. Obejmują one systematyczną ocenę śródokresową i końcową Europejskiego programu statystycznego według pięciu kryteriów oceny zawartych w wytycznych w sprawie lepszego stanowienia prawa. Statystyka dotycząca przedsiębiorstw jest nieodłączną częścią tych mechanizmów sprawozdawczych, działań następczych kluczowych wskaźników efektywności zawartych w planie zarządzania Eurostatu i regularnych badań dotyczących zadowolenia użytkowników.</w:t>
      </w:r>
    </w:p>
    <w:p>
      <w:pPr>
        <w:rPr>
          <w:noProof/>
        </w:rPr>
      </w:pPr>
      <w:r>
        <w:rPr>
          <w:noProof/>
        </w:rPr>
        <w:t xml:space="preserve">Każdą dziedzinę statystyki monitoruje się również za pomocą sprawozdań dotyczących jakości przygotowywanych regularnie przez państwa członkowskie i analizowanych przez Eurostat w ramach zapewniania jakości statystyk. </w:t>
      </w:r>
    </w:p>
    <w:p>
      <w:pPr>
        <w:rPr>
          <w:noProof/>
        </w:rPr>
      </w:pPr>
      <w:r>
        <w:rPr>
          <w:noProof/>
        </w:rPr>
        <w:t>Monitorowane będą ponadto elementy kosztów. Będzie to wymagało ulepszonych i zharmonizowanych ram sprawozdawczości kosztów dla całego ESS, wskazujących etapy tworzenia statystyk. Prace w tym zakresie trwają i mają być ukończone na czas, aby umożliwić monitorowanie kosztów związanych z rozporządzeniem FRIBS po jego wejściu w życie.</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Szczegółowe objaśnienia poszczególnych przepisów zawartych we wniosku</w:t>
      </w:r>
    </w:p>
    <w:p>
      <w:pPr>
        <w:rPr>
          <w:noProof/>
        </w:rPr>
      </w:pPr>
      <w:r>
        <w:rPr>
          <w:noProof/>
        </w:rPr>
        <w:t>Proponowane rozporządzenie składa się z 23 artykułów i trzech załączników.</w:t>
      </w:r>
    </w:p>
    <w:p>
      <w:pPr>
        <w:rPr>
          <w:noProof/>
        </w:rPr>
      </w:pPr>
      <w:r>
        <w:rPr>
          <w:noProof/>
        </w:rPr>
        <w:t xml:space="preserve">W rozdziale I obejmującym art. 1–3 zawarte są przepisy ogólne. W art. 1 określa się zakres przedmiotowy rozporządzenia. Główne pojęcia stosowane w rozporządzeniu są określone w art. 2. Art. 3 określa szczegółowo zakres zarówno statystyki gospodarczej, jak i europejskiej sieci statystycznych rejestrów przedsiębiorstw. </w:t>
      </w:r>
    </w:p>
    <w:p>
      <w:pPr>
        <w:rPr>
          <w:noProof/>
        </w:rPr>
      </w:pPr>
      <w:r>
        <w:rPr>
          <w:noProof/>
        </w:rPr>
        <w:t xml:space="preserve">Rozdział II obejmuje art. 5 i 6 i dotyczy źródeł danych, z jakich należy korzystać do celów statystyki gospodarczej i statystycznych rejestrów przedsiębiorstw. Wniosek umożliwia i wspiera stosowanie nowych form zbierania danych i alternatywnych źródeł danych, które obejmują dane administracyjne i inne źródła, takie jak szacunek za pomocą modelowania lub korzystanie z dużych zbiorów danych. Rola tych ostatnich jest sprecyzowana w art. 4. </w:t>
      </w:r>
    </w:p>
    <w:p>
      <w:pPr>
        <w:rPr>
          <w:noProof/>
        </w:rPr>
      </w:pPr>
      <w:r>
        <w:rPr>
          <w:noProof/>
        </w:rPr>
        <w:t xml:space="preserve">Rozdział III dotyczy statystyki gospodarczej. Statystyka gospodarcza obejmuje dziedziny i tematy wymienione w art. 6, w odniesieniu do których Komisja jest zgodnie z art. 7 uprawniona do przyjmowania środków wykonawczych dotyczących opisu technicznego zestawów danych. Dziedziny, tematy i tematy szczegółowe, które podlegają przekazywaniu, są wymienione w załączniku I. Załącznik II określa częstotliwość, z jaką należy przekazywać informacje. Komisja będzie mogła określić szczegółowo zakresy tematyczne i cechy tematów dynamicznych „wykorzystanie technologii informacyjno-telekomunikacyjnych i handel elektroniczny”, „innowacje” i „globalne łańcuchy wartości” w drodze aktów delegowanych. Tematy szczegółowe ujęte w załączniku I mogą być również zmieniane w drodze aktu delegowanego, w granicach ustanowionych w klauzuli ochronnej. </w:t>
      </w:r>
    </w:p>
    <w:p>
      <w:pPr>
        <w:rPr>
          <w:noProof/>
        </w:rPr>
      </w:pPr>
      <w:r>
        <w:rPr>
          <w:noProof/>
        </w:rPr>
        <w:t>Rozdział IV obejmuje 3 artykuły dotyczące rejestrów przedsiębiorstw. Europejska sieć statystycznych rejestrów przedsiębiorstw jest ustanowiona w art. 8. W art. 9 określono wymogi dotyczące europejskiej sieci statystycznych rejestrów przedsiębiorstw. Szczegóły elementów europejskiej sieci statystycznych rejestrów przedsiębiorstw doprecyzowano w załączniku III (cechy rejestrów, unikalny identyfikator, odniesienie w czasie i częstotliwość). Cechy rejestrów mogą być dalej doprecyzowywane w drodze aktów wykonawczych. Art. 10 zawiera przepisy dotyczące wymiany poufnych danych do celów europejskiej sieci statystycznych rejestrów przedsiębiorstw i dostępu do takich danych. Komisja jest uprawniona do przyjmowania środków wykonawczych dotyczących wymiany poufnych danych do celów europejskiej sieci statystycznych rejestrów przedsiębiorstw.</w:t>
      </w:r>
    </w:p>
    <w:p>
      <w:pPr>
        <w:rPr>
          <w:noProof/>
        </w:rPr>
      </w:pPr>
      <w:r>
        <w:rPr>
          <w:noProof/>
        </w:rPr>
        <w:t xml:space="preserve">Rozdział V zawiera 5 artykułów dotyczących wymiany poufnych danych do celów statystyk wewnątrzunijnego handlu towarami. W art. 11 określono zasady wymiany danych i metadanych w odniesieniu do tych statystyk. W art. 12 określono informacje statystyczne, które mają być przedmiotem wymiany, a w art. 13 podano elementy danych statystycznych. Przepisy art. 14 regulują zasady ochrony wymienianych danych poufnych, a art. 15 dotyczy dostępu do poufnych danych do celów naukowych. </w:t>
      </w:r>
    </w:p>
    <w:p>
      <w:pPr>
        <w:rPr>
          <w:noProof/>
        </w:rPr>
      </w:pPr>
      <w:r>
        <w:rPr>
          <w:noProof/>
        </w:rPr>
        <w:t xml:space="preserve">W rozdziale VI zgrupowano trzy artykuły dotyczące jakości, przekazywania i rozpowszechniania: sprawozdawczości dotyczącej jakości danych i metadanych (art. 16), przekazywania danych i metadanych (art. 17) i poufności w zakresie rozpowszechniania danych statystycznych dotyczących międzynarodowego handlu towarami (art. 18). </w:t>
      </w:r>
    </w:p>
    <w:p>
      <w:pPr>
        <w:rPr>
          <w:noProof/>
        </w:rPr>
      </w:pPr>
      <w:r>
        <w:rPr>
          <w:noProof/>
        </w:rPr>
        <w:t>Wniosek obejmuje inne ważne aspekty modernizacji europejskiej statystyki gospodarczej w rozdziale VII:</w:t>
      </w:r>
    </w:p>
    <w:p>
      <w:pPr>
        <w:pStyle w:val="Bullet0"/>
        <w:rPr>
          <w:noProof/>
        </w:rPr>
      </w:pPr>
      <w:r>
        <w:rPr>
          <w:noProof/>
        </w:rPr>
        <w:t>ustanowienie badań pilotażowych w celu dokonania oceny przydatności oraz możliwości tworzenia nowych zestawów danych i poprawy zestawów danych (art. 19),</w:t>
      </w:r>
    </w:p>
    <w:p>
      <w:pPr>
        <w:pStyle w:val="Bullet0"/>
        <w:rPr>
          <w:noProof/>
        </w:rPr>
      </w:pPr>
      <w:r>
        <w:rPr>
          <w:noProof/>
        </w:rPr>
        <w:t>przepisy dotyczące finansowego wspierania państw członkowskich przy spełnieniu określonych warunków (art. 20).</w:t>
      </w:r>
    </w:p>
    <w:p>
      <w:pPr>
        <w:rPr>
          <w:noProof/>
        </w:rPr>
      </w:pPr>
      <w:r>
        <w:rPr>
          <w:noProof/>
        </w:rPr>
        <w:t>W ostatnim rozdziale rozporządzenie zawiera przepisy dotyczące wykonywania przekazanych uprawnień (art. 21) zgodnie z Porozumieniem międzyinstytucjonalnym w sprawie lepszego stanowienia prawa z kwietnia 2016 r., procedury komitetowej (art. 22), współpracy z innymi komitetami (art. 23) oraz przepisy dotyczące odstępstw, które dałyby więcej czasu na dostosowanie się do nowych wymogów w niektórych państwach członkowskich (art. 24). W rozdziale tym zawarta jest również zmiana jednego rozporządzenia (art. 25), której szczegóły znajdują się w załączniku IV, oraz uchylenie dotychczasowych dziesięciu aktów prawnych zastąpionych proponowanym rozporządzeniem ramowym (art. 26).</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2017/0048 (COD)</w:t>
      </w:r>
    </w:p>
    <w:p>
      <w:pPr>
        <w:pStyle w:val="Statut"/>
        <w:rPr>
          <w:noProof/>
        </w:rPr>
      </w:pPr>
      <w:r>
        <w:rPr>
          <w:noProof/>
        </w:rPr>
        <w:t>Wniosek</w:t>
      </w:r>
    </w:p>
    <w:p>
      <w:pPr>
        <w:pStyle w:val="Typedudocument"/>
      </w:pPr>
      <w:r>
        <w:rPr>
          <w:noProof/>
        </w:rPr>
        <w:t>ROZPORZĄDZENIE PARLAMENTU EUROPEJSKIEGO I RADY</w:t>
      </w:r>
    </w:p>
    <w:p>
      <w:pPr>
        <w:pStyle w:val="Titreobjet"/>
        <w:rPr>
          <w:noProof/>
        </w:rPr>
      </w:pPr>
      <w:r>
        <w:rPr>
          <w:noProof/>
        </w:rPr>
        <w:t>w sprawie europejskiej statystyki gospodarczej</w:t>
      </w:r>
      <w:r>
        <w:rPr>
          <w:noProof/>
        </w:rPr>
        <w:br/>
        <w:t>zmieniające rozporządzenie (WE) nr 184/2005 i uchylające 10 aktów prawnych w dziedzinie statystyki gospodarczej</w:t>
      </w:r>
    </w:p>
    <w:p>
      <w:pPr>
        <w:pStyle w:val="IntrtEEE"/>
        <w:rPr>
          <w:noProof/>
        </w:rPr>
      </w:pPr>
      <w:r>
        <w:rPr>
          <w:noProof/>
        </w:rPr>
        <w:t xml:space="preserve"> (Tekst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338 ust. 1,</w:t>
      </w:r>
    </w:p>
    <w:p>
      <w:pPr>
        <w:rPr>
          <w:noProof/>
        </w:rPr>
      </w:pPr>
      <w:r>
        <w:rPr>
          <w:noProof/>
        </w:rPr>
        <w:t>uwzględniając wniosek Komisji Europejskiej,</w:t>
      </w:r>
    </w:p>
    <w:p>
      <w:pPr>
        <w:rPr>
          <w:noProof/>
        </w:rPr>
      </w:pPr>
      <w:r>
        <w:rPr>
          <w:noProof/>
        </w:rPr>
        <w:t>uwzględniając opinię Europejskiego Banku Centralnego,</w:t>
      </w:r>
    </w:p>
    <w:p>
      <w:pPr>
        <w:rPr>
          <w:noProof/>
        </w:rPr>
      </w:pPr>
      <w:r>
        <w:rPr>
          <w:noProof/>
        </w:rPr>
        <w:t>po przekazaniu projektu aktu ustawodawczego parlamentom narodowym,</w:t>
      </w:r>
    </w:p>
    <w:p>
      <w:pPr>
        <w:rPr>
          <w:noProof/>
        </w:rPr>
      </w:pPr>
      <w:r>
        <w:rPr>
          <w:noProof/>
        </w:rPr>
        <w:t xml:space="preserve">stanowiąc zgodnie ze zwykłą procedurą ustawodawczą, </w:t>
      </w:r>
    </w:p>
    <w:p>
      <w:pPr>
        <w:rPr>
          <w:noProof/>
        </w:rPr>
      </w:pPr>
      <w:r>
        <w:rPr>
          <w:noProof/>
        </w:rPr>
        <w:t>a także mając na uwadze, co następuje:</w:t>
      </w:r>
    </w:p>
    <w:p>
      <w:pPr>
        <w:pStyle w:val="ManualConsidrant"/>
        <w:rPr>
          <w:noProof/>
        </w:rPr>
      </w:pPr>
      <w:r>
        <w:t>(1)</w:t>
      </w:r>
      <w:r>
        <w:tab/>
      </w:r>
      <w:r>
        <w:rPr>
          <w:noProof/>
        </w:rPr>
        <w:t>Opracowywanie, tworzenie i rozpowszechnianie informacji statystycznych na temat działalności gospodarczej przedsiębiorstw z państw członkowskich opiera się jak dotąd na szeregu odrębnych aktów prawnych. Te akty prawne obejmują krótkookresową i strukturalną statystykę gospodarczą, statystykę dotyczącą produkcji, międzynarodowego (wewnątrzunijnego i pozaunijnego) handlu towarami i usługami, zagranicznych podmiotów zależnych, badań i rozwoju, innowacji oraz wykorzystania technologii informacyjno-telekomunikacyjnych i handlu elektronicznego. Ponadto rozporządzeniem Parlamentu Europejskiego i Rady (WE) nr 177/2008</w:t>
      </w:r>
      <w:r>
        <w:rPr>
          <w:rStyle w:val="FootnoteReference"/>
          <w:noProof/>
        </w:rPr>
        <w:footnoteReference w:id="6"/>
      </w:r>
      <w:r>
        <w:rPr>
          <w:noProof/>
        </w:rPr>
        <w:t xml:space="preserve"> ustanowiono wspólne ramy dla rejestrów przedsiębiorstw do celów statystycznych w Unii. </w:t>
      </w:r>
    </w:p>
    <w:p>
      <w:pPr>
        <w:pStyle w:val="ManualConsidrant"/>
        <w:rPr>
          <w:noProof/>
        </w:rPr>
      </w:pPr>
      <w:r>
        <w:t>(2)</w:t>
      </w:r>
      <w:r>
        <w:tab/>
      </w:r>
      <w:r>
        <w:rPr>
          <w:noProof/>
        </w:rPr>
        <w:t>Ta struktura oparta na odrębnych aktach prawnych nie zapewnia niezbędnej spójności poszczególnych dziedzin statystycznych ani też nie wspiera zintegrowanego podejścia do opracowywania, tworzenia i rozpowszechniania statystyki gospodarczej. Należy ustanowić wspólne ramy prawne w celu zapewnienia spójności między różnymi europejskimi statystykami gospodarczymi i ułatwienia integracji odpowiednich procesów statystycznych.</w:t>
      </w:r>
    </w:p>
    <w:p>
      <w:pPr>
        <w:pStyle w:val="ManualConsidrant"/>
        <w:rPr>
          <w:noProof/>
        </w:rPr>
      </w:pPr>
      <w:r>
        <w:t>(3)</w:t>
      </w:r>
      <w:r>
        <w:tab/>
      </w:r>
      <w:r>
        <w:rPr>
          <w:noProof/>
        </w:rPr>
        <w:t>Lepiej zintegrowane procesy statystyczne oparte na wspólnych zasadach w zakresie metod, definicjach i kryteriach jakości powinny prowadzić do zharmonizowanej statystyki dotyczącej struktury, działalności gospodarczej, transakcji i wyników sektora przedsiębiorstw w Unii, która pod względem celowości i szczegółowości odpowiada poziomowi wymaganemu do spełnienia potrzeb użytkowników.</w:t>
      </w:r>
    </w:p>
    <w:p>
      <w:pPr>
        <w:pStyle w:val="ManualConsidrant"/>
        <w:rPr>
          <w:noProof/>
        </w:rPr>
      </w:pPr>
      <w:r>
        <w:t>(4)</w:t>
      </w:r>
      <w:r>
        <w:tab/>
      </w:r>
      <w:r>
        <w:rPr>
          <w:noProof/>
        </w:rPr>
        <w:t>Istotne dla europejskiej statystyki gospodarczej są wytyczne międzynarodowe, takie jak Podręcznik Frascati dotyczący statystyki w dziedzinie badań i rozwoju i Podręcznik Oslo dotyczący danych w dziedzinie innowacji oraz porozumienia międzynarodowe przyjęte przez Organizację Narodów Zjednoczonych, OECD, Międzynarodowy Fundusz Walutowy i inne organizacje międzynarodowe i ponadnarodowe. Takie wskazówki powinny być w miarę możliwości uwzględniane przy opracowywaniu, tworzeniu i rozpowszechnianiu statystyki unijnej i stosowane przez europejską sieć statystycznych rejestrów przedsiębiorstw, aby zapewnić porównywalność statystyki unijnej ze statystykami opracowywanymi przez głównych partnerów międzynarodowych Unii. Niemniej jednak podczas zbierania europejskiej statystyki gospodarczej w tematach „nakłady na działalność badawczą i rozwojową” i „innowacje” należy konsekwentnie stosować unijne normy, porozumienia i wytyczne.</w:t>
      </w:r>
    </w:p>
    <w:p>
      <w:pPr>
        <w:pStyle w:val="ManualConsidrant"/>
        <w:rPr>
          <w:noProof/>
        </w:rPr>
      </w:pPr>
      <w:r>
        <w:t>(5)</w:t>
      </w:r>
      <w:r>
        <w:tab/>
      </w:r>
      <w:r>
        <w:rPr>
          <w:noProof/>
        </w:rPr>
        <w:t>Obciążenie administracyjne małych i średnich przedsiębiorstw powinno być możliwie jak najbardziej zmniejszone poprzez uwzględnienie w największym możliwym zakresie innych źródeł danych niż badania. W celu zmniejszenia obciążenia przedsiębiorstw powinna istnieć możliwość ustalania różnych wymogów dotyczących danych w zależności od wielkości i znaczenia przedsiębiorstw państw członkowskich.</w:t>
      </w:r>
    </w:p>
    <w:p>
      <w:pPr>
        <w:pStyle w:val="ManualConsidrant"/>
        <w:rPr>
          <w:noProof/>
        </w:rPr>
      </w:pPr>
      <w:r>
        <w:t>(6)</w:t>
      </w:r>
      <w:r>
        <w:tab/>
      </w:r>
      <w:r>
        <w:rPr>
          <w:noProof/>
        </w:rPr>
        <w:t>W „Wizji 2020” Europejskiego Systemu Statystycznego (ESS) stwierdzono, że należy wykorzystywać dane z różnych dziedzin statystyki, by móc lepiej analizować nowe zjawiska (np. globalizację) i lepiej służyć dziedzinom polityki Unii o dużym potencjale oddziaływania. Dane wyjściowe powinny opierać się na efektywnych i solidnych procesach statystycznych ESS. Szerszy zakres wspólnych ram prawnych dla statystyki przedsiębiorstw powinien umożliwić integrację współzależnych procesów tworzenia statystyk w oparciu o wiele źródeł.</w:t>
      </w:r>
    </w:p>
    <w:p>
      <w:pPr>
        <w:pStyle w:val="ManualConsidrant"/>
        <w:rPr>
          <w:noProof/>
        </w:rPr>
      </w:pPr>
      <w:r>
        <w:t>(7)</w:t>
      </w:r>
      <w:r>
        <w:tab/>
      </w:r>
      <w:r>
        <w:rPr>
          <w:noProof/>
        </w:rPr>
        <w:t>Program modernizacji europejskiej statystyki przedsiębiorstw i handlu (MEETS) przyjęty decyzją nr 1297/2008/WE Parlamentu Europejskiego i Rady</w:t>
      </w:r>
      <w:r>
        <w:rPr>
          <w:rStyle w:val="FootnoteReference"/>
          <w:noProof/>
        </w:rPr>
        <w:footnoteReference w:id="7"/>
      </w:r>
      <w:r>
        <w:rPr>
          <w:noProof/>
        </w:rPr>
        <w:t>, który obowiązywał od 2009 r. do 2013 r., miał na celu wspieranie dostosowania statystyki gospodarczej i dotyczącej handlu do nowych potrzeb w zakresie danych i dostosowania systemu tworzenia statystyki gospodarczej. Wnioski i zalecenia wynikające z tego programu w zakresie priorytetów i nowych zestawów wskaźników, ujednolicenia ram dla statystyki dotyczącej przedsiębiorstw, bardziej efektywnego tworzenia statystyki przedsiębiorstw i handlu oraz modernizacji Intrastatu powinny przekładać się na prawnie wiążące przepisy.</w:t>
      </w:r>
    </w:p>
    <w:p>
      <w:pPr>
        <w:pStyle w:val="ManualConsidrant"/>
        <w:rPr>
          <w:noProof/>
        </w:rPr>
      </w:pPr>
      <w:r>
        <w:t>(8)</w:t>
      </w:r>
      <w:r>
        <w:tab/>
      </w:r>
      <w:r>
        <w:rPr>
          <w:noProof/>
        </w:rPr>
        <w:t>Istnieje potrzeba opracowania bardziej elastycznego podejścia w założeniach ram europejskiej statystyki gospodarczej, aby umożliwić dostosowania do rozwoju metod i terminowe reagowanie na pojawiające się, należycie uzasadnione potrzeby użytkowników danych wynikające ze zmieniającego się otoczenia gospodarczego oraz coraz większej globalizacji i złożoności krajobrazu przedsiębiorczości. Takie przyszłe dostosowania powinny być poparte odpowiednią analizą kosztów i korzyści, a będące wynikiem tego procesu nowe wymogi dotyczące danych nie powinny nakładać znacznego dodatkowego obciążenia ani kosztów na państwa członkowskie ani respondentów.</w:t>
      </w:r>
    </w:p>
    <w:p>
      <w:pPr>
        <w:pStyle w:val="ManualConsidrant"/>
        <w:rPr>
          <w:noProof/>
        </w:rPr>
      </w:pPr>
      <w:r>
        <w:t>(9)</w:t>
      </w:r>
      <w:r>
        <w:tab/>
      </w:r>
      <w:r>
        <w:rPr>
          <w:noProof/>
        </w:rPr>
        <w:t xml:space="preserve">Należy zwiększyć rolę krajowych statystycznych rejestrów przedsiębiorstw i rejestru EuroGrup jako podstawowej infrastruktury dla zbierania i zestawiania europejskiej statystyki gospodarczej. Krajowe statystyczne rejestry przedsiębiorstw powinny być wykorzystywane jako źródło informacji do analizy statystycznej dotyczącej populacji i demografii przedsiębiorstw, do zdefiniowania badanej populacji i do ustanowienia powiązania z administracyjnymi źródłami danych. </w:t>
      </w:r>
    </w:p>
    <w:p>
      <w:pPr>
        <w:pStyle w:val="ManualConsidrant"/>
        <w:rPr>
          <w:noProof/>
        </w:rPr>
      </w:pPr>
      <w:r>
        <w:t>(10)</w:t>
      </w:r>
      <w:r>
        <w:tab/>
      </w:r>
      <w:r>
        <w:rPr>
          <w:noProof/>
        </w:rPr>
        <w:t xml:space="preserve">Dla zapewnienia roli krajowych statystycznych rejestrów przedsiębiorstw i rejestru EuroGrup należy zdefiniować i wdrożyć jeden unikalny identyfikator dla wszystkich odpowiednich jednostek. </w:t>
      </w:r>
    </w:p>
    <w:p>
      <w:pPr>
        <w:pStyle w:val="ManualConsidrant"/>
        <w:rPr>
          <w:noProof/>
        </w:rPr>
      </w:pPr>
      <w:r>
        <w:t>(11)</w:t>
      </w:r>
      <w:r>
        <w:tab/>
      </w:r>
      <w:r>
        <w:rPr>
          <w:noProof/>
        </w:rPr>
        <w:t>Właściwy opis grup przedsiębiorstw w rejestrze EuroGrup przy pomocy aktualnych i wiarygodnych danych powinien zostać osiągnięty poprzez stosowanie zharmonizowanych kryteriów i regularne aktualizowanie informacji na temat powiązań o charakterze kontroli pomiędzy jednostkami prawnymi będącymi częścią grup przedsiębiorstw.</w:t>
      </w:r>
    </w:p>
    <w:p>
      <w:pPr>
        <w:pStyle w:val="ManualConsidrant"/>
        <w:rPr>
          <w:noProof/>
        </w:rPr>
      </w:pPr>
      <w:r>
        <w:t>(12)</w:t>
      </w:r>
      <w:r>
        <w:tab/>
      </w:r>
      <w:r>
        <w:rPr>
          <w:noProof/>
        </w:rPr>
        <w:t>W celu zwiększenia efektywności procesów tworzenia danych statystycznych ESS oraz zmniejszenia obciążenia statystycznego respondentów krajowe urzędy statystyczne powinny mieć prawo do szybkiego i bezpłatnego dostępu do wszystkich krajowych rejestrów administracyjnych, do korzystania z nich na tych samych zasadach oraz do scalania tych rejestrów administracyjnych ze statystyką w zakresie niezbędnym do opracowywania, tworzenia i rozpowszechniania europejskiej statystyki gospodarczej, zgodnie z przepisami określonymi w art. 17a rozporządzenia (WE) nr 223/2009 Parlamentu Europejskiego i Rady</w:t>
      </w:r>
      <w:r>
        <w:rPr>
          <w:rStyle w:val="FootnoteReference"/>
          <w:noProof/>
        </w:rPr>
        <w:footnoteReference w:id="8"/>
      </w:r>
      <w:r>
        <w:rPr>
          <w:noProof/>
        </w:rPr>
        <w:t>.</w:t>
      </w:r>
    </w:p>
    <w:p>
      <w:pPr>
        <w:pStyle w:val="ManualConsidrant"/>
        <w:rPr>
          <w:noProof/>
        </w:rPr>
      </w:pPr>
      <w:r>
        <w:t>(13)</w:t>
      </w:r>
      <w:r>
        <w:tab/>
      </w:r>
      <w:r>
        <w:rPr>
          <w:noProof/>
        </w:rPr>
        <w:t>Rozporządzenie (WE) nr 223/2009 stanowi ramy odniesienia dla statystyk europejskich. W szczególności zawiera ono wymóg zgodności z zasadami niezależności zawodowej, bezstronności, obiektywizmu, rzetelności, poufności danych statystycznych oraz efektywności pod względem kosztów.</w:t>
      </w:r>
    </w:p>
    <w:p>
      <w:pPr>
        <w:pStyle w:val="ManualConsidrant"/>
        <w:rPr>
          <w:noProof/>
        </w:rPr>
      </w:pPr>
      <w:r>
        <w:t>(14)</w:t>
      </w:r>
      <w:r>
        <w:tab/>
      </w:r>
      <w:r>
        <w:rPr>
          <w:noProof/>
        </w:rPr>
        <w:t xml:space="preserve">Należy wprowadzić wymianę danych jednostkowych i dostęp do danych jednostkowych przez krajowe organy statystyczne tworzące statystykę gospodarczą i utrzymujące europejską sieć statystycznych rejestrów przedsiębiorstw w celu opracowywania, tworzenia i rozpowszechniania krajowej lub europejskiej statystyki gospodarczej lub na rzecz podniesienia jakości europejskiej statystyki gospodarczej. Wymiana danych jednostkowych powinna być zatem ograniczona do należycie uzasadnionych przypadków. </w:t>
      </w:r>
    </w:p>
    <w:p>
      <w:pPr>
        <w:pStyle w:val="ManualConsidrant"/>
        <w:rPr>
          <w:noProof/>
        </w:rPr>
      </w:pPr>
      <w:r>
        <w:t>(15)</w:t>
      </w:r>
      <w:r>
        <w:tab/>
      </w:r>
      <w:r>
        <w:rPr>
          <w:noProof/>
        </w:rPr>
        <w:t>Utworzenie dodatkowego źródła danych opartego na wymianie danych jednostkowych dotyczących wewnątrzunijnego wywozu towarów, wraz z możliwością wykorzystania innowacyjnych metod, zwiększa elastyczność dla państw członkowskich w gromadzeniu przez nie statystyk dotyczących wewnątrzunijnego handlu towarami, umożliwiając w ten sposób państwom członkowskim zmniejszenie obciążenia przedsiębiorstw badaniami. Celem wymiany jest efektywne opracowywanie, tworzenie i rozpowszechnianie europejskich statystyk międzynarodowego handlu towarami lub poprawa ich jakości.</w:t>
      </w:r>
    </w:p>
    <w:p>
      <w:pPr>
        <w:pStyle w:val="ManualConsidrant"/>
        <w:rPr>
          <w:noProof/>
        </w:rPr>
      </w:pPr>
      <w:r>
        <w:t>(16)</w:t>
      </w:r>
      <w:r>
        <w:tab/>
      </w:r>
      <w:r>
        <w:rPr>
          <w:noProof/>
        </w:rPr>
        <w:t xml:space="preserve">Dla negocjowania, wdrażania i przeglądu umów o handlu i inwestycjach między Unią a państwami trzecimi lub umów wielostronnych konieczne jest udostępnianie Komisji niezbędnych informacji statystycznych o obrotach handlowych państw członkowskich z państwami trzecimi. </w:t>
      </w:r>
    </w:p>
    <w:p>
      <w:pPr>
        <w:pStyle w:val="ManualConsidrant"/>
        <w:rPr>
          <w:noProof/>
        </w:rPr>
      </w:pPr>
      <w:r>
        <w:t>(17)</w:t>
      </w:r>
      <w:r>
        <w:tab/>
      </w:r>
      <w:r>
        <w:rPr>
          <w:noProof/>
        </w:rPr>
        <w:t>Należy utrzymać ścisły związek pomiędzy systemem zbierania informacji statystycznych a formalnościami fiskalnymi związanymi z podatkiem od wartości dodanej, które istnieją w kontekście handlu towarami między państwami członkowskimi. Związek ten umożliwia w szczególności, do celów statystyk wewnątrzunijnego handlu towarami, identyfikację eksporterów i importerów oraz sprawdzanie jakości zgromadzonych informacji.</w:t>
      </w:r>
    </w:p>
    <w:p>
      <w:pPr>
        <w:pStyle w:val="ManualConsidrant"/>
        <w:rPr>
          <w:noProof/>
        </w:rPr>
      </w:pPr>
      <w:r>
        <w:t>(18)</w:t>
      </w:r>
      <w:r>
        <w:tab/>
      </w:r>
      <w:r>
        <w:rPr>
          <w:noProof/>
        </w:rPr>
        <w:t>Transgraniczne przemieszczanie towarów, w szczególności z lub do państw trzecich, podlega nadzorowi celnemu, jak określono to w rozporządzeniu Parlamentu Europejskiego i Rady (UE) nr 952/2013</w:t>
      </w:r>
      <w:r>
        <w:rPr>
          <w:rStyle w:val="FootnoteReference"/>
          <w:noProof/>
        </w:rPr>
        <w:footnoteReference w:id="9"/>
      </w:r>
      <w:r>
        <w:rPr>
          <w:noProof/>
        </w:rPr>
        <w:t>. Organy celne posiadają informacje lub ewidencje dotyczące takiego przemieszczania lub mają do nich dostęp. Informacje lub ewidencje, które są związane ze zgłoszeniami celnymi lub są na nich oparte, powinny być wykorzystywane do tworzenia statystyk dotyczących handlu towarami w Unii.</w:t>
      </w:r>
    </w:p>
    <w:p>
      <w:pPr>
        <w:pStyle w:val="ManualConsidrant"/>
        <w:rPr>
          <w:noProof/>
        </w:rPr>
      </w:pPr>
      <w:r>
        <w:t>(19)</w:t>
      </w:r>
      <w:r>
        <w:tab/>
      </w:r>
      <w:r>
        <w:rPr>
          <w:noProof/>
        </w:rPr>
        <w:t>W celu tworzenia statystyk dotyczących międzynarodowego handlu towarami i poprawy jakości tych statystyk krajowe urzędy statystyczne w państwach członkowskich powinny mieć możliwość wymiany danych dotyczących przywozu i wywozu towarów, w które zaangażowane są organy celne więcej niż jednego państwa członkowskiego.</w:t>
      </w:r>
    </w:p>
    <w:p>
      <w:pPr>
        <w:pStyle w:val="ManualConsidrant"/>
        <w:rPr>
          <w:noProof/>
        </w:rPr>
      </w:pPr>
      <w:r>
        <w:t>(20)</w:t>
      </w:r>
      <w:r>
        <w:tab/>
      </w:r>
      <w:r>
        <w:rPr>
          <w:noProof/>
        </w:rPr>
        <w:t xml:space="preserve">W celu realizacji swoich zadań wynikających z traktatów, w szczególności zadań związanych z funkcjonowaniem rynku wewnętrznego, Komisja powinna mieć pełne, aktualne i wiarygodne informacje na temat produkcji towarów i usług w Unii oraz międzynarodowych przepływów handlowych. Również przedsiębiorstwa potrzebują takich informacji w celu obserwowania swoich rynków i swoich działań w wymiarze międzynarodowym. </w:t>
      </w:r>
    </w:p>
    <w:p>
      <w:pPr>
        <w:pStyle w:val="ManualConsidrant"/>
        <w:rPr>
          <w:noProof/>
        </w:rPr>
      </w:pPr>
      <w:r>
        <w:t>(21)</w:t>
      </w:r>
      <w:r>
        <w:tab/>
      </w:r>
      <w:r>
        <w:rPr>
          <w:noProof/>
        </w:rPr>
        <w:t>Istnieje zapotrzebowanie na statystykę gospodarczą według sektorów działalności, by móc zmierzyć wydajność przedsiębiorstw w Unii. W szczególności istnieje coraz większy popyt na statystykę dotyczącą sektora usług, który jest jednym z najbardziej dynamicznych sektorów nowoczesnej gospodarki, zwłaszcza pod kątem jego potencjału w zakresie wzrostu gospodarczego i tworzenia miejsc pracy, a także w kontekście jego powiązań z sektorem wytwórczym. Statystyki dotyczące handlu usługami są niezbędne do monitorowania funkcjonowania wewnętrznego rynku usług oraz oceny wpływu stosowania barier w handlu usługami.</w:t>
      </w:r>
    </w:p>
    <w:p>
      <w:pPr>
        <w:pStyle w:val="ManualConsidrant"/>
        <w:rPr>
          <w:noProof/>
        </w:rPr>
      </w:pPr>
      <w:r>
        <w:t>(22)</w:t>
      </w:r>
      <w:r>
        <w:tab/>
      </w:r>
      <w:r>
        <w:rPr>
          <w:noProof/>
        </w:rPr>
        <w:t xml:space="preserve">Monitorowanie postępów w osiąganiu celów określonych w strategii „Europa 2020” na poziomie państw członkowskich i na poziomie Unii wymaga zharmonizowanych statystyk dotyczących gospodarki Unii w zakresie badań i rozwoju, innowacji, społeczeństwa informacyjnego obejmujących zarówno usługi rynkowe, jak i nierynkowe, a także dotyczących otoczenia biznesu jako całości, w szczególności na temat demografii przedsiębiorstw i zatrudnienia związanego z działalnością rynkową. Informacje takie pozwalają podmiotom kształtującym politykę na podejmowanie świadomych decyzji politycznych w celu rozwijania gospodarki opartej na wiedzy i innowacji, poprawy dostępu do jednolitego rynku dla małych i średnich przedsiębiorstw, rozwoju przedsiębiorczości i poprawy konkurencyjności. </w:t>
      </w:r>
    </w:p>
    <w:p>
      <w:pPr>
        <w:pStyle w:val="ManualConsidrant"/>
        <w:rPr>
          <w:noProof/>
        </w:rPr>
      </w:pPr>
      <w:r>
        <w:t>(23)</w:t>
      </w:r>
      <w:r>
        <w:tab/>
      </w:r>
      <w:r>
        <w:rPr>
          <w:noProof/>
        </w:rPr>
        <w:t>Koordynacja polityk gospodarczych w Unii i w strefie euro oraz informowanie podmiotów gospodarczych w ramach jednolitego rynku wymagają porównywalnych danych dotyczących sytuacji na rynku pracy, w tym statystyk dotyczących kosztów pracy, zarobków i liczby obsadzonych i nieobsadzonych stanowisk. Ponadto jednym z kluczowych elementów rozwoju i promowania wykwalifikowanej, wyszkolonej i dostosowanej siły roboczej jest uczenie się przez całe życie, przy czym szczególną uwagę należy zwrócić na szkolenie zawodowe w przedsiębiorstwach, które w zasadniczym stopniu przyczynia się do uczenia się przez całe życie. Dane takie uzyskuje się głównie od przedsiębiorstw i powinny one w przyszłości zostać uregulowane w przepisach prawnych i lepiej zintegrowane z innymi rodzajami statystyki gospodarczej. Dane dotyczące poziomu i elementów składowych kosztów pracy oraz struktury i rozkładu zarobków są niezbędne dla oceny średnioterminowego rozwoju gospodarek państw Unii. Dane na temat dynamiki kosztów pracy i wolnych miejsc pracy są niezbędne dla krótkoterminowego monitorowania gospodarek państw Unii, w tym na potrzeby polityki monetarnej. Dane dotyczące inwestycji przedsiębiorstw w ustawiczne szkolenie zawodowe, cechy charakterystyczne i dane liczbowe takiego szkolenia, jak również informacje na temat strategii przedsiębiorstw na rzecz szkolenia zawodowego są potrzebne do monitorowania wdrażania unijnej strategii na rzecz ściślejszej współpracy w dziedzinie kształcenia i szkolenia zawodowego.</w:t>
      </w:r>
    </w:p>
    <w:p>
      <w:pPr>
        <w:pStyle w:val="ManualConsidrant"/>
        <w:rPr>
          <w:noProof/>
        </w:rPr>
      </w:pPr>
      <w:r>
        <w:t>(24)</w:t>
      </w:r>
      <w:r>
        <w:tab/>
      </w:r>
      <w:r>
        <w:rPr>
          <w:noProof/>
        </w:rPr>
        <w:t>Statystyki w dziedzinie innowacji, badań naukowych i działań rozwojowych są niezbędne dla opracowywania i monitorowania polityk, które mają na celu zwiększenie konkurencyjności państw członkowskich i zwiększenie ich średnio- i długoterminowego potencjału w zakresie inteligentnego wzrostu i zatrudnienia. Rozszerzająca się gospodarka cyfrowa i coraz większe wykorzystanie technologii informacyjnych i komunikacyjnych są również istotnymi czynnikami konkurencyjności i wzrostu w Unii, zaś dane statystyczne są potrzebne do wspierania związanych z nimi strategii i polityk.</w:t>
      </w:r>
    </w:p>
    <w:p>
      <w:pPr>
        <w:pStyle w:val="ManualConsidrant"/>
        <w:rPr>
          <w:noProof/>
        </w:rPr>
      </w:pPr>
      <w:r>
        <w:t>(25)</w:t>
      </w:r>
      <w:r>
        <w:tab/>
      </w:r>
      <w:r>
        <w:rPr>
          <w:noProof/>
        </w:rPr>
        <w:t>Statystyka gospodarcza jest również potrzebna do sporządzania rachunków narodowych i regionalnych zgodnie z rozporządzeniem Parlamentu Europejskiego i Rady (UE) nr 549/2013</w:t>
      </w:r>
      <w:r>
        <w:rPr>
          <w:rStyle w:val="FootnoteReference"/>
          <w:noProof/>
        </w:rPr>
        <w:footnoteReference w:id="10"/>
      </w:r>
      <w:r>
        <w:rPr>
          <w:noProof/>
        </w:rPr>
        <w:t xml:space="preserve">. </w:t>
      </w:r>
    </w:p>
    <w:p>
      <w:pPr>
        <w:pStyle w:val="ManualConsidrant"/>
        <w:rPr>
          <w:noProof/>
        </w:rPr>
      </w:pPr>
      <w:r>
        <w:t>(26)</w:t>
      </w:r>
      <w:r>
        <w:tab/>
      </w:r>
      <w:r>
        <w:rPr>
          <w:noProof/>
        </w:rPr>
        <w:t xml:space="preserve">Statystyki dotyczące międzynarodowego handlu usługami, wymagane dla sporządzania bilansu płatniczego Unii i strefy euro, są określane w ścisłej współpracy przez Komisję (Eurostat) oraz Europejski Bank Centralny. </w:t>
      </w:r>
    </w:p>
    <w:p>
      <w:pPr>
        <w:pStyle w:val="ManualConsidrant"/>
        <w:rPr>
          <w:noProof/>
        </w:rPr>
      </w:pPr>
      <w:r>
        <w:t>(27)</w:t>
      </w:r>
      <w:r>
        <w:tab/>
      </w:r>
      <w:r>
        <w:rPr>
          <w:noProof/>
        </w:rPr>
        <w:t>Rzetelne i sporządzane terminowo statystyki są niezbędne dla sprawozdawczości na temat rozwoju gospodarczego w każdym państwie członkowskim w ramach polityki gospodarczej Unii. Europejski Bank Centralny potrzebuje szybkich krótkoterminowych statystyk do celów oceny rozwoju gospodarczego w państwach członkowskich w kontekście jednolitej polityki pieniężnej.</w:t>
      </w:r>
    </w:p>
    <w:p>
      <w:pPr>
        <w:pStyle w:val="ManualConsidrant"/>
        <w:rPr>
          <w:noProof/>
        </w:rPr>
      </w:pPr>
      <w:r>
        <w:t>(28)</w:t>
      </w:r>
      <w:r>
        <w:tab/>
      </w:r>
      <w:r>
        <w:rPr>
          <w:noProof/>
        </w:rPr>
        <w:t xml:space="preserve">Przy zachowaniu zasady dostarczania statystyki gospodarczej w odniesieniu do całej gospodarki wymogi dotyczące danych powinny, zgodnie z zasadą proporcjonalności, uwzględniać możliwie jak największe uproszczenie środków na rzecz zmniejszenia obciążenia przedsiębiorstw w państwach członkowskich, które są stosunkowo niewielkie. </w:t>
      </w:r>
    </w:p>
    <w:p>
      <w:pPr>
        <w:pStyle w:val="ManualConsidrant"/>
        <w:rPr>
          <w:noProof/>
        </w:rPr>
      </w:pPr>
      <w:r>
        <w:t>(29)</w:t>
      </w:r>
      <w:r>
        <w:tab/>
      </w:r>
      <w:r>
        <w:rPr>
          <w:noProof/>
        </w:rPr>
        <w:t xml:space="preserve">Standardy międzynarodowe, takie jak inicjatywa w sprawie wymiany danych statystycznych i metadanych (SDMX – ang. </w:t>
      </w:r>
      <w:r>
        <w:rPr>
          <w:i/>
          <w:noProof/>
        </w:rPr>
        <w:t>Statistical Data and Metadata Exchange</w:t>
      </w:r>
      <w:r>
        <w:rPr>
          <w:noProof/>
        </w:rPr>
        <w:t>) i standardy statystyczne i techniczne opracowane w ramach ESS, takie jak standardy dotyczące metadanych i walidacji, powinny być stosowane w zakresie, w jakim są one istotne również dla europejskiej statystyki gospodarczej. Komitet ds. Europejskiego Systemu Statystycznego (Komitet ds. ESS) zatwierdził standard ESS odnoszący się do sprawozdań dotyczących jakości, zgodnie z art. 12 rozporządzenia (WE) nr 223/2009. Standardy te powinny przyczynić się do harmonizacji zapewnienia jakości i sprawozdawczości na podstawie niniejszego rozporządzenia.</w:t>
      </w:r>
    </w:p>
    <w:p>
      <w:pPr>
        <w:pStyle w:val="ManualConsidrant"/>
        <w:rPr>
          <w:noProof/>
        </w:rPr>
      </w:pPr>
      <w:r>
        <w:t>(30)</w:t>
      </w:r>
      <w:r>
        <w:tab/>
      </w:r>
      <w:r>
        <w:rPr>
          <w:noProof/>
        </w:rPr>
        <w:t>W celu uwzględnienia rozwoju gospodarczego i postępu technicznego należy przekazać Komisji uprawnienia do przyjmowania aktów zgodnie z art. 290 Traktatu w odniesieniu do tematów szczegółowych określonych w załącznikach I i II, a także stopnia pokrycia w odniesieniu do wewnątrzunijnego wywozu towarów. Komisja powinna również mieć uprawnienia do uzupełniania tematów szczegółowych zakresami tematycznymi i cechami w odniesieniu do dynamicznej statystyki dotyczącej przedsiębiorstw w dziedzinach technologii informacyjno-komunikacyjnych, innowacji i globalnych łańcuchów wartości oraz dokładnych informacji, które mają być przekazywane przez organy podatkowe oraz organy celne. Szczególnie ważne jest, aby w czasie prac przygotowawczych Komisja prowadziła stosowne konsultacje, w tym na szczeblu ekspertów, oraz aby konsultacje te prowadzone były zgodnie z zasadami określonymi w Porozumieniu międzyinstytucjonalnym w sprawie lepszego stanowienia prawa z dnia 13 kwietnia 2016 r.</w:t>
      </w:r>
      <w:r>
        <w:rPr>
          <w:rStyle w:val="FootnoteReference"/>
          <w:noProof/>
        </w:rPr>
        <w:footnoteReference w:id="11"/>
      </w:r>
      <w:r>
        <w:rPr>
          <w:noProof/>
        </w:rPr>
        <w:t xml:space="preserve">.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 </w:t>
      </w:r>
    </w:p>
    <w:p>
      <w:pPr>
        <w:pStyle w:val="ManualConsidrant"/>
        <w:rPr>
          <w:noProof/>
        </w:rPr>
      </w:pPr>
      <w:r>
        <w:t>(31)</w:t>
      </w:r>
      <w:r>
        <w:tab/>
      </w:r>
      <w:r>
        <w:rPr>
          <w:noProof/>
        </w:rPr>
        <w:t>W celu zapewnienia jednolitych warunków technicznego wdrażania niektórych elementów wymogów, w tym tych dotyczących rejestrów przedsiębiorstw, formatu, środków bezpieczeństwa i poufności oraz procedury wymiany poufnych danych do celów europejskiej sieci statystycznych rejestrów przedsiębiorstw, należy przyznać Komisji uprawnienia wykonawcze w odniesieniu do przekazywania danych i metadanych, sprawozdań na temat jakości danych i na temat metadanych oraz odstępstw. W tym samym celu należy przyznać Komisji dodatkowe uprawnienia wykonawcze w odniesieniu do sposobów i formatu wymiany poufnych danych do celów statystki dotyczącej wewnątrzunijnego handlu towarami, środków bezpieczeństwa i poufności związanych z taką wymianą oraz jej procedury, specyfikacji istotnych metadanych, harmonogramu, sposobów zbierania i zestawiania informacji statystycznych na temat wewnątrzunijnego wywozu towarów przekazywanych do państwa członkowskiego przywozu, sposobów stosowania stopnia pokrycia w odniesieniu do całkowitego wewnątrzunijnego wywozu towarów, elementów danych statystycznych w odniesieniu do danych jednostkowych zbieranych przy pomocy badań dotyczących wewnątrzunijnego handlu towarami, które mają być przekazywane do państwa członkowskiego przywozu, i związanych z tym uproszczeń. Uprawnienia te powinny być wykonywane zgodnie z rozporządzeniem Parlamentu Europejskiego i Rady (UE) nr 182/2011</w:t>
      </w:r>
      <w:r>
        <w:rPr>
          <w:rStyle w:val="FootnoteReference"/>
          <w:noProof/>
        </w:rPr>
        <w:footnoteReference w:id="12"/>
      </w:r>
      <w:r>
        <w:rPr>
          <w:noProof/>
        </w:rPr>
        <w:t xml:space="preserve">. </w:t>
      </w:r>
    </w:p>
    <w:p>
      <w:pPr>
        <w:pStyle w:val="ManualConsidrant"/>
        <w:rPr>
          <w:noProof/>
        </w:rPr>
      </w:pPr>
      <w:r>
        <w:t>(32)</w:t>
      </w:r>
      <w:r>
        <w:tab/>
      </w:r>
      <w:r>
        <w:rPr>
          <w:noProof/>
        </w:rPr>
        <w:t>W stosownych przypadkach Komisja powinna dokonywać analizy kosztów i korzyści oraz zapewnić, aby żadne działania, które podejmuje, nie nakładały znacznego dodatkowego obciążenia na państwa członkowskie ani na respondentów, biorąc pod uwagę oczekiwane korzyści dla użytkowników.</w:t>
      </w:r>
    </w:p>
    <w:p>
      <w:pPr>
        <w:pStyle w:val="ManualConsidrant"/>
        <w:rPr>
          <w:noProof/>
        </w:rPr>
      </w:pPr>
      <w:r>
        <w:t>(33)</w:t>
      </w:r>
      <w:r>
        <w:tab/>
      </w:r>
      <w:r>
        <w:rPr>
          <w:noProof/>
        </w:rPr>
        <w:t>Komisja może przyznawać odstępstwa od stosowania niniejszego rozporządzenia lub aktów delegowanych i wykonawczych przyjętych w jego kontekście, w przypadku gdy ich stosowanie prowadzi do znacznych dostosowań krajowych systemów statystycznych państw członkowskich w zakresie organizowania dodatkowych badań lub dokonywania znacznych dostosowań ich systemów tworzenia statystyk w celu uwzględnienia nowych źródeł danych lub umożliwienia połączenia różnych źródeł.</w:t>
      </w:r>
    </w:p>
    <w:p>
      <w:pPr>
        <w:pStyle w:val="ManualConsidrant"/>
        <w:rPr>
          <w:noProof/>
        </w:rPr>
      </w:pPr>
      <w:r>
        <w:t>(34)</w:t>
      </w:r>
      <w:r>
        <w:tab/>
      </w:r>
      <w:r>
        <w:rPr>
          <w:noProof/>
        </w:rPr>
        <w:t>Ponieważ cel niniejszego rozporządzenia, mianowicie ustanowienie wspólnych ram dla europejskiej statystyki gospodarczej, nie może zostać osiągnięty w sposób wystarczający przez państwa członkowskie, natomiast dla celów harmonizacji i porównywalności możliwe jest pełniejsze jego osiągnięcie na poziomie Unii, Unia może przyjąć środki zgodnie z zasadą pomocniczości określoną w art. 5 Traktatu o Unii Europejskiej. Zgodnie z zasadą proporcjonalności określoną w tym artykule niniejsze rozporządzenie nie wykracza poza to, co jest konieczne do osiągnięcia tego celu.</w:t>
      </w:r>
    </w:p>
    <w:p>
      <w:pPr>
        <w:pStyle w:val="ManualConsidrant"/>
        <w:rPr>
          <w:noProof/>
        </w:rPr>
      </w:pPr>
      <w:r>
        <w:t>(35)</w:t>
      </w:r>
      <w:r>
        <w:tab/>
      </w:r>
      <w:r>
        <w:rPr>
          <w:noProof/>
        </w:rPr>
        <w:t>Należy zmienić środki określone w rozporządzeniu (WE) nr 184/2005 Parlamentu Europejskiego i Rady</w:t>
      </w:r>
      <w:r>
        <w:rPr>
          <w:rStyle w:val="FootnoteReference"/>
          <w:noProof/>
        </w:rPr>
        <w:footnoteReference w:id="13"/>
      </w:r>
      <w:r>
        <w:rPr>
          <w:noProof/>
        </w:rPr>
        <w:t>, jeśli chodzi o odniesienie do międzynarodowego handlu usługami.</w:t>
      </w:r>
    </w:p>
    <w:p>
      <w:pPr>
        <w:pStyle w:val="ManualConsidrant"/>
        <w:rPr>
          <w:noProof/>
        </w:rPr>
      </w:pPr>
      <w:r>
        <w:t>(36)</w:t>
      </w:r>
      <w:r>
        <w:tab/>
      </w:r>
      <w:r>
        <w:rPr>
          <w:noProof/>
        </w:rPr>
        <w:t>Środki określone w niniejszym rozporządzeniu powinny zastąpić środki rozporządzenia Rady (EWG) nr 3924/91</w:t>
      </w:r>
      <w:r>
        <w:rPr>
          <w:rStyle w:val="FootnoteReference"/>
          <w:noProof/>
        </w:rPr>
        <w:footnoteReference w:id="14"/>
      </w:r>
      <w:r>
        <w:rPr>
          <w:noProof/>
        </w:rPr>
        <w:t>, rozporządzenia Rady (WE) nr 1165/98</w:t>
      </w:r>
      <w:r>
        <w:rPr>
          <w:rStyle w:val="FootnoteReference"/>
          <w:noProof/>
        </w:rPr>
        <w:footnoteReference w:id="15"/>
      </w:r>
      <w:r>
        <w:rPr>
          <w:noProof/>
        </w:rPr>
        <w:t>, decyzji (WE) nr 1608/2003 Parlamentu Europejskiego i Rady</w:t>
      </w:r>
      <w:r>
        <w:rPr>
          <w:rStyle w:val="FootnoteReference"/>
          <w:noProof/>
        </w:rPr>
        <w:footnoteReference w:id="16"/>
      </w:r>
      <w:r>
        <w:rPr>
          <w:noProof/>
        </w:rPr>
        <w:t>, rozporządzenia (WE) nr 48/2004 Parlamentu Europejskiego i Rady</w:t>
      </w:r>
      <w:r>
        <w:rPr>
          <w:rStyle w:val="FootnoteReference"/>
          <w:noProof/>
        </w:rPr>
        <w:footnoteReference w:id="17"/>
      </w:r>
      <w:r>
        <w:rPr>
          <w:noProof/>
        </w:rPr>
        <w:t>, rozporządzenia (WE) nr 638/2004 Parlamentu Europejskiego i Rady</w:t>
      </w:r>
      <w:r>
        <w:rPr>
          <w:rStyle w:val="FootnoteReference"/>
          <w:noProof/>
        </w:rPr>
        <w:footnoteReference w:id="18"/>
      </w:r>
      <w:r>
        <w:rPr>
          <w:noProof/>
        </w:rPr>
        <w:t>, rozporządzenia (WE) nr 808/2004 Parlamentu Europejskiego i Rady</w:t>
      </w:r>
      <w:r>
        <w:rPr>
          <w:rStyle w:val="FootnoteReference"/>
          <w:noProof/>
        </w:rPr>
        <w:footnoteReference w:id="19"/>
      </w:r>
      <w:r>
        <w:rPr>
          <w:noProof/>
        </w:rPr>
        <w:t>, rozporządzenia (WE) nr 716/2007 Parlamentu Europejskiego i Rady</w:t>
      </w:r>
      <w:r>
        <w:rPr>
          <w:rStyle w:val="FootnoteReference"/>
          <w:noProof/>
        </w:rPr>
        <w:footnoteReference w:id="20"/>
      </w:r>
      <w:r>
        <w:rPr>
          <w:noProof/>
        </w:rPr>
        <w:t>, rozporządzenia Parlamentu Europejskiego i Rady (WE) nr 177/2008</w:t>
      </w:r>
      <w:r>
        <w:rPr>
          <w:rStyle w:val="FootnoteReference"/>
          <w:noProof/>
        </w:rPr>
        <w:footnoteReference w:id="21"/>
      </w:r>
      <w:r>
        <w:rPr>
          <w:noProof/>
        </w:rPr>
        <w:t>, rozporządzenia Parlamentu Europejskiego i Rady (WE) nr 295/2008</w:t>
      </w:r>
      <w:r>
        <w:rPr>
          <w:rStyle w:val="FootnoteReference"/>
          <w:noProof/>
        </w:rPr>
        <w:footnoteReference w:id="22"/>
      </w:r>
      <w:r>
        <w:rPr>
          <w:noProof/>
        </w:rPr>
        <w:t xml:space="preserve"> i rozporządzenia Parlamentu Europejskiego i Rady (WE) nr 471/2009</w:t>
      </w:r>
      <w:r>
        <w:rPr>
          <w:rStyle w:val="FootnoteReference"/>
          <w:noProof/>
        </w:rPr>
        <w:footnoteReference w:id="23"/>
      </w:r>
      <w:r>
        <w:rPr>
          <w:noProof/>
        </w:rPr>
        <w:t xml:space="preserve">.Należy zatem uchylić te akty prawne. </w:t>
      </w:r>
    </w:p>
    <w:p>
      <w:pPr>
        <w:pStyle w:val="ManualConsidrant"/>
        <w:rPr>
          <w:noProof/>
        </w:rPr>
      </w:pPr>
      <w:r>
        <w:t>(37)</w:t>
      </w:r>
      <w:r>
        <w:tab/>
      </w:r>
      <w:r>
        <w:rPr>
          <w:noProof/>
        </w:rPr>
        <w:t>Przeprowadzono konsultacje z Europejskim Inspektorem Ochrony Danych.</w:t>
      </w:r>
    </w:p>
    <w:p>
      <w:pPr>
        <w:pStyle w:val="ManualConsidrant"/>
        <w:rPr>
          <w:noProof/>
        </w:rPr>
      </w:pPr>
      <w:r>
        <w:t>(38)</w:t>
      </w:r>
      <w:r>
        <w:tab/>
      </w:r>
      <w:r>
        <w:rPr>
          <w:noProof/>
        </w:rPr>
        <w:t>Przeprowadzono konsultacje z Komitetem ds. Europejskiego Systemu Statystycznego,</w:t>
      </w:r>
    </w:p>
    <w:p>
      <w:pPr>
        <w:pStyle w:val="Formuledadoption"/>
        <w:rPr>
          <w:noProof/>
        </w:rPr>
      </w:pPr>
      <w:r>
        <w:rPr>
          <w:noProof/>
        </w:rPr>
        <w:t>PRZYJMUJĄ NINIEJSZE ROZPORZĄDZENIE:</w:t>
      </w:r>
    </w:p>
    <w:p>
      <w:pPr>
        <w:pStyle w:val="ChapterTitle"/>
        <w:rPr>
          <w:noProof/>
        </w:rPr>
      </w:pPr>
      <w:r>
        <w:rPr>
          <w:noProof/>
        </w:rPr>
        <w:t xml:space="preserve">ROZDZIAŁ I </w:t>
      </w:r>
    </w:p>
    <w:p>
      <w:pPr>
        <w:pStyle w:val="ChapterTitle"/>
        <w:rPr>
          <w:noProof/>
        </w:rPr>
      </w:pPr>
      <w:r>
        <w:rPr>
          <w:noProof/>
        </w:rPr>
        <w:t>PRZEPISY OGÓLNE</w:t>
      </w:r>
    </w:p>
    <w:p>
      <w:pPr>
        <w:pStyle w:val="Titrearticle"/>
        <w:rPr>
          <w:noProof/>
        </w:rPr>
      </w:pPr>
      <w:r>
        <w:rPr>
          <w:noProof/>
        </w:rPr>
        <w:t>Artykuł 1</w:t>
      </w:r>
    </w:p>
    <w:p>
      <w:pPr>
        <w:pStyle w:val="Titrearticle"/>
        <w:rPr>
          <w:noProof/>
        </w:rPr>
      </w:pPr>
      <w:r>
        <w:rPr>
          <w:noProof/>
        </w:rPr>
        <w:t>Przedmiot</w:t>
      </w:r>
    </w:p>
    <w:p>
      <w:pPr>
        <w:rPr>
          <w:noProof/>
        </w:rPr>
      </w:pPr>
      <w:r>
        <w:rPr>
          <w:noProof/>
        </w:rPr>
        <w:t xml:space="preserve">W niniejszym rozporządzeniu ustanawia się wspólne ramy prawne dla: </w:t>
      </w:r>
    </w:p>
    <w:p>
      <w:pPr>
        <w:pStyle w:val="Point1"/>
        <w:rPr>
          <w:noProof/>
        </w:rPr>
      </w:pPr>
      <w:r>
        <w:rPr>
          <w:noProof/>
        </w:rPr>
        <w:t>a)</w:t>
      </w:r>
      <w:r>
        <w:rPr>
          <w:noProof/>
        </w:rPr>
        <w:tab/>
        <w:t>opracowywania, tworzenia i rozpowszechniania europejskich statystyk dotyczących struktury, działalności gospodarczej i wyników podmiotów prowadzących działalność gospodarczą, jak również na temat transakcji międzynarodowych i działalności badawczej i rozwojowej gospodarki unijnej (europejska statystyka gospodarcza);</w:t>
      </w:r>
    </w:p>
    <w:p>
      <w:pPr>
        <w:pStyle w:val="Point1"/>
        <w:rPr>
          <w:noProof/>
        </w:rPr>
      </w:pPr>
      <w:r>
        <w:rPr>
          <w:noProof/>
        </w:rPr>
        <w:t>b)</w:t>
      </w:r>
      <w:r>
        <w:rPr>
          <w:noProof/>
        </w:rPr>
        <w:tab/>
        <w:t>europejskiej sieci krajowych statystycznych rejestrów przedsiębiorstw i rejestru EuroGrup.</w:t>
      </w:r>
    </w:p>
    <w:p>
      <w:pPr>
        <w:pStyle w:val="Titrearticle"/>
        <w:rPr>
          <w:noProof/>
        </w:rPr>
      </w:pPr>
      <w:r>
        <w:rPr>
          <w:noProof/>
        </w:rPr>
        <w:t>Artykuł 2</w:t>
      </w:r>
    </w:p>
    <w:p>
      <w:pPr>
        <w:pStyle w:val="Titrearticle"/>
        <w:rPr>
          <w:noProof/>
        </w:rPr>
      </w:pPr>
      <w:r>
        <w:rPr>
          <w:noProof/>
        </w:rPr>
        <w:t>Definicje</w:t>
      </w:r>
    </w:p>
    <w:p>
      <w:pPr>
        <w:pStyle w:val="ManualNumPar1"/>
        <w:rPr>
          <w:noProof/>
        </w:rPr>
      </w:pPr>
      <w:r>
        <w:t>1.</w:t>
      </w:r>
      <w:r>
        <w:tab/>
      </w:r>
      <w:r>
        <w:rPr>
          <w:noProof/>
        </w:rPr>
        <w:t>Do celów niniejszego rozporządzenia stosuje się następujące definicje:</w:t>
      </w:r>
    </w:p>
    <w:p>
      <w:pPr>
        <w:pStyle w:val="Point1"/>
        <w:rPr>
          <w:noProof/>
        </w:rPr>
      </w:pPr>
      <w:r>
        <w:rPr>
          <w:noProof/>
        </w:rPr>
        <w:t>a)</w:t>
      </w:r>
      <w:r>
        <w:rPr>
          <w:noProof/>
        </w:rPr>
        <w:tab/>
        <w:t>„jednostka statystyczna” oznacza jednostki statystyczne zgodnie z definicjami w załączniku do rozporządzenia Rady (EWG) nr 696/93</w:t>
      </w:r>
      <w:r>
        <w:rPr>
          <w:rStyle w:val="FootnoteReference"/>
          <w:noProof/>
        </w:rPr>
        <w:footnoteReference w:id="24"/>
      </w:r>
      <w:r>
        <w:rPr>
          <w:noProof/>
        </w:rPr>
        <w:t xml:space="preserve">; </w:t>
      </w:r>
    </w:p>
    <w:p>
      <w:pPr>
        <w:pStyle w:val="Point1"/>
        <w:rPr>
          <w:noProof/>
        </w:rPr>
      </w:pPr>
      <w:r>
        <w:rPr>
          <w:noProof/>
        </w:rPr>
        <w:t>b)</w:t>
      </w:r>
      <w:r>
        <w:rPr>
          <w:noProof/>
        </w:rPr>
        <w:tab/>
        <w:t>„jednostka sprawozdawcza” oznacza jednostkę, która dostarcza dane;</w:t>
      </w:r>
    </w:p>
    <w:p>
      <w:pPr>
        <w:pStyle w:val="Point1"/>
        <w:rPr>
          <w:noProof/>
        </w:rPr>
      </w:pPr>
      <w:r>
        <w:rPr>
          <w:noProof/>
        </w:rPr>
        <w:t>c)</w:t>
      </w:r>
      <w:r>
        <w:rPr>
          <w:noProof/>
        </w:rPr>
        <w:tab/>
        <w:t>„dziedzina” oznacza co najmniej jeden zestaw danych, który został utworzony, tak aby obejmował określone tematy;</w:t>
      </w:r>
    </w:p>
    <w:p>
      <w:pPr>
        <w:pStyle w:val="Point1"/>
        <w:rPr>
          <w:noProof/>
        </w:rPr>
      </w:pPr>
      <w:r>
        <w:rPr>
          <w:noProof/>
        </w:rPr>
        <w:t>d)</w:t>
      </w:r>
      <w:r>
        <w:rPr>
          <w:noProof/>
        </w:rPr>
        <w:tab/>
        <w:t xml:space="preserve">„temat” i „temat szczegółowy” oznaczają zakres informacji o jednostkach statystycznych, które mają być opracowane. Tematy szczegółowe zawierają wyższy stopień szczegółowości niż tematy. Temat obejmuje pewną liczbę tematów szczegółowych; </w:t>
      </w:r>
    </w:p>
    <w:p>
      <w:pPr>
        <w:pStyle w:val="Point1"/>
        <w:rPr>
          <w:noProof/>
        </w:rPr>
      </w:pPr>
      <w:r>
        <w:rPr>
          <w:noProof/>
        </w:rPr>
        <w:t>e)</w:t>
      </w:r>
      <w:r>
        <w:rPr>
          <w:noProof/>
        </w:rPr>
        <w:tab/>
        <w:t>„zmienna” oznacza cechę obserwowanej jednostki, która może obejmować więcej niż jeden zbiór wartości;</w:t>
      </w:r>
    </w:p>
    <w:p>
      <w:pPr>
        <w:pStyle w:val="Point1"/>
        <w:rPr>
          <w:noProof/>
        </w:rPr>
      </w:pPr>
      <w:r>
        <w:rPr>
          <w:noProof/>
        </w:rPr>
        <w:t>f)</w:t>
      </w:r>
      <w:r>
        <w:rPr>
          <w:noProof/>
        </w:rPr>
        <w:tab/>
        <w:t>„cecha” oznacza wyodrębnioną właściwość obiektu lub zbioru obiektów;</w:t>
      </w:r>
    </w:p>
    <w:p>
      <w:pPr>
        <w:pStyle w:val="Point1"/>
        <w:rPr>
          <w:noProof/>
        </w:rPr>
      </w:pPr>
      <w:r>
        <w:rPr>
          <w:noProof/>
        </w:rPr>
        <w:t>g)</w:t>
      </w:r>
      <w:r>
        <w:rPr>
          <w:noProof/>
        </w:rPr>
        <w:tab/>
        <w:t>„działalność rynkowa” i „działalność nierynkowa” oznaczają działalności zgodnie z definicją w rozporządzeniu (UE) nr 549/2013;</w:t>
      </w:r>
    </w:p>
    <w:p>
      <w:pPr>
        <w:pStyle w:val="Point1"/>
        <w:rPr>
          <w:noProof/>
        </w:rPr>
      </w:pPr>
      <w:r>
        <w:rPr>
          <w:noProof/>
        </w:rPr>
        <w:t>h)</w:t>
      </w:r>
      <w:r>
        <w:rPr>
          <w:noProof/>
        </w:rPr>
        <w:tab/>
        <w:t>„producent rynkowy” i „producent nierynkowy” oznaczają producentów zgodnie z definicją w rozporządzeniu (UE) nr 549/2013;</w:t>
      </w:r>
    </w:p>
    <w:p>
      <w:pPr>
        <w:pStyle w:val="Point1"/>
        <w:rPr>
          <w:noProof/>
        </w:rPr>
      </w:pPr>
      <w:r>
        <w:rPr>
          <w:noProof/>
        </w:rPr>
        <w:t>i)</w:t>
      </w:r>
      <w:r>
        <w:rPr>
          <w:noProof/>
        </w:rPr>
        <w:tab/>
        <w:t xml:space="preserve">„krajowe urzędy statystyczne” oznaczają krajowe instytuty statystyczne wyznaczone przez państwa członkowskie i inne organy krajowe odpowiedzialne za opracowywanie, tworzenie i rozpowszechnianie statystyki europejskiej, o których mowa w art. 5 ust. 1 i 2 rozporządzenia (WE) nr 223/2009; </w:t>
      </w:r>
    </w:p>
    <w:p>
      <w:pPr>
        <w:pStyle w:val="Point1"/>
        <w:rPr>
          <w:noProof/>
        </w:rPr>
      </w:pPr>
      <w:r>
        <w:rPr>
          <w:noProof/>
        </w:rPr>
        <w:t>j)</w:t>
      </w:r>
      <w:r>
        <w:rPr>
          <w:noProof/>
        </w:rPr>
        <w:tab/>
        <w:t>„autorytatywne źródło” oznacza jedynego dostawcę zestawów danych zawierających dane krajowego statystycznego rejestru przedsiębiorstw i rejestru EuroGrup zgodnie z normami jakości, o których mowa w art. 16;</w:t>
      </w:r>
    </w:p>
    <w:p>
      <w:pPr>
        <w:pStyle w:val="Point1"/>
        <w:rPr>
          <w:noProof/>
        </w:rPr>
      </w:pPr>
      <w:r>
        <w:rPr>
          <w:noProof/>
        </w:rPr>
        <w:t>k)</w:t>
      </w:r>
      <w:r>
        <w:rPr>
          <w:noProof/>
        </w:rPr>
        <w:tab/>
        <w:t>„dane jednostkowe” oznaczają jednostkowe obserwacje lub wartości cech możliwych do zidentyfikowania jednostek sprawozdawczych lub jednostek statystycznych;</w:t>
      </w:r>
    </w:p>
    <w:p>
      <w:pPr>
        <w:pStyle w:val="Point1"/>
        <w:rPr>
          <w:noProof/>
        </w:rPr>
      </w:pPr>
      <w:r>
        <w:rPr>
          <w:noProof/>
        </w:rPr>
        <w:t>l)</w:t>
      </w:r>
      <w:r>
        <w:rPr>
          <w:noProof/>
        </w:rPr>
        <w:tab/>
        <w:t>„wykorzystanie do celów statystycznych” oznacza wykorzystanie wyłącznie do celów opracowywania i tworzenia statystycznych wyników oraz analiz zgodnie z definicją w art. 3 pkt 8 rozporządzenia (WE) nr 223/2009;</w:t>
      </w:r>
    </w:p>
    <w:p>
      <w:pPr>
        <w:pStyle w:val="Point1"/>
        <w:rPr>
          <w:noProof/>
        </w:rPr>
      </w:pPr>
      <w:r>
        <w:rPr>
          <w:noProof/>
        </w:rPr>
        <w:t>m)</w:t>
      </w:r>
      <w:r>
        <w:rPr>
          <w:noProof/>
        </w:rPr>
        <w:tab/>
        <w:t>„poufne dane” oznaczają dane zgodnie z definicją w art. 3 pkt 7 rozporządzenia (WE) nr 223/2009;</w:t>
      </w:r>
    </w:p>
    <w:p>
      <w:pPr>
        <w:pStyle w:val="Point1"/>
        <w:rPr>
          <w:noProof/>
        </w:rPr>
      </w:pPr>
      <w:r>
        <w:rPr>
          <w:noProof/>
        </w:rPr>
        <w:t>n)</w:t>
      </w:r>
      <w:r>
        <w:rPr>
          <w:noProof/>
        </w:rPr>
        <w:tab/>
        <w:t>„organ podatkowy” oznacza organ krajowy w państwie członkowskim odpowiedzialny za stosowanie dyrektywy Rady 2006/112/WE</w:t>
      </w:r>
      <w:r>
        <w:rPr>
          <w:rStyle w:val="FootnoteReference"/>
          <w:noProof/>
        </w:rPr>
        <w:footnoteReference w:id="25"/>
      </w:r>
      <w:r>
        <w:rPr>
          <w:noProof/>
        </w:rPr>
        <w:t>;</w:t>
      </w:r>
    </w:p>
    <w:p>
      <w:pPr>
        <w:pStyle w:val="Point1"/>
        <w:rPr>
          <w:noProof/>
        </w:rPr>
      </w:pPr>
      <w:r>
        <w:rPr>
          <w:noProof/>
        </w:rPr>
        <w:t>o)</w:t>
      </w:r>
      <w:r>
        <w:rPr>
          <w:noProof/>
        </w:rPr>
        <w:tab/>
        <w:t>„organy celne” oznaczają organy celne zgodnie z definicją w art. 5 pkt 1 rozporządzenia (UE) nr 952/2013.</w:t>
      </w:r>
    </w:p>
    <w:p>
      <w:pPr>
        <w:pStyle w:val="ManualNumPar1"/>
        <w:rPr>
          <w:noProof/>
        </w:rPr>
      </w:pPr>
      <w:r>
        <w:t>2.</w:t>
      </w:r>
      <w:r>
        <w:tab/>
      </w:r>
      <w:r>
        <w:rPr>
          <w:noProof/>
        </w:rPr>
        <w:t>Do celów art. 11–15 stosuje się następujące definicje:</w:t>
      </w:r>
    </w:p>
    <w:p>
      <w:pPr>
        <w:pStyle w:val="Point1"/>
        <w:rPr>
          <w:noProof/>
        </w:rPr>
      </w:pPr>
      <w:r>
        <w:rPr>
          <w:noProof/>
        </w:rPr>
        <w:t>a)</w:t>
      </w:r>
      <w:r>
        <w:rPr>
          <w:noProof/>
        </w:rPr>
        <w:tab/>
        <w:t>„państwo członkowskie wywozu” oznacza państwo członkowskie, z którego terytorium statystycznego towary są wywożone do ich miejsca przeznaczenia w państwie członkowskim przywozu;</w:t>
      </w:r>
    </w:p>
    <w:p>
      <w:pPr>
        <w:pStyle w:val="Point1"/>
        <w:rPr>
          <w:noProof/>
        </w:rPr>
      </w:pPr>
      <w:r>
        <w:rPr>
          <w:noProof/>
        </w:rPr>
        <w:t>b)</w:t>
      </w:r>
      <w:r>
        <w:rPr>
          <w:noProof/>
        </w:rPr>
        <w:tab/>
        <w:t>„państwo członkowskie przywozu” oznacza państwo członkowskie, na którego terytorium statystyczne towary są przywożone z państwa członkowskiego wywozu;</w:t>
      </w:r>
    </w:p>
    <w:p>
      <w:pPr>
        <w:pStyle w:val="Point1"/>
        <w:rPr>
          <w:noProof/>
        </w:rPr>
      </w:pPr>
      <w:r>
        <w:rPr>
          <w:noProof/>
        </w:rPr>
        <w:t>c)</w:t>
      </w:r>
      <w:r>
        <w:rPr>
          <w:noProof/>
        </w:rPr>
        <w:tab/>
        <w:t>„towary” oznaczają wszelkie mienie ruchome, w tym energię elektryczną i gaz ziemny.</w:t>
      </w:r>
    </w:p>
    <w:p>
      <w:pPr>
        <w:pStyle w:val="Titrearticle"/>
        <w:rPr>
          <w:noProof/>
        </w:rPr>
      </w:pPr>
      <w:r>
        <w:rPr>
          <w:noProof/>
        </w:rPr>
        <w:t>Artykuł 3</w:t>
      </w:r>
    </w:p>
    <w:p>
      <w:pPr>
        <w:pStyle w:val="Titrearticle"/>
        <w:rPr>
          <w:noProof/>
        </w:rPr>
      </w:pPr>
      <w:r>
        <w:rPr>
          <w:noProof/>
        </w:rPr>
        <w:t>Zakres stosowania</w:t>
      </w:r>
    </w:p>
    <w:p>
      <w:pPr>
        <w:pStyle w:val="ManualNumPar1"/>
        <w:rPr>
          <w:noProof/>
        </w:rPr>
      </w:pPr>
      <w:r>
        <w:t>1.</w:t>
      </w:r>
      <w:r>
        <w:tab/>
      </w:r>
      <w:r>
        <w:rPr>
          <w:noProof/>
        </w:rPr>
        <w:t>Europejska statystyka gospodarcza obejmuje:</w:t>
      </w:r>
    </w:p>
    <w:p>
      <w:pPr>
        <w:pStyle w:val="Point1"/>
        <w:rPr>
          <w:noProof/>
        </w:rPr>
      </w:pPr>
      <w:r>
        <w:rPr>
          <w:noProof/>
        </w:rPr>
        <w:t>a)</w:t>
      </w:r>
      <w:r>
        <w:rPr>
          <w:noProof/>
        </w:rPr>
        <w:tab/>
        <w:t>strukturę, działalność gospodarczą i wyniki jednostek statystycznych, ich działalność badawczą i rozwojową oraz innowacyjną, wykorzystanie przez nie technologii informacyjno-telekomunikacyjnych i handel elektroniczny, a także globalne łańcuchy wartości;</w:t>
      </w:r>
    </w:p>
    <w:p>
      <w:pPr>
        <w:pStyle w:val="Point1"/>
        <w:rPr>
          <w:noProof/>
        </w:rPr>
      </w:pPr>
      <w:r>
        <w:rPr>
          <w:noProof/>
        </w:rPr>
        <w:t>b)</w:t>
      </w:r>
      <w:r>
        <w:rPr>
          <w:noProof/>
        </w:rPr>
        <w:tab/>
        <w:t>produkcję wyrobów gotowych i świadczenie usług oraz międzynarodowy handel towarami i usługami.</w:t>
      </w:r>
    </w:p>
    <w:p>
      <w:pPr>
        <w:pStyle w:val="ManualNumPar1"/>
        <w:rPr>
          <w:noProof/>
        </w:rPr>
      </w:pPr>
      <w:r>
        <w:t>2.</w:t>
      </w:r>
      <w:r>
        <w:tab/>
      </w:r>
      <w:r>
        <w:rPr>
          <w:noProof/>
        </w:rPr>
        <w:t>Europejska sieć statystycznych rejestrów przedsiębiorstw obejmuje krajowe rejestry przedsiębiorstw i rejestr EuroGrup, jak również wymianę między nimi.</w:t>
      </w:r>
    </w:p>
    <w:p>
      <w:pPr>
        <w:pStyle w:val="Point1"/>
        <w:rPr>
          <w:noProof/>
        </w:rPr>
      </w:pPr>
      <w:r>
        <w:rPr>
          <w:noProof/>
        </w:rPr>
        <w:t>a)</w:t>
      </w:r>
      <w:r>
        <w:rPr>
          <w:noProof/>
        </w:rPr>
        <w:tab/>
        <w:t>Krajowe statystyczne rejestry przedsiębiorstw obejmują:</w:t>
      </w:r>
    </w:p>
    <w:p>
      <w:pPr>
        <w:pStyle w:val="Point2"/>
        <w:rPr>
          <w:noProof/>
        </w:rPr>
      </w:pPr>
      <w:r>
        <w:rPr>
          <w:noProof/>
        </w:rPr>
        <w:t xml:space="preserve">(i) </w:t>
      </w:r>
      <w:r>
        <w:rPr>
          <w:noProof/>
        </w:rPr>
        <w:tab/>
        <w:t>wszystkie przedsiębiorstwa prowadzące działalność gospodarczą mającą wpływ na produkt krajowy brutto (PKB) oraz ich jednostki lokalne;</w:t>
      </w:r>
    </w:p>
    <w:p>
      <w:pPr>
        <w:pStyle w:val="Point2"/>
        <w:rPr>
          <w:noProof/>
        </w:rPr>
      </w:pPr>
      <w:r>
        <w:rPr>
          <w:noProof/>
        </w:rPr>
        <w:t>(ii)</w:t>
      </w:r>
      <w:r>
        <w:rPr>
          <w:noProof/>
        </w:rPr>
        <w:tab/>
        <w:t>jednostki prawne, z których składają się te przedsiębiorstwa;</w:t>
      </w:r>
    </w:p>
    <w:p>
      <w:pPr>
        <w:pStyle w:val="Point2"/>
        <w:rPr>
          <w:noProof/>
        </w:rPr>
      </w:pPr>
      <w:r>
        <w:rPr>
          <w:noProof/>
        </w:rPr>
        <w:t>(iii)</w:t>
      </w:r>
      <w:r>
        <w:rPr>
          <w:noProof/>
        </w:rPr>
        <w:tab/>
        <w:t>jednostki rodzaju działalności (JRD) lub kod NACE, jak określono w rozporządzeniu (WE) nr 1893/2006 Parlamentu Europejskiego i Rady</w:t>
      </w:r>
      <w:r>
        <w:rPr>
          <w:rStyle w:val="FootnoteReference"/>
          <w:noProof/>
        </w:rPr>
        <w:footnoteReference w:id="26"/>
      </w:r>
      <w:r>
        <w:rPr>
          <w:noProof/>
        </w:rPr>
        <w:t>, oraz wielkość każdej JRD, z których składają się te przedsiębiorstwa, z ograniczeniem do tych przedsiębiorstw, które z uwagi na swoją wielkość mają znaczący wpływ na dane zagregowane (na poziomie krajowym);</w:t>
      </w:r>
    </w:p>
    <w:p>
      <w:pPr>
        <w:pStyle w:val="Point2"/>
        <w:rPr>
          <w:noProof/>
        </w:rPr>
      </w:pPr>
      <w:r>
        <w:rPr>
          <w:noProof/>
        </w:rPr>
        <w:t>(iv)</w:t>
      </w:r>
      <w:r>
        <w:rPr>
          <w:noProof/>
        </w:rPr>
        <w:tab/>
        <w:t>grupy przedsiębiorstw;</w:t>
      </w:r>
    </w:p>
    <w:p>
      <w:pPr>
        <w:pStyle w:val="Point1"/>
        <w:rPr>
          <w:noProof/>
        </w:rPr>
      </w:pPr>
      <w:r>
        <w:rPr>
          <w:noProof/>
        </w:rPr>
        <w:t>b)</w:t>
      </w:r>
      <w:r>
        <w:rPr>
          <w:noProof/>
        </w:rPr>
        <w:tab/>
        <w:t>Rejestr EuroGrup obejmuje:</w:t>
      </w:r>
    </w:p>
    <w:p>
      <w:pPr>
        <w:pStyle w:val="Point2"/>
        <w:rPr>
          <w:noProof/>
        </w:rPr>
      </w:pPr>
      <w:r>
        <w:rPr>
          <w:noProof/>
        </w:rPr>
        <w:t>(i)</w:t>
      </w:r>
      <w:r>
        <w:rPr>
          <w:noProof/>
        </w:rPr>
        <w:tab/>
        <w:t>wszystkie przedsiębiorstwa prowadzące działalność gospodarczą mającą wpływ na produkt krajowy brutto (PKB), które wchodzą w skład wielonarodowej grupy przedsiębiorstw;</w:t>
      </w:r>
    </w:p>
    <w:p>
      <w:pPr>
        <w:pStyle w:val="Point2"/>
        <w:rPr>
          <w:noProof/>
        </w:rPr>
      </w:pPr>
      <w:r>
        <w:rPr>
          <w:noProof/>
        </w:rPr>
        <w:t>(ii)</w:t>
      </w:r>
      <w:r>
        <w:rPr>
          <w:noProof/>
        </w:rPr>
        <w:tab/>
        <w:t>jednostki prawne, z których składają się te przedsiębiorstwa;</w:t>
      </w:r>
    </w:p>
    <w:p>
      <w:pPr>
        <w:pStyle w:val="Point2"/>
        <w:rPr>
          <w:noProof/>
        </w:rPr>
      </w:pPr>
      <w:r>
        <w:rPr>
          <w:noProof/>
        </w:rPr>
        <w:t>(iii)</w:t>
      </w:r>
      <w:r>
        <w:rPr>
          <w:noProof/>
        </w:rPr>
        <w:tab/>
        <w:t>wielonarodowe grupy przedsiębiorstw.</w:t>
      </w:r>
    </w:p>
    <w:p>
      <w:pPr>
        <w:pStyle w:val="Point1"/>
        <w:rPr>
          <w:noProof/>
        </w:rPr>
      </w:pPr>
      <w:r>
        <w:rPr>
          <w:noProof/>
        </w:rPr>
        <w:t>c)</w:t>
      </w:r>
      <w:r>
        <w:rPr>
          <w:noProof/>
        </w:rPr>
        <w:tab/>
        <w:t>Gospodarstwa domowe nie wchodzą w zakres europejskiej sieci statystycznych rejestrów przedsiębiorstw, o ile wytwarzane przez nie towary i usługi są przeznaczone do konsumpcji własnej lub obejmują wynajmowanie ich własności.</w:t>
      </w:r>
    </w:p>
    <w:p>
      <w:pPr>
        <w:pStyle w:val="Point1"/>
        <w:rPr>
          <w:noProof/>
        </w:rPr>
      </w:pPr>
      <w:r>
        <w:rPr>
          <w:noProof/>
        </w:rPr>
        <w:t>d)</w:t>
      </w:r>
      <w:r>
        <w:rPr>
          <w:noProof/>
        </w:rPr>
        <w:tab/>
        <w:t>Jednostki lokalne przedsiębiorstw zagranicznych niestanowiące odrębnych osób prawnych (oddziałów) i zaklasyfikowane jako jednostki typu przedsiębiorstwo zgodnie z rozporządzeniem (UE) nr 549/2013 uznaje się za przedsiębiorstwa dla celów krajowych statystycznych rejestrów przedsiębiorstw i rejestru EuroGrup.</w:t>
      </w:r>
    </w:p>
    <w:p>
      <w:pPr>
        <w:pStyle w:val="Point1"/>
        <w:rPr>
          <w:noProof/>
        </w:rPr>
      </w:pPr>
      <w:r>
        <w:rPr>
          <w:noProof/>
        </w:rPr>
        <w:t>e)</w:t>
      </w:r>
      <w:r>
        <w:rPr>
          <w:noProof/>
        </w:rPr>
        <w:tab/>
        <w:t>Grupy przedsiębiorstw identyfikuje się na podstawie powiązań kontroli między ich jednostkami prawnymi zgodnie z rozporządzeniem (UE) nr 549/2013.</w:t>
      </w:r>
    </w:p>
    <w:p>
      <w:pPr>
        <w:pStyle w:val="Point1"/>
        <w:rPr>
          <w:noProof/>
        </w:rPr>
      </w:pPr>
      <w:r>
        <w:rPr>
          <w:noProof/>
        </w:rPr>
        <w:t>f)</w:t>
      </w:r>
      <w:r>
        <w:rPr>
          <w:noProof/>
        </w:rPr>
        <w:tab/>
        <w:t>W przypadku odesłania do krajowych statystycznych rejestrów przedsiębiorstw i rejestru EuroGrup niniejsze rozporządzenie ma zastosowanie tylko do jednostek, które w całości lub w części prowadzą działalność gospodarczą. Na potrzeby europejskiej sieci statystycznych rejestrów przedsiębiorstw każdą działalność polegającą na oferowaniu towarów lub usług na danym rynku uznaje się za działalność gospodarczą. Posiadanie aktywów lub pasywów może być również uznawane za działalność. Ponadto za działalność gospodarczą do celów europejskiej sieci statystycznych rejestrów przedsiębiorstw uważa się nierynkowe usługi mające wpływ na PKB oraz bezpośrednie lub pośrednie udziały kapitałowe aktywnych jednostek prawnych. Gospodarczo nieaktywne jednostki prawne stanowią część przedsiębiorstwa jednie w przypadkach, gdy występują w połączeniu z gospodarczo aktywnymi jednostkami prawnymi.</w:t>
      </w:r>
    </w:p>
    <w:p>
      <w:pPr>
        <w:pStyle w:val="Point1"/>
        <w:rPr>
          <w:noProof/>
        </w:rPr>
      </w:pPr>
      <w:r>
        <w:rPr>
          <w:noProof/>
        </w:rPr>
        <w:t>g)</w:t>
      </w:r>
      <w:r>
        <w:rPr>
          <w:noProof/>
        </w:rPr>
        <w:tab/>
        <w:t>Jednostki statystyczne w ramach europejskiej sieci statystycznych rejestrów przedsiębiorstw definiuje się jak w załączniku do rozporządzenia Rady (EWG) nr 696/93, z uwzględnieniem ograniczeń określonych w niniejszym artykule.</w:t>
      </w:r>
    </w:p>
    <w:p>
      <w:pPr>
        <w:pStyle w:val="ChapterTitle"/>
        <w:rPr>
          <w:noProof/>
        </w:rPr>
      </w:pPr>
      <w:r>
        <w:rPr>
          <w:noProof/>
        </w:rPr>
        <w:t>ROZDZIAŁ II</w:t>
      </w:r>
    </w:p>
    <w:p>
      <w:pPr>
        <w:pStyle w:val="ChapterTitle"/>
        <w:rPr>
          <w:noProof/>
        </w:rPr>
      </w:pPr>
      <w:r>
        <w:rPr>
          <w:noProof/>
        </w:rPr>
        <w:t>ŹRÓDŁA DANYCH</w:t>
      </w:r>
    </w:p>
    <w:p>
      <w:pPr>
        <w:pStyle w:val="Titrearticle"/>
        <w:rPr>
          <w:noProof/>
        </w:rPr>
      </w:pPr>
      <w:r>
        <w:rPr>
          <w:noProof/>
        </w:rPr>
        <w:t>Artykuł 4</w:t>
      </w:r>
    </w:p>
    <w:p>
      <w:pPr>
        <w:pStyle w:val="Titrearticle"/>
        <w:rPr>
          <w:noProof/>
        </w:rPr>
      </w:pPr>
      <w:r>
        <w:rPr>
          <w:noProof/>
        </w:rPr>
        <w:t>Źródła danych oraz metody</w:t>
      </w:r>
    </w:p>
    <w:p>
      <w:pPr>
        <w:pStyle w:val="ManualNumPar1"/>
        <w:rPr>
          <w:noProof/>
        </w:rPr>
      </w:pPr>
      <w:r>
        <w:t>1.</w:t>
      </w:r>
      <w:r>
        <w:tab/>
      </w:r>
      <w:r>
        <w:rPr>
          <w:noProof/>
        </w:rPr>
        <w:t>Państwa członkowskie tworzą statystyki, o których mowa w artykułach 6 i 7, oraz krajowe statystyczne rejestry przedsiębiorstw, o których mowa w art. 9, wykorzystując wszelkie odpowiednie źródła danych, przy jednoczesnym unikaniu nadmiernego obciążenia respondentów i z należytym uwzględnieniem efektywności kosztowej krajowych urzędów statystycznych. Na potrzeby tworzenia statystyk i krajowych statystycznych rejestrów przedsiębiorstw wymaganych na mocy niniejszego rozporządzenia krajowe urzędy statystyczne mogą korzystać z następujących źródeł danych:</w:t>
      </w:r>
    </w:p>
    <w:p>
      <w:pPr>
        <w:pStyle w:val="Point1"/>
        <w:rPr>
          <w:noProof/>
        </w:rPr>
      </w:pPr>
      <w:r>
        <w:rPr>
          <w:noProof/>
        </w:rPr>
        <w:t>a)</w:t>
      </w:r>
      <w:r>
        <w:rPr>
          <w:noProof/>
        </w:rPr>
        <w:tab/>
        <w:t>badania: jednostki sprawozdawcze wskazane przez państwa członkowskie są zobowiązane do przekazywania terminowych, dokładnych i kompletnych informacji koniecznych do wytworzenia statystyk i krajowych statystycznych rejestrów przedsiębiorstw wymaganych na mocy niniejszego rozporządzenia;</w:t>
      </w:r>
    </w:p>
    <w:p>
      <w:pPr>
        <w:pStyle w:val="Point1"/>
        <w:rPr>
          <w:noProof/>
        </w:rPr>
      </w:pPr>
      <w:r>
        <w:rPr>
          <w:noProof/>
        </w:rPr>
        <w:t>b)</w:t>
      </w:r>
      <w:r>
        <w:rPr>
          <w:noProof/>
        </w:rPr>
        <w:tab/>
        <w:t>rejestry administracyjne, w tym informacje z organów podatkowych i celnych;</w:t>
      </w:r>
    </w:p>
    <w:p>
      <w:pPr>
        <w:pStyle w:val="Point1"/>
        <w:rPr>
          <w:noProof/>
        </w:rPr>
      </w:pPr>
      <w:r>
        <w:rPr>
          <w:noProof/>
        </w:rPr>
        <w:t>c)</w:t>
      </w:r>
      <w:r>
        <w:rPr>
          <w:noProof/>
        </w:rPr>
        <w:tab/>
        <w:t>wymieniane dane jednostkowe;</w:t>
      </w:r>
    </w:p>
    <w:p>
      <w:pPr>
        <w:pStyle w:val="Point1"/>
        <w:rPr>
          <w:noProof/>
        </w:rPr>
      </w:pPr>
      <w:r>
        <w:rPr>
          <w:noProof/>
        </w:rPr>
        <w:t>d)</w:t>
      </w:r>
      <w:r>
        <w:rPr>
          <w:noProof/>
        </w:rPr>
        <w:tab/>
        <w:t>inne odpowiednie źródła informacji spełniające kryteria jakości, o których mowa w art. 16, w tym łączenie istniejących źródeł danych.</w:t>
      </w:r>
    </w:p>
    <w:p>
      <w:pPr>
        <w:pStyle w:val="ManualNumPar1"/>
        <w:rPr>
          <w:noProof/>
        </w:rPr>
      </w:pPr>
      <w:r>
        <w:t>2.</w:t>
      </w:r>
      <w:r>
        <w:tab/>
      </w:r>
      <w:r>
        <w:rPr>
          <w:noProof/>
        </w:rPr>
        <w:t>W przypadku gdy wymaganych statystyk nie można wytworzyć przy użyciu źródeł danych, o których mowa w ust. 1, spełniających kryteria jakości, o których mowa w art. 16, państwa członkowskie mogą do celów tworzenia tych statystyk skorzystać ze statystycznych metod szacunku i imputacji opartych na podstawach naukowych i dobrze udokumentowanych.</w:t>
      </w:r>
    </w:p>
    <w:p>
      <w:pPr>
        <w:pStyle w:val="Titrearticle"/>
        <w:rPr>
          <w:noProof/>
        </w:rPr>
      </w:pPr>
      <w:r>
        <w:rPr>
          <w:noProof/>
        </w:rPr>
        <w:t>Artykuł 5</w:t>
      </w:r>
    </w:p>
    <w:p>
      <w:pPr>
        <w:pStyle w:val="Titrearticle"/>
        <w:rPr>
          <w:noProof/>
        </w:rPr>
      </w:pPr>
      <w:r>
        <w:rPr>
          <w:noProof/>
        </w:rPr>
        <w:t xml:space="preserve">Dostęp do rejestrów administracyjnych i przekazywanie informacji </w:t>
      </w:r>
    </w:p>
    <w:p>
      <w:pPr>
        <w:pStyle w:val="ManualNumPar1"/>
        <w:rPr>
          <w:noProof/>
        </w:rPr>
      </w:pPr>
      <w:r>
        <w:t>1.</w:t>
      </w:r>
      <w:r>
        <w:tab/>
      </w:r>
      <w:r>
        <w:rPr>
          <w:noProof/>
        </w:rPr>
        <w:t>Zgodnie z zasadami określonymi w art. 17a rozporządzenia (WE) nr 223/2009 krajowe urzędy statystyczne oraz Komisja (Eurostat) mają prawo do szybkiego i bezpłatnego dostępu do wszystkich rejestrów administracyjnych, do korzystania z nich na tej samej zasadzie oraz do łączenia tych rejestrów z innymi źródłami danych w celu spełnienia wymogów statystycznych na podstawie niniejszego rozporządzenia i aktualizacji krajowych statystycznych rejestrów przedsiębiorstw i rejestru EuroGrup. Dostęp krajowych urzędów statystycznych i Komisji (Eurostatu) jest ograniczony do rejestrów administracyjnych w ramach ich własnych odpowiednich systemów administracji publicznej.</w:t>
      </w:r>
    </w:p>
    <w:p>
      <w:pPr>
        <w:pStyle w:val="ManualNumPar1"/>
        <w:rPr>
          <w:noProof/>
        </w:rPr>
      </w:pPr>
      <w:r>
        <w:t>2.</w:t>
      </w:r>
      <w:r>
        <w:tab/>
      </w:r>
      <w:r>
        <w:rPr>
          <w:noProof/>
        </w:rPr>
        <w:t>Bez uszczerbku dla ust. 1 organ podatkowy w każdym państwie członkowskim dostarcza krajowemu urzędowi statystycznemu informacje dotyczące wywozu i przywozu towarów.</w:t>
      </w:r>
    </w:p>
    <w:p>
      <w:pPr>
        <w:pStyle w:val="Text1"/>
        <w:ind w:left="851"/>
        <w:rPr>
          <w:noProof/>
        </w:rPr>
      </w:pPr>
      <w:r>
        <w:rPr>
          <w:noProof/>
        </w:rPr>
        <w:t>Komisja jest uprawniona do przyjmowania aktów delegowanych zgodnie z art. 21 w celu określenia dokładnych informacji, które mają być dostarczane przez organy podatkowe.</w:t>
      </w:r>
    </w:p>
    <w:p>
      <w:pPr>
        <w:pStyle w:val="ManualNumPar1"/>
        <w:rPr>
          <w:noProof/>
        </w:rPr>
      </w:pPr>
      <w:r>
        <w:t>3.</w:t>
      </w:r>
      <w:r>
        <w:tab/>
      </w:r>
      <w:r>
        <w:rPr>
          <w:noProof/>
        </w:rPr>
        <w:t>Bez uszczerbku dla ust. 1 organ celny w każdym państwie członkowskim dostarcza krajowemu urzędowi statystycznemu informacje dotyczące wywozu i przywozu towarów.</w:t>
      </w:r>
    </w:p>
    <w:p>
      <w:pPr>
        <w:pStyle w:val="Text1"/>
        <w:ind w:left="851"/>
        <w:rPr>
          <w:noProof/>
        </w:rPr>
      </w:pPr>
      <w:r>
        <w:rPr>
          <w:noProof/>
        </w:rPr>
        <w:t>Komisja jest uprawniona do przyjmowania aktów delegowanych zgodnie z art. 21 w celu określenia dokładnych informacji, które mają być dostarczane przez organy celne.</w:t>
      </w:r>
    </w:p>
    <w:p>
      <w:pPr>
        <w:pStyle w:val="ManualNumPar1"/>
        <w:rPr>
          <w:noProof/>
        </w:rPr>
      </w:pPr>
      <w:r>
        <w:t>4.</w:t>
      </w:r>
      <w:r>
        <w:tab/>
      </w:r>
      <w:r>
        <w:rPr>
          <w:noProof/>
        </w:rPr>
        <w:t>W celu tworzenia statystyk dotyczących międzynarodowego handlu towarami i poprawy jakości tych statystyk krajowe urzędy statystyczne zainteresowanych państw członkowskich mogą wymieniać dane otrzymane od swoich organów celnych dotyczące wywozu lub przywozu towarów, w szczególności wówczas, gdy w ten wywóz lub przywóz zaangażowane są organy celne więcej niż jednego państwa członkowskiego.</w:t>
      </w:r>
    </w:p>
    <w:p>
      <w:pPr>
        <w:pStyle w:val="ManualNumPar1"/>
        <w:rPr>
          <w:noProof/>
        </w:rPr>
      </w:pPr>
      <w:r>
        <w:t>5.</w:t>
      </w:r>
      <w:r>
        <w:tab/>
      </w:r>
      <w:r>
        <w:rPr>
          <w:noProof/>
        </w:rPr>
        <w:t>Komisja jest uprawniona do przyjmowania aktów wykonawczych zgodnie z procedurą sprawdzającą, o której mowa w art. 22 ust. 2, w celu określenia zasad wymiany danych zgodnie z niniejszym artykułem.</w:t>
      </w:r>
    </w:p>
    <w:p>
      <w:pPr>
        <w:pStyle w:val="ChapterTitle"/>
        <w:rPr>
          <w:noProof/>
        </w:rPr>
      </w:pPr>
      <w:r>
        <w:rPr>
          <w:noProof/>
        </w:rPr>
        <w:t>ROZDZIAŁ III</w:t>
      </w:r>
    </w:p>
    <w:p>
      <w:pPr>
        <w:pStyle w:val="ChapterTitle"/>
        <w:rPr>
          <w:noProof/>
        </w:rPr>
      </w:pPr>
      <w:r>
        <w:rPr>
          <w:noProof/>
        </w:rPr>
        <w:t>STATYSTYKA GOSPODARCZA</w:t>
      </w:r>
    </w:p>
    <w:p>
      <w:pPr>
        <w:pStyle w:val="Titrearticle"/>
        <w:ind w:left="851" w:hanging="851"/>
        <w:rPr>
          <w:noProof/>
        </w:rPr>
      </w:pPr>
      <w:r>
        <w:rPr>
          <w:noProof/>
        </w:rPr>
        <w:t>Artykuł 6</w:t>
      </w:r>
    </w:p>
    <w:p>
      <w:pPr>
        <w:pStyle w:val="Titrearticle"/>
        <w:rPr>
          <w:noProof/>
        </w:rPr>
      </w:pPr>
      <w:r>
        <w:rPr>
          <w:noProof/>
        </w:rPr>
        <w:t xml:space="preserve">Wymogi dotyczące danych </w:t>
      </w:r>
    </w:p>
    <w:p>
      <w:pPr>
        <w:pStyle w:val="ManualNumPar1"/>
        <w:rPr>
          <w:noProof/>
        </w:rPr>
      </w:pPr>
      <w:r>
        <w:t>1.</w:t>
      </w:r>
      <w:r>
        <w:tab/>
      </w:r>
      <w:r>
        <w:rPr>
          <w:noProof/>
        </w:rPr>
        <w:t>Europejska statystyka gospodarcza obejmuje następujące dziedziny:</w:t>
      </w:r>
    </w:p>
    <w:p>
      <w:pPr>
        <w:pStyle w:val="Point1"/>
        <w:rPr>
          <w:noProof/>
        </w:rPr>
      </w:pPr>
      <w:r>
        <w:rPr>
          <w:noProof/>
        </w:rPr>
        <w:t>a)</w:t>
      </w:r>
      <w:r>
        <w:rPr>
          <w:noProof/>
        </w:rPr>
        <w:tab/>
        <w:t>krótkookresowa statystyka gospodarcza;</w:t>
      </w:r>
    </w:p>
    <w:p>
      <w:pPr>
        <w:pStyle w:val="Point1"/>
        <w:rPr>
          <w:noProof/>
        </w:rPr>
      </w:pPr>
      <w:r>
        <w:rPr>
          <w:noProof/>
        </w:rPr>
        <w:t>b)</w:t>
      </w:r>
      <w:r>
        <w:rPr>
          <w:noProof/>
        </w:rPr>
        <w:tab/>
        <w:t>statystyka gospodarcza na poziomie krajowym;</w:t>
      </w:r>
    </w:p>
    <w:p>
      <w:pPr>
        <w:pStyle w:val="Point1"/>
        <w:rPr>
          <w:noProof/>
        </w:rPr>
      </w:pPr>
      <w:r>
        <w:rPr>
          <w:noProof/>
        </w:rPr>
        <w:t>c)</w:t>
      </w:r>
      <w:r>
        <w:rPr>
          <w:noProof/>
        </w:rPr>
        <w:tab/>
        <w:t>regionalna statystyka gospodarcza;</w:t>
      </w:r>
    </w:p>
    <w:p>
      <w:pPr>
        <w:pStyle w:val="Point1"/>
        <w:rPr>
          <w:noProof/>
        </w:rPr>
      </w:pPr>
      <w:r>
        <w:rPr>
          <w:noProof/>
        </w:rPr>
        <w:t>d)</w:t>
      </w:r>
      <w:r>
        <w:rPr>
          <w:noProof/>
        </w:rPr>
        <w:tab/>
        <w:t>statystyka dotycząca działalności międzynarodowej.</w:t>
      </w:r>
    </w:p>
    <w:p>
      <w:pPr>
        <w:pStyle w:val="ManualNumPar1"/>
        <w:rPr>
          <w:noProof/>
        </w:rPr>
      </w:pPr>
      <w:r>
        <w:t>2.</w:t>
      </w:r>
      <w:r>
        <w:tab/>
      </w:r>
      <w:r>
        <w:rPr>
          <w:noProof/>
        </w:rPr>
        <w:t>Dziedziny te obejmują jeden lub więcej z następujących tematów, opisanych bardziej szczegółowo w załączniku I:</w:t>
      </w:r>
    </w:p>
    <w:p>
      <w:pPr>
        <w:pStyle w:val="Point1"/>
        <w:rPr>
          <w:noProof/>
        </w:rPr>
      </w:pPr>
      <w:r>
        <w:rPr>
          <w:noProof/>
        </w:rPr>
        <w:t>a)</w:t>
      </w:r>
      <w:r>
        <w:rPr>
          <w:noProof/>
        </w:rPr>
        <w:tab/>
        <w:t>populacja podmiotów prowadzących działalność gospodarczą;</w:t>
      </w:r>
    </w:p>
    <w:p>
      <w:pPr>
        <w:pStyle w:val="Point1"/>
        <w:rPr>
          <w:noProof/>
        </w:rPr>
      </w:pPr>
      <w:r>
        <w:rPr>
          <w:noProof/>
        </w:rPr>
        <w:t>b)</w:t>
      </w:r>
      <w:r>
        <w:rPr>
          <w:noProof/>
        </w:rPr>
        <w:tab/>
        <w:t>globalne łańcuchy wartości;</w:t>
      </w:r>
    </w:p>
    <w:p>
      <w:pPr>
        <w:pStyle w:val="Point1"/>
        <w:rPr>
          <w:noProof/>
        </w:rPr>
      </w:pPr>
      <w:r>
        <w:rPr>
          <w:noProof/>
        </w:rPr>
        <w:t>c)</w:t>
      </w:r>
      <w:r>
        <w:rPr>
          <w:noProof/>
        </w:rPr>
        <w:tab/>
        <w:t>wykorzystanie technologii informacyjno-telekomunikacyjnych i handel elektroniczny;</w:t>
      </w:r>
    </w:p>
    <w:p>
      <w:pPr>
        <w:pStyle w:val="Point1"/>
        <w:rPr>
          <w:noProof/>
        </w:rPr>
      </w:pPr>
      <w:r>
        <w:rPr>
          <w:noProof/>
        </w:rPr>
        <w:t>d)</w:t>
      </w:r>
      <w:r>
        <w:rPr>
          <w:noProof/>
        </w:rPr>
        <w:tab/>
        <w:t>innowacje;</w:t>
      </w:r>
    </w:p>
    <w:p>
      <w:pPr>
        <w:pStyle w:val="Point1"/>
        <w:rPr>
          <w:noProof/>
        </w:rPr>
      </w:pPr>
      <w:r>
        <w:rPr>
          <w:noProof/>
        </w:rPr>
        <w:t>e)</w:t>
      </w:r>
      <w:r>
        <w:rPr>
          <w:noProof/>
        </w:rPr>
        <w:tab/>
        <w:t>międzynarodowy handel towarami;</w:t>
      </w:r>
    </w:p>
    <w:p>
      <w:pPr>
        <w:pStyle w:val="Point1"/>
        <w:rPr>
          <w:noProof/>
        </w:rPr>
      </w:pPr>
      <w:r>
        <w:rPr>
          <w:noProof/>
        </w:rPr>
        <w:t>f)</w:t>
      </w:r>
      <w:r>
        <w:rPr>
          <w:noProof/>
        </w:rPr>
        <w:tab/>
        <w:t>międzynarodowy handel usługami;</w:t>
      </w:r>
    </w:p>
    <w:p>
      <w:pPr>
        <w:pStyle w:val="Point1"/>
        <w:rPr>
          <w:noProof/>
        </w:rPr>
      </w:pPr>
      <w:r>
        <w:rPr>
          <w:noProof/>
        </w:rPr>
        <w:t>g)</w:t>
      </w:r>
      <w:r>
        <w:rPr>
          <w:noProof/>
        </w:rPr>
        <w:tab/>
        <w:t>nakłady inwestycyjne;</w:t>
      </w:r>
    </w:p>
    <w:p>
      <w:pPr>
        <w:pStyle w:val="Point1"/>
        <w:rPr>
          <w:noProof/>
        </w:rPr>
      </w:pPr>
      <w:r>
        <w:rPr>
          <w:noProof/>
        </w:rPr>
        <w:t>h)</w:t>
      </w:r>
      <w:r>
        <w:rPr>
          <w:noProof/>
        </w:rPr>
        <w:tab/>
        <w:t>nakłady pracy;</w:t>
      </w:r>
    </w:p>
    <w:p>
      <w:pPr>
        <w:pStyle w:val="Point1"/>
        <w:rPr>
          <w:noProof/>
        </w:rPr>
      </w:pPr>
      <w:r>
        <w:rPr>
          <w:noProof/>
        </w:rPr>
        <w:t>i)</w:t>
      </w:r>
      <w:r>
        <w:rPr>
          <w:noProof/>
        </w:rPr>
        <w:tab/>
        <w:t>produkcja i wyniki działalności;</w:t>
      </w:r>
    </w:p>
    <w:p>
      <w:pPr>
        <w:pStyle w:val="Point1"/>
        <w:rPr>
          <w:noProof/>
        </w:rPr>
      </w:pPr>
      <w:r>
        <w:rPr>
          <w:noProof/>
        </w:rPr>
        <w:t>j)</w:t>
      </w:r>
      <w:r>
        <w:rPr>
          <w:noProof/>
        </w:rPr>
        <w:tab/>
        <w:t>zezwolenia;</w:t>
      </w:r>
    </w:p>
    <w:p>
      <w:pPr>
        <w:pStyle w:val="Point1"/>
        <w:rPr>
          <w:noProof/>
        </w:rPr>
      </w:pPr>
      <w:r>
        <w:rPr>
          <w:noProof/>
        </w:rPr>
        <w:t>k)</w:t>
      </w:r>
      <w:r>
        <w:rPr>
          <w:noProof/>
        </w:rPr>
        <w:tab/>
        <w:t>ceny;</w:t>
      </w:r>
    </w:p>
    <w:p>
      <w:pPr>
        <w:pStyle w:val="Point1"/>
        <w:rPr>
          <w:noProof/>
        </w:rPr>
      </w:pPr>
      <w:r>
        <w:rPr>
          <w:noProof/>
        </w:rPr>
        <w:t>l)</w:t>
      </w:r>
      <w:r>
        <w:rPr>
          <w:noProof/>
        </w:rPr>
        <w:tab/>
        <w:t>zakupy;</w:t>
      </w:r>
    </w:p>
    <w:p>
      <w:pPr>
        <w:pStyle w:val="Point1"/>
        <w:rPr>
          <w:noProof/>
        </w:rPr>
      </w:pPr>
      <w:r>
        <w:rPr>
          <w:noProof/>
        </w:rPr>
        <w:t>m)</w:t>
      </w:r>
      <w:r>
        <w:rPr>
          <w:noProof/>
        </w:rPr>
        <w:tab/>
        <w:t>nakłady na działalność badawczą i rozwojową.</w:t>
      </w:r>
    </w:p>
    <w:p>
      <w:pPr>
        <w:pStyle w:val="ManualNumPar1"/>
        <w:rPr>
          <w:noProof/>
        </w:rPr>
      </w:pPr>
      <w:r>
        <w:t>3.</w:t>
      </w:r>
      <w:r>
        <w:tab/>
      </w:r>
      <w:r>
        <w:rPr>
          <w:noProof/>
        </w:rPr>
        <w:t xml:space="preserve">Częstotliwość w odniesieniu do każdego tematu jest określona w załączniku II. </w:t>
      </w:r>
    </w:p>
    <w:p>
      <w:pPr>
        <w:pStyle w:val="ManualNumPar1"/>
        <w:rPr>
          <w:noProof/>
        </w:rPr>
      </w:pPr>
      <w:r>
        <w:t>4.</w:t>
      </w:r>
      <w:r>
        <w:tab/>
      </w:r>
      <w:r>
        <w:rPr>
          <w:noProof/>
        </w:rPr>
        <w:t>Komisja jest uprawniona do przyjmowania aktów delegowanych zgodnie z art. 21 w celu zmiany tematów szczegółowych określonych w załączniku I oraz w celu określenia zakresu tematycznego i cech objętych tematami szczegółowymi: innowacje, wykorzystanie technologii informacyjno-telekomunikacyjnych i handel elektroniczny oraz globalne łańcuchy wartości.</w:t>
      </w:r>
    </w:p>
    <w:p>
      <w:pPr>
        <w:pStyle w:val="ManualNumPar1"/>
        <w:rPr>
          <w:noProof/>
        </w:rPr>
      </w:pPr>
      <w:r>
        <w:t>5.</w:t>
      </w:r>
      <w:r>
        <w:tab/>
      </w:r>
      <w:r>
        <w:rPr>
          <w:noProof/>
        </w:rPr>
        <w:t>Przy wykonywaniu swoich uprawnień do przyjmowania aktów delegowanych Komisja zapewnia spełnienie trzech następujących warunków:</w:t>
      </w:r>
    </w:p>
    <w:p>
      <w:pPr>
        <w:pStyle w:val="Point1"/>
        <w:rPr>
          <w:noProof/>
        </w:rPr>
      </w:pPr>
      <w:r>
        <w:rPr>
          <w:noProof/>
        </w:rPr>
        <w:t>a)</w:t>
      </w:r>
      <w:r>
        <w:rPr>
          <w:noProof/>
        </w:rPr>
        <w:tab/>
        <w:t xml:space="preserve"> akty delegowane mają na celu neutralność lub obniżenie kosztów i obciążenia i w żadnym razie nie nakładają znaczących dodatkowych kosztów ani obciążenia na państwa członkowskie ani na respondentów;</w:t>
      </w:r>
    </w:p>
    <w:p>
      <w:pPr>
        <w:pStyle w:val="Point1"/>
        <w:rPr>
          <w:noProof/>
        </w:rPr>
      </w:pPr>
      <w:r>
        <w:rPr>
          <w:noProof/>
        </w:rPr>
        <w:t>b)</w:t>
      </w:r>
      <w:r>
        <w:rPr>
          <w:noProof/>
        </w:rPr>
        <w:tab/>
        <w:t xml:space="preserve">w obowiązującym akcie delegowanym przez okres pięciu kolejnych lat nie dodaje się ani nie zastępuje innym tematem szczegółowym więcej niż jednego tematu szczegółowego w dziedzinie „krótkookresowa statystyka gospodarcza”, więcej niż pięć tematów szczegółowych w dziedzinie „statystyka gospodarcza na poziomie krajowym”, więcej niż dwa tematy szczegółowe w dziedzinie „regionalna statystyka gospodarcza” i więcej niż dwa tematy szczegółowe w dziedzinie „statystyka dotycząca działalności międzynarodowej”. Te maksymalne progi nie mają zastosowania do zmian, które wynikają z umów, traktatów i konwencji oraz innych instytucji międzynarodowych, w których Unia jest członkiem, i do zmian wynikających ze zmian standardów dotyczących zestawiania rachunków narodowych i regionalnych zgodnie z rozporządzeniem (WE) nr 549/2013 i statystyk bilansu płatniczego zgodnie z rozporządzeniem (WE) nr 184/2005.Liczba cech tematów szczegółowych dynamicznej statystyki gospodarczej nie może się między kolejnymi okresami referencyjnymi znacząco zwiększyć i nie może przekraczać liczby cech w pierwszym roku wykonania niniejszego rozporządzenia; </w:t>
      </w:r>
    </w:p>
    <w:p>
      <w:pPr>
        <w:pStyle w:val="Point1"/>
        <w:rPr>
          <w:noProof/>
        </w:rPr>
      </w:pPr>
      <w:r>
        <w:rPr>
          <w:noProof/>
        </w:rPr>
        <w:t>c)</w:t>
      </w:r>
      <w:r>
        <w:rPr>
          <w:noProof/>
        </w:rPr>
        <w:tab/>
        <w:t xml:space="preserve"> akty delegowane przyjmuje się co najmniej 15 miesięcy przed końcem okresu referencyjnego dla danych, których dotyczą te akty, z wyjątkiem tematów „innowacje” i „wykorzystanie technologii informacyjno-telekomunikacyjnych i handel elektroniczny”, w przypadku których akty delegowane przyjmuje się co najmniej odpowiednio sześć i dwanaście miesięcy przed końcem okresu referencyjnego.</w:t>
      </w:r>
    </w:p>
    <w:p>
      <w:pPr>
        <w:pStyle w:val="Titrearticle"/>
        <w:rPr>
          <w:noProof/>
        </w:rPr>
      </w:pPr>
      <w:r>
        <w:rPr>
          <w:noProof/>
        </w:rPr>
        <w:t>Artykuł 7</w:t>
      </w:r>
    </w:p>
    <w:p>
      <w:pPr>
        <w:pStyle w:val="Titrearticle"/>
        <w:rPr>
          <w:noProof/>
        </w:rPr>
      </w:pPr>
      <w:r>
        <w:rPr>
          <w:noProof/>
        </w:rPr>
        <w:t>Opis techniczny wymogów dotyczących danych</w:t>
      </w:r>
    </w:p>
    <w:p>
      <w:pPr>
        <w:pStyle w:val="ManualNumPar1"/>
        <w:rPr>
          <w:noProof/>
        </w:rPr>
      </w:pPr>
      <w:r>
        <w:t>1.</w:t>
      </w:r>
      <w:r>
        <w:tab/>
      </w:r>
      <w:r>
        <w:rPr>
          <w:noProof/>
        </w:rPr>
        <w:t>W odniesieniu do tematów szczegółowych określonych w załączniku I dane odnoszące się do każdego tematu szczegółowego są opracowywane przez państwa członkowskie. Komisja jest uprawniona do przyjmowania aktów wykonawczych w celu doprecyzowania następujących elementów określających dane, które mają być przekazywane na podstawie niniejszego rozporządzenia, ich definicji technicznych i uproszczeń:</w:t>
      </w:r>
    </w:p>
    <w:p>
      <w:pPr>
        <w:pStyle w:val="Point1"/>
        <w:rPr>
          <w:noProof/>
        </w:rPr>
      </w:pPr>
      <w:r>
        <w:rPr>
          <w:noProof/>
        </w:rPr>
        <w:t>a)</w:t>
      </w:r>
      <w:r>
        <w:rPr>
          <w:noProof/>
        </w:rPr>
        <w:tab/>
        <w:t>zmienne (z wyjątkiem tematów szczegółowych: innowacje, wykorzystanie technologii informacyjno-telekomunikacyjnych i handel elektroniczny oraz globalne łańcuchy wartości);</w:t>
      </w:r>
    </w:p>
    <w:p>
      <w:pPr>
        <w:pStyle w:val="Point1"/>
        <w:rPr>
          <w:noProof/>
        </w:rPr>
      </w:pPr>
      <w:r>
        <w:rPr>
          <w:noProof/>
        </w:rPr>
        <w:t>b)</w:t>
      </w:r>
      <w:r>
        <w:rPr>
          <w:noProof/>
        </w:rPr>
        <w:tab/>
        <w:t>jednostka statystyczna;</w:t>
      </w:r>
    </w:p>
    <w:p>
      <w:pPr>
        <w:pStyle w:val="Point1"/>
        <w:rPr>
          <w:noProof/>
        </w:rPr>
      </w:pPr>
      <w:r>
        <w:rPr>
          <w:noProof/>
        </w:rPr>
        <w:t>c)</w:t>
      </w:r>
      <w:r>
        <w:rPr>
          <w:noProof/>
        </w:rPr>
        <w:tab/>
        <w:t>jednostka miary;</w:t>
      </w:r>
    </w:p>
    <w:p>
      <w:pPr>
        <w:pStyle w:val="Point1"/>
        <w:rPr>
          <w:noProof/>
        </w:rPr>
      </w:pPr>
      <w:r>
        <w:rPr>
          <w:noProof/>
        </w:rPr>
        <w:t>d)</w:t>
      </w:r>
      <w:r>
        <w:rPr>
          <w:noProof/>
        </w:rPr>
        <w:tab/>
        <w:t>okres odniesienia;</w:t>
      </w:r>
    </w:p>
    <w:p>
      <w:pPr>
        <w:pStyle w:val="Point1"/>
        <w:rPr>
          <w:noProof/>
        </w:rPr>
      </w:pPr>
      <w:r>
        <w:rPr>
          <w:noProof/>
        </w:rPr>
        <w:t>e)</w:t>
      </w:r>
      <w:r>
        <w:rPr>
          <w:noProof/>
        </w:rPr>
        <w:tab/>
        <w:t>populacja statystyczna (w tym wymogi w zakresie działalności lub producentów rynkowych/nierynkowych);</w:t>
      </w:r>
    </w:p>
    <w:p>
      <w:pPr>
        <w:pStyle w:val="Point1"/>
        <w:rPr>
          <w:noProof/>
        </w:rPr>
      </w:pPr>
      <w:r>
        <w:rPr>
          <w:noProof/>
        </w:rPr>
        <w:t>f)</w:t>
      </w:r>
      <w:r>
        <w:rPr>
          <w:noProof/>
        </w:rPr>
        <w:tab/>
        <w:t xml:space="preserve">klasyfikacje (w tym wykazy produktów, krajów i terytoriów, jak również rodzajów transakcji) oraz przekroje; </w:t>
      </w:r>
    </w:p>
    <w:p>
      <w:pPr>
        <w:pStyle w:val="Point1"/>
        <w:rPr>
          <w:noProof/>
        </w:rPr>
      </w:pPr>
      <w:r>
        <w:rPr>
          <w:noProof/>
        </w:rPr>
        <w:t>g)</w:t>
      </w:r>
      <w:r>
        <w:rPr>
          <w:noProof/>
        </w:rPr>
        <w:tab/>
        <w:t>przekazywanie indywidualnych zestawów danych na zasadzie dobrowolności;</w:t>
      </w:r>
    </w:p>
    <w:p>
      <w:pPr>
        <w:pStyle w:val="Point1"/>
        <w:rPr>
          <w:noProof/>
        </w:rPr>
      </w:pPr>
      <w:r>
        <w:rPr>
          <w:noProof/>
        </w:rPr>
        <w:t>h)</w:t>
      </w:r>
      <w:r>
        <w:rPr>
          <w:noProof/>
        </w:rPr>
        <w:tab/>
        <w:t>wykorzystanie szacunków i wymogi dotyczące jakości;</w:t>
      </w:r>
    </w:p>
    <w:p>
      <w:pPr>
        <w:pStyle w:val="Point1"/>
        <w:rPr>
          <w:noProof/>
        </w:rPr>
      </w:pPr>
      <w:r>
        <w:rPr>
          <w:noProof/>
        </w:rPr>
        <w:t>i)</w:t>
      </w:r>
      <w:r>
        <w:rPr>
          <w:noProof/>
        </w:rPr>
        <w:tab/>
        <w:t>terminy przekazywania danych;</w:t>
      </w:r>
    </w:p>
    <w:p>
      <w:pPr>
        <w:pStyle w:val="Point1"/>
        <w:rPr>
          <w:noProof/>
        </w:rPr>
      </w:pPr>
      <w:r>
        <w:rPr>
          <w:noProof/>
        </w:rPr>
        <w:t>j)</w:t>
      </w:r>
      <w:r>
        <w:rPr>
          <w:noProof/>
        </w:rPr>
        <w:tab/>
        <w:t>pierwszy okres referencyjny;</w:t>
      </w:r>
    </w:p>
    <w:p>
      <w:pPr>
        <w:pStyle w:val="Point1"/>
        <w:rPr>
          <w:noProof/>
        </w:rPr>
      </w:pPr>
      <w:r>
        <w:rPr>
          <w:noProof/>
        </w:rPr>
        <w:t>k)</w:t>
      </w:r>
      <w:r>
        <w:rPr>
          <w:noProof/>
        </w:rPr>
        <w:tab/>
        <w:t>ważenie i zmiana roku bazowego dla dziedziny „krótkookresowa statystyka gospodarcza”;</w:t>
      </w:r>
    </w:p>
    <w:p>
      <w:pPr>
        <w:pStyle w:val="Point1"/>
        <w:rPr>
          <w:noProof/>
        </w:rPr>
      </w:pPr>
      <w:r>
        <w:rPr>
          <w:noProof/>
        </w:rPr>
        <w:t>l)</w:t>
      </w:r>
      <w:r>
        <w:rPr>
          <w:noProof/>
        </w:rPr>
        <w:tab/>
        <w:t>opis techniczny dla tematu „międzynarodowy handel towarami”.</w:t>
      </w:r>
    </w:p>
    <w:p>
      <w:pPr>
        <w:pStyle w:val="ManualNumPar1"/>
        <w:rPr>
          <w:noProof/>
        </w:rPr>
      </w:pPr>
      <w:r>
        <w:t>2.</w:t>
      </w:r>
      <w:r>
        <w:tab/>
      </w:r>
      <w:r>
        <w:rPr>
          <w:noProof/>
        </w:rPr>
        <w:t xml:space="preserve">Przy wykonywaniu uprawnień, o których mowa w ust. 1, w odniesieniu do uproszczeń Komisja bierze pod uwagę wielkość i znaczenie krajów, zgodnie z zasadą proporcjonalności, w celu zmniejszenia obciążenia przedsiębiorstw. Ponadto Komisja zapewnia, by zachowany był wkład niezbędny dla standardów dotyczących zestawiania rachunków narodowych i regionalnych zgodnie z rozporządzeniem (WE) nr 549/2013 i statystyk bilansu płatniczego zgodnie z rozporządzeniem (WE) nr 184/2005. Akty wykonawcze, z wyjątkiem tych regulujących pierwsze wykonanie niniejszego rozporządzenia, przyjmuje się co najmniej 15 miesięcy przed końcem okresu referencyjnego dla tematów wymienionych w załączniku I. W przypadku tematów „innowacje” i „wykorzystanie technologii informacyjno-telekomunikacyjnych i handel elektroniczny” akty wykonawcze przyjmuje się co najmniej odpowiednio sześć i dwanaście miesięcy przed końcem okresu referencyjnego. </w:t>
      </w:r>
    </w:p>
    <w:p>
      <w:pPr>
        <w:pStyle w:val="ManualNumPar1"/>
        <w:rPr>
          <w:noProof/>
        </w:rPr>
      </w:pPr>
      <w:r>
        <w:t>3.</w:t>
      </w:r>
      <w:r>
        <w:tab/>
      </w:r>
      <w:r>
        <w:rPr>
          <w:noProof/>
        </w:rPr>
        <w:t>Akty wykonawcze, o których mowa w ust. 1, przyjmuje się zgodnie z procedurą sprawdzającą, o której mowa w art. 22 ust. 2.</w:t>
      </w:r>
    </w:p>
    <w:p>
      <w:pPr>
        <w:pStyle w:val="ChapterTitle"/>
        <w:rPr>
          <w:noProof/>
        </w:rPr>
      </w:pPr>
      <w:r>
        <w:rPr>
          <w:noProof/>
        </w:rPr>
        <w:t xml:space="preserve">ROZDZIAŁ IV </w:t>
      </w:r>
    </w:p>
    <w:p>
      <w:pPr>
        <w:pStyle w:val="ChapterTitle"/>
        <w:rPr>
          <w:noProof/>
        </w:rPr>
      </w:pPr>
      <w:r>
        <w:rPr>
          <w:noProof/>
        </w:rPr>
        <w:t>REJESTRY PRZEDSIĘBIORSTW</w:t>
      </w:r>
    </w:p>
    <w:p>
      <w:pPr>
        <w:pStyle w:val="Titrearticle"/>
        <w:rPr>
          <w:noProof/>
        </w:rPr>
      </w:pPr>
      <w:r>
        <w:rPr>
          <w:noProof/>
        </w:rPr>
        <w:t>Artykuł 8</w:t>
      </w:r>
    </w:p>
    <w:p>
      <w:pPr>
        <w:pStyle w:val="Titrearticle"/>
        <w:rPr>
          <w:noProof/>
        </w:rPr>
      </w:pPr>
      <w:r>
        <w:rPr>
          <w:noProof/>
        </w:rPr>
        <w:t xml:space="preserve">Europejska sieć statystycznych rejestrów przedsiębiorstw </w:t>
      </w:r>
    </w:p>
    <w:p>
      <w:pPr>
        <w:pStyle w:val="ManualNumPar1"/>
        <w:rPr>
          <w:noProof/>
        </w:rPr>
      </w:pPr>
      <w:r>
        <w:t>1.</w:t>
      </w:r>
      <w:r>
        <w:tab/>
      </w:r>
      <w:r>
        <w:rPr>
          <w:noProof/>
        </w:rPr>
        <w:t xml:space="preserve">Komisja (Eurostat) tworzy na poziomie Unii rejestr EuroGrup wielonarodowych grup przedsiębiorstw do celów statystycznych. </w:t>
      </w:r>
    </w:p>
    <w:p>
      <w:pPr>
        <w:pStyle w:val="ManualNumPar1"/>
        <w:rPr>
          <w:noProof/>
        </w:rPr>
      </w:pPr>
      <w:r>
        <w:t>2.</w:t>
      </w:r>
      <w:r>
        <w:tab/>
      </w:r>
      <w:r>
        <w:rPr>
          <w:noProof/>
        </w:rPr>
        <w:t>Państwa członkowskie tworzą na poziomie krajowym jeden lub więcej zharmonizowanych krajowych statystycznych rejestrów przedsiębiorstw jako podstawę przygotowywania i koordynacji badań, jako źródło informacji do analizy statystycznej dotyczącej populacji podmiotów prowadzących działalność gospodarczą i ich demografii, w celu wykorzystania danych administracyjnych oraz w celu identyfikacji i budowy jednostek statystycznych.</w:t>
      </w:r>
    </w:p>
    <w:p>
      <w:pPr>
        <w:pStyle w:val="ManualNumPar1"/>
        <w:rPr>
          <w:noProof/>
        </w:rPr>
      </w:pPr>
      <w:r>
        <w:t>3.</w:t>
      </w:r>
      <w:r>
        <w:tab/>
      </w:r>
      <w:r>
        <w:rPr>
          <w:noProof/>
        </w:rPr>
        <w:t>Państwa członkowskie i Komisja (Eurostat) prowadzą wymianę danych na potrzeby europejskiej sieci statystycznych rejestrów przedsiębiorstw, jak określono w art. 10.</w:t>
      </w:r>
    </w:p>
    <w:p>
      <w:pPr>
        <w:pStyle w:val="ManualNumPar1"/>
        <w:rPr>
          <w:noProof/>
        </w:rPr>
      </w:pPr>
      <w:r>
        <w:t>4.</w:t>
      </w:r>
      <w:r>
        <w:tab/>
      </w:r>
      <w:r>
        <w:rPr>
          <w:noProof/>
        </w:rPr>
        <w:t xml:space="preserve">Krajowe statystyczne rejestry przedsiębiorstw i rejestr EuroGrup stanowią autorytatywne źródło uzyskiwania wysokiej jakości, spójnych i skoordynowanych populacji rejestrów zgodnie z art. 16 niniejszego rozporządzenia, służących do sporządzania europejskich statystyk. </w:t>
      </w:r>
    </w:p>
    <w:p>
      <w:pPr>
        <w:pStyle w:val="Text1"/>
        <w:rPr>
          <w:noProof/>
        </w:rPr>
      </w:pPr>
      <w:r>
        <w:rPr>
          <w:noProof/>
        </w:rPr>
        <w:t>Krajowe statystyczne rejestry przedsiębiorstw stanowią autorytatywne źródło krajowych populacji rejestrów. Rejestr EuroGrup stanowi autorytatywne źródło dla populacji rejestru Europejskiego Systemu Statystycznego do celów statystyki gospodarczej wymagające koordynacji informacji transgranicznych.</w:t>
      </w:r>
    </w:p>
    <w:p>
      <w:pPr>
        <w:pStyle w:val="Titrearticle"/>
        <w:rPr>
          <w:noProof/>
        </w:rPr>
      </w:pPr>
      <w:r>
        <w:rPr>
          <w:noProof/>
        </w:rPr>
        <w:t>Artykuł 9</w:t>
      </w:r>
    </w:p>
    <w:p>
      <w:pPr>
        <w:pStyle w:val="Titrearticle"/>
        <w:rPr>
          <w:noProof/>
        </w:rPr>
      </w:pPr>
      <w:r>
        <w:rPr>
          <w:noProof/>
        </w:rPr>
        <w:t>Wymogi dotyczące europejskiej sieci statystycznych rejestrów przedsiębiorstw</w:t>
      </w:r>
    </w:p>
    <w:p>
      <w:pPr>
        <w:pStyle w:val="ManualNumPar1"/>
        <w:rPr>
          <w:noProof/>
        </w:rPr>
      </w:pPr>
      <w:r>
        <w:t>1.</w:t>
      </w:r>
      <w:r>
        <w:tab/>
      </w:r>
      <w:r>
        <w:rPr>
          <w:noProof/>
        </w:rPr>
        <w:t>Jednostki statystyczne i prawne objęte europejską siecią statystycznych rejestrów przedsiębiorstw zgodnie z art. 8 charakteryzują się następującymi elementami, opisanymi bardziej szczegółowo w załączniku III:</w:t>
      </w:r>
    </w:p>
    <w:p>
      <w:pPr>
        <w:pStyle w:val="Point1"/>
        <w:rPr>
          <w:noProof/>
        </w:rPr>
      </w:pPr>
      <w:r>
        <w:rPr>
          <w:noProof/>
        </w:rPr>
        <w:t>a)</w:t>
      </w:r>
      <w:r>
        <w:rPr>
          <w:noProof/>
        </w:rPr>
        <w:tab/>
        <w:t>tematy szczegółowe dotyczące rejestrów i unikalny identyfikator;</w:t>
      </w:r>
    </w:p>
    <w:p>
      <w:pPr>
        <w:pStyle w:val="Point1"/>
        <w:rPr>
          <w:noProof/>
        </w:rPr>
      </w:pPr>
      <w:r>
        <w:rPr>
          <w:noProof/>
        </w:rPr>
        <w:t>b)</w:t>
      </w:r>
      <w:r>
        <w:rPr>
          <w:noProof/>
        </w:rPr>
        <w:tab/>
        <w:t>czas referencyjny i częstotliwość.</w:t>
      </w:r>
    </w:p>
    <w:p>
      <w:pPr>
        <w:pStyle w:val="ManualNumPar1"/>
        <w:rPr>
          <w:noProof/>
        </w:rPr>
      </w:pPr>
      <w:r>
        <w:t>2.</w:t>
      </w:r>
      <w:r>
        <w:tab/>
      </w:r>
      <w:r>
        <w:rPr>
          <w:noProof/>
        </w:rPr>
        <w:t>Komisja jest uprawniona do przyjmowania aktów delegowanych zgodnie z art. 21 w celu zmiany tematów szczegółowych dotyczących rejestrów zawartych w załączniku III, tak aby odzwierciedlały one istotne zmiany techniczne i gospodarcze oraz nowe potrzeby użytkowników.</w:t>
      </w:r>
    </w:p>
    <w:p>
      <w:pPr>
        <w:pStyle w:val="ManualNumPar1"/>
        <w:rPr>
          <w:noProof/>
        </w:rPr>
      </w:pPr>
      <w:r>
        <w:t>3.</w:t>
      </w:r>
      <w:r>
        <w:tab/>
      </w:r>
      <w:r>
        <w:rPr>
          <w:noProof/>
        </w:rPr>
        <w:t>Przy wykonywaniu swoich uprawnień do zmian załącznika III Komisja zapewnia spełnienie dwóch następujących warunków:</w:t>
      </w:r>
    </w:p>
    <w:p>
      <w:pPr>
        <w:pStyle w:val="Point1"/>
        <w:rPr>
          <w:noProof/>
        </w:rPr>
      </w:pPr>
      <w:r>
        <w:rPr>
          <w:noProof/>
        </w:rPr>
        <w:t>a)</w:t>
      </w:r>
      <w:r>
        <w:rPr>
          <w:noProof/>
        </w:rPr>
        <w:tab/>
        <w:t xml:space="preserve">akty delegowane nie nakładają żadnych znaczących dodatkowych kosztów ani obciążenia na państwa członkowskie ani na respondentów; </w:t>
      </w:r>
    </w:p>
    <w:p>
      <w:pPr>
        <w:pStyle w:val="Point1"/>
        <w:rPr>
          <w:noProof/>
        </w:rPr>
      </w:pPr>
      <w:r>
        <w:rPr>
          <w:noProof/>
        </w:rPr>
        <w:t>b)</w:t>
      </w:r>
      <w:r>
        <w:rPr>
          <w:noProof/>
        </w:rPr>
        <w:tab/>
        <w:t>aktem delegowanym nie dodaje się ani nie zastępuje przez okres pięciu kolejnych lat więcej niż jednego tematu szczegółowego.</w:t>
      </w:r>
    </w:p>
    <w:p>
      <w:pPr>
        <w:pStyle w:val="ManualNumPar1"/>
        <w:rPr>
          <w:noProof/>
        </w:rPr>
      </w:pPr>
      <w:r>
        <w:t>4.</w:t>
      </w:r>
      <w:r>
        <w:tab/>
      </w:r>
      <w:r>
        <w:rPr>
          <w:noProof/>
        </w:rPr>
        <w:t>Komisja jest uprawniona do przyjmowania aktów wykonawczych zgodnie z procedurą sprawdzającą, o której mowa w art. 22 ust. 2, w celu doprecyzowania szczegółów opisowych dla każdego z tematów szczegółowych dotyczących rejestrów.</w:t>
      </w:r>
    </w:p>
    <w:p>
      <w:pPr>
        <w:pStyle w:val="Titrearticle"/>
        <w:rPr>
          <w:noProof/>
        </w:rPr>
      </w:pPr>
      <w:r>
        <w:rPr>
          <w:noProof/>
        </w:rPr>
        <w:t>Artykuł 10</w:t>
      </w:r>
    </w:p>
    <w:p>
      <w:pPr>
        <w:pStyle w:val="Titrearticle"/>
        <w:rPr>
          <w:noProof/>
        </w:rPr>
      </w:pPr>
      <w:r>
        <w:rPr>
          <w:noProof/>
        </w:rPr>
        <w:t xml:space="preserve">Wymiana poufnych danych do celów europejskiej sieci statystycznych rejestrów przedsiębiorstw i dostęp do takich danych </w:t>
      </w:r>
    </w:p>
    <w:p>
      <w:pPr>
        <w:pStyle w:val="ManualNumPar1"/>
        <w:rPr>
          <w:noProof/>
        </w:rPr>
      </w:pPr>
      <w:r>
        <w:t>1.</w:t>
      </w:r>
      <w:r>
        <w:tab/>
      </w:r>
      <w:r>
        <w:rPr>
          <w:noProof/>
        </w:rPr>
        <w:t xml:space="preserve">Poufne dane są wymieniane między państwami członkowskimi w następujący sposób: </w:t>
      </w:r>
    </w:p>
    <w:p>
      <w:pPr>
        <w:pStyle w:val="Point1"/>
        <w:rPr>
          <w:noProof/>
        </w:rPr>
      </w:pPr>
      <w:r>
        <w:rPr>
          <w:noProof/>
        </w:rPr>
        <w:t>a)</w:t>
      </w:r>
      <w:r>
        <w:rPr>
          <w:noProof/>
        </w:rPr>
        <w:tab/>
        <w:t>wymiana poufnych danych dotyczących wielonarodowych grup przedsiębiorstw i jednostek należących do tych grup, zgodnie z art. 9 ust. 4, odbywa się, wyłącznie do celów statystycznych, między pracownikami zajmującymi się tworzeniem rejestru EuroGrup w krajowych urzędach statystycznych różnych państw członkowskich, jeżeli celem wymiany jest zapewnienie jakości informacji o wielonarodowych grupach przedsiębiorstw w Unii. Wymiana taka może odbywać się również w celu zmniejszenia obciążenia respondentów;</w:t>
      </w:r>
    </w:p>
    <w:p>
      <w:pPr>
        <w:pStyle w:val="Point1"/>
        <w:rPr>
          <w:noProof/>
        </w:rPr>
      </w:pPr>
      <w:r>
        <w:rPr>
          <w:noProof/>
        </w:rPr>
        <w:t>b)</w:t>
      </w:r>
      <w:r>
        <w:rPr>
          <w:noProof/>
        </w:rPr>
        <w:tab/>
        <w:t>jeżeli celem wymiany jest zapewnienie jakości informacji o wielonarodowych grupach przedsiębiorstw w Unii, stronami wymiany poufnych danych, wyłącznie do celów statystycznych, mogą być krajowe banki centralne.</w:t>
      </w:r>
    </w:p>
    <w:p>
      <w:pPr>
        <w:pStyle w:val="ManualNumPar1"/>
        <w:rPr>
          <w:noProof/>
        </w:rPr>
      </w:pPr>
      <w:r>
        <w:t>2.</w:t>
      </w:r>
      <w:r>
        <w:tab/>
      </w:r>
      <w:r>
        <w:rPr>
          <w:noProof/>
        </w:rPr>
        <w:t>Poufne dane są wymieniane między Komisją (Eurostatem) a państwami członkowskimi w następujący sposób:</w:t>
      </w:r>
    </w:p>
    <w:p>
      <w:pPr>
        <w:pStyle w:val="Point1"/>
        <w:rPr>
          <w:noProof/>
        </w:rPr>
      </w:pPr>
      <w:r>
        <w:rPr>
          <w:noProof/>
        </w:rPr>
        <w:t>a)</w:t>
      </w:r>
      <w:r>
        <w:rPr>
          <w:noProof/>
        </w:rPr>
        <w:tab/>
        <w:t>krajowe urzędy statystyczne przekazują dane dotyczące wielonarodowych grup przedsiębiorstw oraz jednostek należących do tych grup, zgodnie z art. 9 ust. 4, Komisji (Eurostatowi) w celu dostarczenia, wyłącznie do celów statystycznych, informacji na temat wielonarodowych grup przedsiębiorstw w Unii;</w:t>
      </w:r>
    </w:p>
    <w:p>
      <w:pPr>
        <w:pStyle w:val="Point1"/>
        <w:rPr>
          <w:noProof/>
        </w:rPr>
      </w:pPr>
      <w:r>
        <w:rPr>
          <w:noProof/>
        </w:rPr>
        <w:t>b)</w:t>
      </w:r>
      <w:r>
        <w:rPr>
          <w:noProof/>
        </w:rPr>
        <w:tab/>
        <w:t xml:space="preserve">w celu zapewnienia spójnego zestawu danych, wyłącznie do celów statystycznych, Komisja (Eurostat) przekazuje odpowiednim krajowym urzędom statystycznym każdego państwa członkowskiego dane dotyczące wielonarodowych grup przedsiębiorstw, w tym jednostek należących do tych grup, jeżeli co najmniej jedna jednostka prawna grupy jest zlokalizowana na terytorium danego państwa członkowskiego; </w:t>
      </w:r>
    </w:p>
    <w:p>
      <w:pPr>
        <w:pStyle w:val="Point1"/>
        <w:rPr>
          <w:noProof/>
        </w:rPr>
      </w:pPr>
      <w:r>
        <w:rPr>
          <w:noProof/>
        </w:rPr>
        <w:t>c)</w:t>
      </w:r>
      <w:r>
        <w:rPr>
          <w:noProof/>
        </w:rPr>
        <w:tab/>
        <w:t>w celu zapewnienia skuteczności i wysokiej jakości tworzenia rejestru EuroGrup, wyłącznie do celów statystycznych, Komisja (Eurostat) przekazuje pracownikom zajmującym się tworzeniem rejestru EuroGrup w krajowych urzędach statystycznych dane dotyczące wszystkich wielonarodowych grup przedsiębiorstw zarejestrowanych w rejestrze EuroGrup, w tym jednostek należących do tych grup.</w:t>
      </w:r>
    </w:p>
    <w:p>
      <w:pPr>
        <w:pStyle w:val="ManualNumPar1"/>
        <w:rPr>
          <w:noProof/>
        </w:rPr>
      </w:pPr>
      <w:r>
        <w:t>3.</w:t>
      </w:r>
      <w:r>
        <w:tab/>
      </w:r>
      <w:r>
        <w:rPr>
          <w:noProof/>
        </w:rPr>
        <w:t>Poufne dane są wymieniane między Komisją (Eurostatem) a państwami członkowskimi do celów identyfikacji jednostek prawnych w następujący sposób:</w:t>
      </w:r>
    </w:p>
    <w:p>
      <w:pPr>
        <w:pStyle w:val="Point1"/>
        <w:rPr>
          <w:noProof/>
        </w:rPr>
      </w:pPr>
      <w:r>
        <w:rPr>
          <w:noProof/>
        </w:rPr>
        <w:t>a)</w:t>
      </w:r>
      <w:r>
        <w:rPr>
          <w:noProof/>
        </w:rPr>
        <w:tab/>
        <w:t>krajowe urzędy statystyczne przekazują dane dotyczące zarejestrowanych jednostek prawnych, zgodnie z art. 9 ust. 4, Komisji (Eurostatowi) wyłącznie w celu jednoznacznej identyfikacji jednostek prawnych w Unii;</w:t>
      </w:r>
    </w:p>
    <w:p>
      <w:pPr>
        <w:pStyle w:val="Point1"/>
        <w:rPr>
          <w:noProof/>
        </w:rPr>
      </w:pPr>
      <w:r>
        <w:rPr>
          <w:noProof/>
        </w:rPr>
        <w:t>b)</w:t>
      </w:r>
      <w:r>
        <w:rPr>
          <w:noProof/>
        </w:rPr>
        <w:tab/>
        <w:t>w celu zapewnienia efektywności i wysokiej jakości tworzenia rejestru EuroGrup Komisja (Eurostat) przekazuje krajowym urzędom statystycznym każdego państwa członkowskiego dane dotyczące jednostek prawnych, zgodnie z art. 9 ust. 4, wyłącznie do celów identyfikacji jednostek prawnych w Unii.</w:t>
      </w:r>
    </w:p>
    <w:p>
      <w:pPr>
        <w:pStyle w:val="ManualNumPar1"/>
        <w:rPr>
          <w:noProof/>
        </w:rPr>
      </w:pPr>
      <w:r>
        <w:t>4.</w:t>
      </w:r>
      <w:r>
        <w:tab/>
      </w:r>
      <w:r>
        <w:rPr>
          <w:noProof/>
        </w:rPr>
        <w:t>Poufne dane mogą być wymieniane między Komisją (Eurostatem) a bankami centralnymi w następujący sposób:</w:t>
      </w:r>
    </w:p>
    <w:p>
      <w:pPr>
        <w:pStyle w:val="Text1"/>
        <w:rPr>
          <w:noProof/>
        </w:rPr>
      </w:pPr>
      <w:r>
        <w:rPr>
          <w:noProof/>
        </w:rPr>
        <w:t xml:space="preserve">wymiana poufnych danych może odbywać się, wyłącznie do celów statystycznych, między Komisją (Eurostatem) a krajowymi bankami centralnymi oraz między Komisją (Eurostatem) a Europejskim Bankiem Centralnym, jeżeli celem wymiany jest zapewnienie jakości informacji o wielonarodowych grupach przedsiębiorstw w Unii oraz jeżeli na wymianę wyraźnie zezwolił odpowiedni krajowy urząd statystyczny. </w:t>
      </w:r>
    </w:p>
    <w:p>
      <w:pPr>
        <w:pStyle w:val="ManualNumPar1"/>
        <w:rPr>
          <w:noProof/>
        </w:rPr>
      </w:pPr>
      <w:r>
        <w:t>5.</w:t>
      </w:r>
      <w:r>
        <w:tab/>
      </w:r>
      <w:r>
        <w:rPr>
          <w:noProof/>
        </w:rPr>
        <w:t>W celu zapewnienia, aby dane wymieniane na podstawie niniejszego artykułu były wykorzystywane wyłącznie do celów statystycznych, Komisja jest uprawniona do przyjmowania aktów wykonawczych określających format, środki bezpieczeństwa i poufności takich danych, jak również procedurę wymiany danych zgodnie z procedurą sprawdzającą, o której mowa w art. 22 ust. 2.</w:t>
      </w:r>
    </w:p>
    <w:p>
      <w:pPr>
        <w:pStyle w:val="ManualNumPar1"/>
        <w:rPr>
          <w:noProof/>
        </w:rPr>
      </w:pPr>
      <w:r>
        <w:t>6.</w:t>
      </w:r>
      <w:r>
        <w:tab/>
      </w:r>
      <w:r>
        <w:rPr>
          <w:noProof/>
        </w:rPr>
        <w:t>W przypadku gdy Komisja (Eurostat), krajowe urzędy statystyczne, krajowe banki centralne oraz Europejski Bank Centralny otrzymują poufne dane dotyczące jednostek zlokalizowanych na lub poza terytorium krajowym, na podstawie niniejszego artykułu zachowują one poufność tych informacji zgodnie z rozporządzeniem (WE) nr 223/2009.</w:t>
      </w:r>
    </w:p>
    <w:p>
      <w:pPr>
        <w:pStyle w:val="Text1"/>
        <w:rPr>
          <w:noProof/>
        </w:rPr>
      </w:pPr>
      <w:r>
        <w:rPr>
          <w:noProof/>
        </w:rPr>
        <w:t>Przekazywanie poufnych danych między krajowymi urzędami statystycznymi a Komisją (Eurostatem) odbywa się w takim zakresie, w jakim takie przekazywanie jest niezbędne do tworzenia statystyki europejskiej. Każde dalsze przekazanie poza takim, które jest przewidziane w zdaniu poprzedzającym, wymaga wyraźnego zezwolenia organu krajowego, który zebrał dane.</w:t>
      </w:r>
    </w:p>
    <w:p>
      <w:pPr>
        <w:pStyle w:val="ChapterTitle"/>
        <w:rPr>
          <w:noProof/>
        </w:rPr>
      </w:pPr>
      <w:r>
        <w:rPr>
          <w:noProof/>
        </w:rPr>
        <w:t xml:space="preserve">ROZDZIAŁ V </w:t>
      </w:r>
    </w:p>
    <w:p>
      <w:pPr>
        <w:pStyle w:val="ChapterTitle"/>
        <w:rPr>
          <w:noProof/>
        </w:rPr>
      </w:pPr>
      <w:r>
        <w:rPr>
          <w:noProof/>
        </w:rPr>
        <w:t>WYMIANA POUFNYCH DANYCH DO CELÓW STATYSTYKI WEWNĄTRZUNIJNEGO HANDLU TOWARAMI</w:t>
      </w:r>
    </w:p>
    <w:p>
      <w:pPr>
        <w:pStyle w:val="Titrearticle"/>
        <w:rPr>
          <w:noProof/>
        </w:rPr>
      </w:pPr>
      <w:r>
        <w:rPr>
          <w:noProof/>
        </w:rPr>
        <w:t>Artykuł 11</w:t>
      </w:r>
    </w:p>
    <w:p>
      <w:pPr>
        <w:pStyle w:val="Titrearticle"/>
        <w:rPr>
          <w:noProof/>
        </w:rPr>
      </w:pPr>
      <w:r>
        <w:rPr>
          <w:noProof/>
        </w:rPr>
        <w:t>Wymiana poufnych danych</w:t>
      </w:r>
    </w:p>
    <w:p>
      <w:pPr>
        <w:pStyle w:val="ManualNumPar1"/>
        <w:rPr>
          <w:noProof/>
        </w:rPr>
      </w:pPr>
      <w:r>
        <w:t>1.</w:t>
      </w:r>
      <w:r>
        <w:tab/>
      </w:r>
      <w:r>
        <w:rPr>
          <w:noProof/>
        </w:rPr>
        <w:t>Wymiana poufnych danych między państwami członkowskimi dotyczących wewnątrzunijnego wywozu towarów odbywa się, wyłącznie do celów statystycznych, między krajowymi urzędami statystycznymi zajmującymi się opracowywaniem, tworzeniem i rozpowszechnianiem statystyk wewnątrzunijnego obrotu towarami.</w:t>
      </w:r>
    </w:p>
    <w:p>
      <w:pPr>
        <w:pStyle w:val="Text1"/>
        <w:rPr>
          <w:noProof/>
        </w:rPr>
      </w:pPr>
      <w:r>
        <w:rPr>
          <w:noProof/>
        </w:rPr>
        <w:t>Opisy techniczne wymogów dotyczących danych, o których mowa w art. 7 ust. 1 i 2, stosuje się również do wymiany poufnych danych zgodnie z niniejszym rozdziałem.</w:t>
      </w:r>
    </w:p>
    <w:p>
      <w:pPr>
        <w:pStyle w:val="ManualNumPar1"/>
        <w:rPr>
          <w:noProof/>
        </w:rPr>
      </w:pPr>
      <w:r>
        <w:t>2.</w:t>
      </w:r>
      <w:r>
        <w:tab/>
      </w:r>
      <w:r>
        <w:rPr>
          <w:noProof/>
        </w:rPr>
        <w:t>Krajowy urząd statystyczny państwa członkowskiego wywozu dostarcza krajowemu urzędowi statystycznemu państwa członkowskiego przywozu informacje statystyczne dotyczące jego wewnątrzunijnego wywozu towarów do tego państwa członkowskiego, jak określono w art. 12.</w:t>
      </w:r>
    </w:p>
    <w:p>
      <w:pPr>
        <w:pStyle w:val="ManualNumPar1"/>
        <w:rPr>
          <w:noProof/>
        </w:rPr>
      </w:pPr>
      <w:r>
        <w:t>3.</w:t>
      </w:r>
      <w:r>
        <w:tab/>
      </w:r>
      <w:r>
        <w:rPr>
          <w:noProof/>
        </w:rPr>
        <w:t>Krajowy urząd statystyczny państwa członkowskiego wywozu dostarcza krajowemu urzędowi statystycznemu państwa członkowskiego przywozu metadane istotne dla wykorzystania wymienianych danych przy zestawianiu statystyki.</w:t>
      </w:r>
    </w:p>
    <w:p>
      <w:pPr>
        <w:pStyle w:val="ManualNumPar1"/>
        <w:rPr>
          <w:noProof/>
        </w:rPr>
      </w:pPr>
      <w:r>
        <w:t>4.</w:t>
      </w:r>
      <w:r>
        <w:tab/>
      </w:r>
      <w:r>
        <w:rPr>
          <w:noProof/>
        </w:rPr>
        <w:t>Komisja jest uprawniona do przyjmowania aktów wykonawczych w celu określenia informacji, które należy uznać za istotne metadane wspomniane w ust. 3, jak również harmonogramu przekazywania tych informacji oraz informacji statystycznych, o których mowa w ust. 2, zgodnie z procedurą sprawdzającą określoną w art. 22 ust. 2.</w:t>
      </w:r>
    </w:p>
    <w:p>
      <w:pPr>
        <w:pStyle w:val="ManualNumPar1"/>
        <w:rPr>
          <w:noProof/>
        </w:rPr>
      </w:pPr>
      <w:r>
        <w:t>5.</w:t>
      </w:r>
      <w:r>
        <w:tab/>
      </w:r>
      <w:r>
        <w:rPr>
          <w:noProof/>
        </w:rPr>
        <w:t>Na wniosek krajowego urzędu statystycznego państwa członkowskiego wywozu państwo członkowskie przywozu może dostarczyć krajowemu urzędowi statystycznemu państwa członkowskiego wywozu zebrane dane jednostkowe dotyczące jego wewnątrzunijnego przywozu towarów przywożonych z tego państwa członkowskiego wywozu.</w:t>
      </w:r>
    </w:p>
    <w:p>
      <w:pPr>
        <w:pStyle w:val="Titrearticle"/>
        <w:rPr>
          <w:noProof/>
        </w:rPr>
      </w:pPr>
      <w:r>
        <w:rPr>
          <w:noProof/>
        </w:rPr>
        <w:t>Artykuł 12</w:t>
      </w:r>
    </w:p>
    <w:p>
      <w:pPr>
        <w:pStyle w:val="Titrearticle"/>
        <w:rPr>
          <w:noProof/>
        </w:rPr>
      </w:pPr>
      <w:r>
        <w:rPr>
          <w:noProof/>
        </w:rPr>
        <w:t>Informacje statystyczne podlegające wymianie</w:t>
      </w:r>
    </w:p>
    <w:p>
      <w:pPr>
        <w:pStyle w:val="ManualNumPar1"/>
        <w:rPr>
          <w:noProof/>
        </w:rPr>
      </w:pPr>
      <w:r>
        <w:t>1.</w:t>
      </w:r>
      <w:r>
        <w:tab/>
      </w:r>
      <w:r>
        <w:rPr>
          <w:noProof/>
        </w:rPr>
        <w:t xml:space="preserve"> Informacje statystyczne, o których mowa w art. 11 ust. 2, składają się z:</w:t>
      </w:r>
    </w:p>
    <w:p>
      <w:pPr>
        <w:pStyle w:val="Point1"/>
        <w:rPr>
          <w:noProof/>
        </w:rPr>
      </w:pPr>
      <w:r>
        <w:rPr>
          <w:noProof/>
        </w:rPr>
        <w:t>a)</w:t>
      </w:r>
      <w:r>
        <w:rPr>
          <w:noProof/>
        </w:rPr>
        <w:tab/>
        <w:t>danych jednostkowych zbieranych w ramach badań;</w:t>
      </w:r>
    </w:p>
    <w:p>
      <w:pPr>
        <w:pStyle w:val="Point1"/>
        <w:rPr>
          <w:noProof/>
        </w:rPr>
      </w:pPr>
      <w:r>
        <w:rPr>
          <w:noProof/>
        </w:rPr>
        <w:t>b)</w:t>
      </w:r>
      <w:r>
        <w:rPr>
          <w:noProof/>
        </w:rPr>
        <w:tab/>
        <w:t>danych dotyczących szczególnych towarów lub przepływów zebranych przy wykorzystaniu innych źródeł danych niż badania oraz</w:t>
      </w:r>
    </w:p>
    <w:p>
      <w:pPr>
        <w:pStyle w:val="Point1"/>
        <w:rPr>
          <w:noProof/>
        </w:rPr>
      </w:pPr>
      <w:r>
        <w:rPr>
          <w:noProof/>
        </w:rPr>
        <w:t>c)</w:t>
      </w:r>
      <w:r>
        <w:rPr>
          <w:noProof/>
        </w:rPr>
        <w:tab/>
        <w:t>danych zebranych przy użyciu danych ze zgłoszeń celnych.</w:t>
      </w:r>
    </w:p>
    <w:p>
      <w:pPr>
        <w:pStyle w:val="ManualNumPar1"/>
        <w:rPr>
          <w:noProof/>
        </w:rPr>
      </w:pPr>
      <w:r>
        <w:t>2.</w:t>
      </w:r>
      <w:r>
        <w:tab/>
      </w:r>
      <w:r>
        <w:rPr>
          <w:noProof/>
        </w:rPr>
        <w:t>Informacje statystyczne, o których mowa w art. 11 ust. 2, obejmują co najmniej 95 % całkowitej wartości wewnątrzunijnego wywozu towarów każdego państwa członkowskiego do wszystkich innych państw członkowskich łącznie.</w:t>
      </w:r>
    </w:p>
    <w:p>
      <w:pPr>
        <w:pStyle w:val="Text2"/>
        <w:ind w:left="851"/>
        <w:rPr>
          <w:noProof/>
        </w:rPr>
      </w:pPr>
      <w:r>
        <w:rPr>
          <w:noProof/>
        </w:rPr>
        <w:t>Komisja jest uprawniona do przyjmowania aktów delegowanych zgodnie z art. 21 w celu zmiany niniejszego rozporządzenia poprzez zmniejszenie powyższego stopnia pokrycia z uwagi na zmiany techniczne i gospodarcze, przy jednoczesnym zachowaniu statystyk, które są zgodne z obowiązującymi normami jakości.</w:t>
      </w:r>
    </w:p>
    <w:p>
      <w:pPr>
        <w:pStyle w:val="ManualNumPar1"/>
        <w:rPr>
          <w:noProof/>
        </w:rPr>
      </w:pPr>
      <w:r>
        <w:t>3.</w:t>
      </w:r>
      <w:r>
        <w:tab/>
      </w:r>
      <w:r>
        <w:rPr>
          <w:noProof/>
        </w:rPr>
        <w:t>Komisja jest uprawniona do przyjmowania aktów wykonawczych zgodnie z procedurą sprawdzającą, o której mowa w art. 22 ust. 2, w celu określenia sposobów zbierania bądź zestawiania informacji, o których mowa w ust. 1, oraz w celu doprecyzowania warunków stosowania stopnia pokrycia, o którym mowa w ust. 2.</w:t>
      </w:r>
    </w:p>
    <w:p>
      <w:pPr>
        <w:pStyle w:val="Titrearticle"/>
        <w:rPr>
          <w:noProof/>
        </w:rPr>
      </w:pPr>
      <w:r>
        <w:rPr>
          <w:noProof/>
        </w:rPr>
        <w:t>Artykuł 13</w:t>
      </w:r>
    </w:p>
    <w:p>
      <w:pPr>
        <w:pStyle w:val="Titrearticle"/>
        <w:rPr>
          <w:noProof/>
        </w:rPr>
      </w:pPr>
      <w:r>
        <w:rPr>
          <w:noProof/>
        </w:rPr>
        <w:t xml:space="preserve">Elementy danych statystycznych </w:t>
      </w:r>
      <w:r>
        <w:rPr>
          <w:noProof/>
        </w:rPr>
        <w:br/>
      </w:r>
    </w:p>
    <w:p>
      <w:pPr>
        <w:pStyle w:val="ManualNumPar1"/>
        <w:rPr>
          <w:noProof/>
        </w:rPr>
      </w:pPr>
      <w:r>
        <w:t>1.</w:t>
      </w:r>
      <w:r>
        <w:tab/>
      </w:r>
      <w:r>
        <w:rPr>
          <w:noProof/>
        </w:rPr>
        <w:t>Dane jednostkowe, o których mowa w art. 12 ust. 1 lit. a), zawierają następujące elementy danych statystycznych:</w:t>
      </w:r>
    </w:p>
    <w:p>
      <w:pPr>
        <w:pStyle w:val="Point1"/>
        <w:rPr>
          <w:noProof/>
        </w:rPr>
      </w:pPr>
      <w:r>
        <w:rPr>
          <w:noProof/>
        </w:rPr>
        <w:t>a)</w:t>
      </w:r>
      <w:r>
        <w:rPr>
          <w:noProof/>
        </w:rPr>
        <w:tab/>
        <w:t>indywidualny numer identyfikacyjny przypisany partnerskiemu podmiotowi w państwie członkowskim przywozu, zgodnie z art. 214 dyrektywy 2006/112/WE</w:t>
      </w:r>
      <w:r>
        <w:rPr>
          <w:rStyle w:val="FootnoteReference"/>
          <w:noProof/>
        </w:rPr>
        <w:footnoteReference w:id="27"/>
      </w:r>
      <w:r>
        <w:rPr>
          <w:noProof/>
        </w:rPr>
        <w:t>;</w:t>
      </w:r>
    </w:p>
    <w:p>
      <w:pPr>
        <w:pStyle w:val="Point1"/>
        <w:rPr>
          <w:noProof/>
        </w:rPr>
      </w:pPr>
      <w:r>
        <w:rPr>
          <w:noProof/>
        </w:rPr>
        <w:t>b)</w:t>
      </w:r>
      <w:r>
        <w:rPr>
          <w:noProof/>
        </w:rPr>
        <w:tab/>
        <w:t>okres referencyjny;</w:t>
      </w:r>
    </w:p>
    <w:p>
      <w:pPr>
        <w:pStyle w:val="Point1"/>
        <w:rPr>
          <w:noProof/>
        </w:rPr>
      </w:pPr>
      <w:r>
        <w:rPr>
          <w:noProof/>
        </w:rPr>
        <w:t>c)</w:t>
      </w:r>
      <w:r>
        <w:rPr>
          <w:noProof/>
        </w:rPr>
        <w:tab/>
        <w:t>przepływ;</w:t>
      </w:r>
    </w:p>
    <w:p>
      <w:pPr>
        <w:pStyle w:val="Point1"/>
        <w:rPr>
          <w:noProof/>
        </w:rPr>
      </w:pPr>
      <w:r>
        <w:rPr>
          <w:noProof/>
        </w:rPr>
        <w:t>d)</w:t>
      </w:r>
      <w:r>
        <w:rPr>
          <w:noProof/>
        </w:rPr>
        <w:tab/>
        <w:t>towar;</w:t>
      </w:r>
    </w:p>
    <w:p>
      <w:pPr>
        <w:pStyle w:val="Point1"/>
        <w:rPr>
          <w:noProof/>
        </w:rPr>
      </w:pPr>
      <w:r>
        <w:rPr>
          <w:noProof/>
        </w:rPr>
        <w:t>e)</w:t>
      </w:r>
      <w:r>
        <w:rPr>
          <w:noProof/>
        </w:rPr>
        <w:tab/>
        <w:t>partnerskie państwo członkowskie;</w:t>
      </w:r>
    </w:p>
    <w:p>
      <w:pPr>
        <w:pStyle w:val="Point1"/>
        <w:rPr>
          <w:noProof/>
        </w:rPr>
      </w:pPr>
      <w:r>
        <w:rPr>
          <w:noProof/>
        </w:rPr>
        <w:t>f)</w:t>
      </w:r>
      <w:r>
        <w:rPr>
          <w:noProof/>
        </w:rPr>
        <w:tab/>
        <w:t>kraj pochodzenia;</w:t>
      </w:r>
    </w:p>
    <w:p>
      <w:pPr>
        <w:pStyle w:val="Point1"/>
        <w:rPr>
          <w:noProof/>
        </w:rPr>
      </w:pPr>
      <w:r>
        <w:rPr>
          <w:noProof/>
        </w:rPr>
        <w:t>g)</w:t>
      </w:r>
      <w:r>
        <w:rPr>
          <w:noProof/>
        </w:rPr>
        <w:tab/>
        <w:t>wartość towarów;</w:t>
      </w:r>
    </w:p>
    <w:p>
      <w:pPr>
        <w:pStyle w:val="Point1"/>
        <w:rPr>
          <w:noProof/>
        </w:rPr>
      </w:pPr>
      <w:r>
        <w:rPr>
          <w:noProof/>
        </w:rPr>
        <w:t>h)</w:t>
      </w:r>
      <w:r>
        <w:rPr>
          <w:noProof/>
        </w:rPr>
        <w:tab/>
        <w:t>ilość towarów;</w:t>
      </w:r>
    </w:p>
    <w:p>
      <w:pPr>
        <w:pStyle w:val="Point1"/>
        <w:rPr>
          <w:noProof/>
        </w:rPr>
      </w:pPr>
      <w:r>
        <w:rPr>
          <w:noProof/>
        </w:rPr>
        <w:t>i)</w:t>
      </w:r>
      <w:r>
        <w:rPr>
          <w:noProof/>
        </w:rPr>
        <w:tab/>
        <w:t>rodzaj transakcji.</w:t>
      </w:r>
    </w:p>
    <w:p>
      <w:pPr>
        <w:pStyle w:val="Text1"/>
        <w:rPr>
          <w:noProof/>
        </w:rPr>
      </w:pPr>
      <w:r>
        <w:rPr>
          <w:noProof/>
        </w:rPr>
        <w:t>Dane jednostkowe, o których mowa w art. 12 ust. 1 lit. a), mogą zawierać środek transportu, pod warunkiem że państwo członkowskie wywozu zbiera takie informacje.</w:t>
      </w:r>
    </w:p>
    <w:p>
      <w:pPr>
        <w:pStyle w:val="Text1"/>
        <w:rPr>
          <w:noProof/>
        </w:rPr>
      </w:pPr>
      <w:r>
        <w:rPr>
          <w:noProof/>
        </w:rPr>
        <w:t>Komisja jest uprawniona do przyjmowania aktów wykonawczych zgodnie z procedurą sprawdzającą, o której mowa w art. 22 ust. 2, w celu określenia elementów danych statystycznych, o których mowa w lit. a)–i), oraz w celu określenia wykazu elementów danych statystycznych stosowanych w odniesieniu do szczególnych towarów lub przepływów oraz danych zestawionych przy użyciu danych ze zgłoszeń celnych, o których mowa w art. 12 ust. 1 lit. b) i c).</w:t>
      </w:r>
    </w:p>
    <w:p>
      <w:pPr>
        <w:pStyle w:val="ManualNumPar1"/>
        <w:rPr>
          <w:noProof/>
        </w:rPr>
      </w:pPr>
      <w:r>
        <w:t>2.</w:t>
      </w:r>
      <w:r>
        <w:tab/>
      </w:r>
      <w:r>
        <w:rPr>
          <w:noProof/>
        </w:rPr>
        <w:t>Państwa członkowskie mogą – pod pewnymi warunkami dotyczącymi spełnienia wymagań jakościowych – uprościć przekazywane informacje dotyczące małych pojedynczych transakcji, pod warunkiem że to uproszczenie nie ma szkodliwego wpływu na jakość statystyk.</w:t>
      </w:r>
    </w:p>
    <w:p>
      <w:pPr>
        <w:pStyle w:val="Text1"/>
        <w:ind w:left="851"/>
        <w:rPr>
          <w:noProof/>
        </w:rPr>
      </w:pPr>
      <w:r>
        <w:rPr>
          <w:noProof/>
        </w:rPr>
        <w:t>W szczególnych przypadkach państwa członkowskie mogą zbierać ograniczony zestaw elementów danych statystycznych, o których mowa w ust. 1, lub zbierać informacje dotyczące niektórych z tych elementów danych na mniej szczegółowym poziomie.</w:t>
      </w:r>
    </w:p>
    <w:p>
      <w:pPr>
        <w:pStyle w:val="Text1"/>
        <w:rPr>
          <w:noProof/>
        </w:rPr>
      </w:pPr>
      <w:r>
        <w:rPr>
          <w:noProof/>
        </w:rPr>
        <w:t>Komisja jest uprawniona do przyjmowania aktów wykonawczych zgodnie z procedurą sprawdzającą, o której mowa w art. 22 ust. 2, w celu określenia zasad tego uproszczenia i maksymalnej wartości wewnątrzunijnego wywozu korzystającego z tego uproszczenia.</w:t>
      </w:r>
    </w:p>
    <w:p>
      <w:pPr>
        <w:pStyle w:val="Titrearticle"/>
        <w:rPr>
          <w:noProof/>
        </w:rPr>
      </w:pPr>
      <w:r>
        <w:rPr>
          <w:noProof/>
        </w:rPr>
        <w:tab/>
        <w:t xml:space="preserve"> Artykuł 14</w:t>
      </w:r>
    </w:p>
    <w:p>
      <w:pPr>
        <w:pStyle w:val="Titrearticle"/>
        <w:rPr>
          <w:noProof/>
        </w:rPr>
      </w:pPr>
      <w:r>
        <w:rPr>
          <w:noProof/>
        </w:rPr>
        <w:t>Ochrona wymienianych poufnych danych</w:t>
      </w:r>
    </w:p>
    <w:p>
      <w:pPr>
        <w:pStyle w:val="ManualNumPar1"/>
        <w:rPr>
          <w:noProof/>
        </w:rPr>
      </w:pPr>
      <w:r>
        <w:t>1.</w:t>
      </w:r>
      <w:r>
        <w:tab/>
      </w:r>
      <w:r>
        <w:rPr>
          <w:noProof/>
        </w:rPr>
        <w:t>Zastosowanie mają następujące zasady poufności:</w:t>
      </w:r>
    </w:p>
    <w:p>
      <w:pPr>
        <w:pStyle w:val="Point1"/>
        <w:rPr>
          <w:noProof/>
        </w:rPr>
      </w:pPr>
      <w:r>
        <w:rPr>
          <w:noProof/>
        </w:rPr>
        <w:t>a)</w:t>
      </w:r>
      <w:r>
        <w:rPr>
          <w:noProof/>
        </w:rPr>
        <w:tab/>
        <w:t>zestawy danych jednostkowych dotyczących eksportera, którego wniosek o poufność informacji statystycznych zgodnie z art. 18 został zaakceptowany przez krajowy urząd statystyczny państwa członkowskiego wywozu, są przekazywane przez krajowy urząd statystyczny państwa członkowskiego wywozu krajowemu urzędowi statystycznemu państwa członkowskiego przywozu z wartością prawdziwą i wszystkimi elementami danych statystycznych, o których mowa w art. 13 ust. 1, oraz z oznaczeniem wskazującym na to, że ten zestaw danych jednostkowych jest objęty zasadą poufności;</w:t>
      </w:r>
    </w:p>
    <w:p>
      <w:pPr>
        <w:pStyle w:val="Point1"/>
        <w:rPr>
          <w:noProof/>
        </w:rPr>
      </w:pPr>
      <w:r>
        <w:rPr>
          <w:noProof/>
        </w:rPr>
        <w:t>b)</w:t>
      </w:r>
      <w:r>
        <w:rPr>
          <w:noProof/>
        </w:rPr>
        <w:tab/>
        <w:t>krajowy urząd statystyczny państwa członkowskiego przywozu może wykorzystywać zestawy danych jednostkowych dotyczących wywozu, które są objęte zasadą poufności, do zestawiania wyników statystycznych przywozów wewnątrzunijnych. Jeżeli krajowy urząd statystyczny państwa członkowskiego przywozu korzysta z zestawów danych jednostkowych dotyczących wywozu podlegających poufności, zapewnia on przestrzeganie poufności statystycznej zagwarantowanej przez krajowy urząd statystyczny państwa członkowskiego wywozu przy rozpowszechnianiu wyników statystycznych dotyczących wewnątrzunijnego przywozu przez krajowy urząd statystyczny państwa członkowskiego przywozu.</w:t>
      </w:r>
    </w:p>
    <w:p>
      <w:pPr>
        <w:pStyle w:val="ManualNumPar1"/>
        <w:rPr>
          <w:noProof/>
        </w:rPr>
      </w:pPr>
      <w:r>
        <w:t>2.</w:t>
      </w:r>
      <w:r>
        <w:tab/>
      </w:r>
      <w:r>
        <w:rPr>
          <w:noProof/>
        </w:rPr>
        <w:t>Komisja jest uprawniona do przyjmowania aktów wykonawczych w celu zapewnienia ochrony poufnych danych wymienianych na podstawie niniejszego rozdziału poprzez określenie formatu, środków bezpieczeństwa i poufności takich danych, w tym w odniesieniu do sposobów stosowania przepisów, o których mowa w ust. 1, jak również procedury wymiany danych, zgodnie z procedurą sprawdzającą, o której mowa w art. 22 ust. 2.</w:t>
      </w:r>
    </w:p>
    <w:p>
      <w:pPr>
        <w:pStyle w:val="ManualNumPar1"/>
        <w:rPr>
          <w:noProof/>
        </w:rPr>
      </w:pPr>
      <w:r>
        <w:t>3.</w:t>
      </w:r>
      <w:r>
        <w:tab/>
      </w:r>
      <w:r>
        <w:rPr>
          <w:noProof/>
        </w:rPr>
        <w:t>Państwa członkowskie i Komisja podejmują właściwe działania w celu zapobiegania naruszeniom i nakładania sankcji wobec wszelkich naruszeń poufności statystycznej wymienianych danych. Ustanowione kary muszą być skuteczne, proporcjonalne i odstraszające.</w:t>
      </w:r>
    </w:p>
    <w:p>
      <w:pPr>
        <w:pStyle w:val="Titrearticle"/>
        <w:rPr>
          <w:noProof/>
        </w:rPr>
      </w:pPr>
      <w:r>
        <w:rPr>
          <w:noProof/>
        </w:rPr>
        <w:t>Artykuł 15</w:t>
      </w:r>
    </w:p>
    <w:p>
      <w:pPr>
        <w:pStyle w:val="Titrearticle"/>
        <w:rPr>
          <w:noProof/>
        </w:rPr>
      </w:pPr>
      <w:r>
        <w:rPr>
          <w:noProof/>
        </w:rPr>
        <w:t>Dostęp do wymienianych poufnych danych do celów naukowych</w:t>
      </w:r>
    </w:p>
    <w:p>
      <w:pPr>
        <w:pStyle w:val="Text1"/>
        <w:ind w:left="142"/>
        <w:rPr>
          <w:noProof/>
        </w:rPr>
      </w:pPr>
      <w:r>
        <w:rPr>
          <w:noProof/>
        </w:rPr>
        <w:t>Dostęp do wymienianych poufnych danych może zostać przyznany pracownikom naukowym prowadzącym analizy statystyczne do celów naukowych zgodnie z art. 23 rozporządzenia (WE) nr 223/2009. Wymagana do tego jest zgoda krajowego urzędu statystycznego państwa członkowskiego wywozu, który dostarczył te dane.</w:t>
      </w:r>
    </w:p>
    <w:p>
      <w:pPr>
        <w:pStyle w:val="ChapterTitle"/>
        <w:ind w:left="120"/>
        <w:rPr>
          <w:noProof/>
        </w:rPr>
      </w:pPr>
      <w:r>
        <w:rPr>
          <w:noProof/>
        </w:rPr>
        <w:t xml:space="preserve">ROZDZIAŁ VI </w:t>
      </w:r>
    </w:p>
    <w:p>
      <w:pPr>
        <w:pStyle w:val="ChapterTitle"/>
        <w:ind w:left="120"/>
        <w:rPr>
          <w:noProof/>
        </w:rPr>
      </w:pPr>
      <w:r>
        <w:rPr>
          <w:noProof/>
        </w:rPr>
        <w:t>JAKOŚĆ, PRZEKAZYWANIE I ROZPOWSZECHNIANIE</w:t>
      </w:r>
    </w:p>
    <w:p>
      <w:pPr>
        <w:pStyle w:val="Titrearticle"/>
        <w:rPr>
          <w:noProof/>
        </w:rPr>
      </w:pPr>
      <w:r>
        <w:rPr>
          <w:noProof/>
        </w:rPr>
        <w:t>Artykuł 16</w:t>
      </w:r>
    </w:p>
    <w:p>
      <w:pPr>
        <w:pStyle w:val="Titrearticle"/>
        <w:rPr>
          <w:noProof/>
        </w:rPr>
      </w:pPr>
      <w:r>
        <w:rPr>
          <w:noProof/>
        </w:rPr>
        <w:t xml:space="preserve">Jakość </w:t>
      </w:r>
    </w:p>
    <w:p>
      <w:pPr>
        <w:pStyle w:val="ManualNumPar1"/>
        <w:rPr>
          <w:noProof/>
        </w:rPr>
      </w:pPr>
      <w:r>
        <w:t>1.</w:t>
      </w:r>
      <w:r>
        <w:tab/>
      </w:r>
      <w:r>
        <w:rPr>
          <w:noProof/>
        </w:rPr>
        <w:t>Państwa członkowskie przyjmują wszelkie konieczne środki w celu zapewnienia jakości przekazywanych europejskich statystyk gospodarczych oraz krajowych statystycznych rejestrów przedsiębiorstw i rejestru EuroGrup.</w:t>
      </w:r>
    </w:p>
    <w:p>
      <w:pPr>
        <w:pStyle w:val="ManualNumPar1"/>
        <w:rPr>
          <w:noProof/>
        </w:rPr>
      </w:pPr>
      <w:r>
        <w:t>2.</w:t>
      </w:r>
      <w:r>
        <w:tab/>
      </w:r>
      <w:r>
        <w:rPr>
          <w:noProof/>
        </w:rPr>
        <w:t>Na potrzeby niniejszego rozporządzenia stosuje się kryteria jakości określone w art. 12 ust. 1 rozporządzenia (WE) nr 223/2009.</w:t>
      </w:r>
    </w:p>
    <w:p>
      <w:pPr>
        <w:pStyle w:val="ManualNumPar1"/>
        <w:rPr>
          <w:noProof/>
        </w:rPr>
      </w:pPr>
      <w:r>
        <w:t>3.</w:t>
      </w:r>
      <w:r>
        <w:tab/>
      </w:r>
      <w:r>
        <w:rPr>
          <w:noProof/>
        </w:rPr>
        <w:t xml:space="preserve">Komisja (Eurostat) ocenia jakość przekazanych danych i metadanych. </w:t>
      </w:r>
    </w:p>
    <w:p>
      <w:pPr>
        <w:pStyle w:val="ManualNumPar1"/>
        <w:rPr>
          <w:noProof/>
        </w:rPr>
      </w:pPr>
      <w:r>
        <w:t>4.</w:t>
      </w:r>
      <w:r>
        <w:tab/>
      </w:r>
      <w:r>
        <w:rPr>
          <w:noProof/>
        </w:rPr>
        <w:t>W tym celu państwa członkowskie przekazują:</w:t>
      </w:r>
    </w:p>
    <w:p>
      <w:pPr>
        <w:pStyle w:val="Point1"/>
        <w:rPr>
          <w:noProof/>
        </w:rPr>
      </w:pPr>
      <w:r>
        <w:rPr>
          <w:noProof/>
        </w:rPr>
        <w:t>a)</w:t>
      </w:r>
      <w:r>
        <w:rPr>
          <w:noProof/>
        </w:rPr>
        <w:tab/>
        <w:t xml:space="preserve"> roczne raporty dotyczące jakości i metadanych w odniesieniu do przekazywanych danych. W przypadku statystyk wieloletnich częstotliwość raportów jest taka sama jak w przypadku statystyk;</w:t>
      </w:r>
    </w:p>
    <w:p>
      <w:pPr>
        <w:pStyle w:val="Point1"/>
        <w:rPr>
          <w:noProof/>
        </w:rPr>
      </w:pPr>
      <w:r>
        <w:rPr>
          <w:noProof/>
        </w:rPr>
        <w:t>b)</w:t>
      </w:r>
      <w:r>
        <w:rPr>
          <w:noProof/>
        </w:rPr>
        <w:tab/>
        <w:t xml:space="preserve"> roczne raporty dotyczące jakości i metadanych w odniesieniu do krajowych statystycznych rejestrów przedsiębiorstw. </w:t>
      </w:r>
    </w:p>
    <w:p>
      <w:pPr>
        <w:pStyle w:val="ManualNumPar1"/>
        <w:rPr>
          <w:noProof/>
        </w:rPr>
      </w:pPr>
      <w:r>
        <w:t>5.</w:t>
      </w:r>
      <w:r>
        <w:tab/>
      </w:r>
      <w:r>
        <w:rPr>
          <w:noProof/>
        </w:rPr>
        <w:t>Komisja (Eurostat) dostarcza państwom członkowskim roczne raporty dotyczące metadanych i jakości w odniesieniu do rejestru EuroGrup.</w:t>
      </w:r>
    </w:p>
    <w:p>
      <w:pPr>
        <w:pStyle w:val="ManualNumPar1"/>
        <w:rPr>
          <w:noProof/>
        </w:rPr>
      </w:pPr>
      <w:r>
        <w:t>6.</w:t>
      </w:r>
      <w:r>
        <w:tab/>
      </w:r>
      <w:r>
        <w:rPr>
          <w:noProof/>
        </w:rPr>
        <w:t>Komisja jest uprawniona do przyjmowania aktów wykonawczych określających procedury, treść i terminy przekazywania raportów dotyczących metadanych i jakości. Te akty wykonawcze przyjmuje się zgodnie z procedurą sprawdzającą, o której mowa w art. 22 ust. 2.</w:t>
      </w:r>
    </w:p>
    <w:p>
      <w:pPr>
        <w:pStyle w:val="ManualNumPar1"/>
        <w:rPr>
          <w:noProof/>
        </w:rPr>
      </w:pPr>
      <w:r>
        <w:t>7.</w:t>
      </w:r>
      <w:r>
        <w:tab/>
      </w:r>
      <w:r>
        <w:rPr>
          <w:noProof/>
        </w:rPr>
        <w:t>Państwa członkowskie informują niezwłocznie Komisję (Eurostat) o wszelkich istotnych informacjach lub zmianach dotyczących wykonania niniejszego rozporządzenia, które mają wpływ na jakość przekazywanych danych. Państwa członkowskie informują Komisję (Eurostat) o znaczących zmianach metodycznych lub innych zmianach, które mają wpływ na jakość krajowych statystycznych rejestrów przedsiębiorstw. Informacje te są przekazywane jak najszybciej i nie później niż sześć miesięcy po wejściu w życie każdej takiej zmiany.</w:t>
      </w:r>
    </w:p>
    <w:p>
      <w:pPr>
        <w:pStyle w:val="ManualNumPar1"/>
        <w:rPr>
          <w:noProof/>
        </w:rPr>
      </w:pPr>
      <w:r>
        <w:t>8.</w:t>
      </w:r>
      <w:r>
        <w:tab/>
      </w:r>
      <w:r>
        <w:rPr>
          <w:noProof/>
        </w:rPr>
        <w:t>Na wniosek Komisji (Eurostatu) państwa członkowskie dostarczają jej dodatkowe informacje niezbędne do oceny jakości informacji statystycznych.</w:t>
      </w:r>
    </w:p>
    <w:p>
      <w:pPr>
        <w:pStyle w:val="Titrearticle"/>
        <w:rPr>
          <w:noProof/>
        </w:rPr>
      </w:pPr>
      <w:r>
        <w:rPr>
          <w:noProof/>
        </w:rPr>
        <w:t>Artykuł 17</w:t>
      </w:r>
    </w:p>
    <w:p>
      <w:pPr>
        <w:pStyle w:val="Titrearticle"/>
        <w:rPr>
          <w:noProof/>
        </w:rPr>
      </w:pPr>
      <w:r>
        <w:rPr>
          <w:noProof/>
        </w:rPr>
        <w:t>Przekazywanie danych i metadanych</w:t>
      </w:r>
    </w:p>
    <w:p>
      <w:pPr>
        <w:pStyle w:val="ManualNumPar1"/>
        <w:rPr>
          <w:noProof/>
        </w:rPr>
      </w:pPr>
      <w:r>
        <w:t>1.</w:t>
      </w:r>
      <w:r>
        <w:tab/>
      </w:r>
      <w:r>
        <w:rPr>
          <w:noProof/>
        </w:rPr>
        <w:t>Państwa członkowskie przekazują Komisji (Eurostatowi) dane i metadane wymagane na mocy niniejszego rozporządzenia zgodnie ze standardami wymiany danych i metadanych. Komisja jest uprawniona do przyjmowania aktów wykonawczych zgodnie z procedurą sprawdzającą, o której mowa w art. 22 ust. 2, w celu ustanowienia takich standardów oraz opracowania procedury przekazywania danych i metadanych. Jeżeli przekazywane dane mają charakter poufny, rzeczywista wartość zostanie przesłana z oznaczeniem wskazującym, że dane te są objęte zasadą poufności i że nie mogą być rozpowszechniane.</w:t>
      </w:r>
    </w:p>
    <w:p>
      <w:pPr>
        <w:pStyle w:val="ManualNumPar1"/>
        <w:rPr>
          <w:noProof/>
        </w:rPr>
      </w:pPr>
      <w:r>
        <w:t>2.</w:t>
      </w:r>
      <w:r>
        <w:tab/>
      </w:r>
      <w:r>
        <w:rPr>
          <w:noProof/>
        </w:rPr>
        <w:t xml:space="preserve">Państwa członkowskie przeprowadzają analizy statystyczne krajowych statystycznych rejestrów przedsiębiorstw i przekazują informacje Komisji (Eurostatowi) zgodnie z formatem i procedurą określonymi w aktach wykonawczych przyjętych zgodnie z procedurą sprawdzającą, o której mowa w art. 22 ust. 2. </w:t>
      </w:r>
    </w:p>
    <w:p>
      <w:pPr>
        <w:pStyle w:val="ManualNumPar1"/>
        <w:rPr>
          <w:noProof/>
        </w:rPr>
      </w:pPr>
      <w:r>
        <w:t>3.</w:t>
      </w:r>
      <w:r>
        <w:tab/>
      </w:r>
      <w:r>
        <w:rPr>
          <w:noProof/>
        </w:rPr>
        <w:t>Państwa członkowskie przekazują Komisji (Eurostatowi) na jej żądanie wszystkie istotne informacje dotyczące wykonania niniejszego rozporządzenia w państwach członkowskich.</w:t>
      </w:r>
    </w:p>
    <w:p>
      <w:pPr>
        <w:pStyle w:val="Titrearticle"/>
        <w:rPr>
          <w:noProof/>
        </w:rPr>
      </w:pPr>
      <w:r>
        <w:rPr>
          <w:noProof/>
        </w:rPr>
        <w:t>Artykuł 18</w:t>
      </w:r>
    </w:p>
    <w:p>
      <w:pPr>
        <w:pStyle w:val="Titrearticle"/>
        <w:rPr>
          <w:noProof/>
        </w:rPr>
      </w:pPr>
      <w:r>
        <w:rPr>
          <w:noProof/>
        </w:rPr>
        <w:t>Zachowanie poufności w odniesieniu do rozpowszechniania danych statystycznych dotyczących międzynarodowego handlu towarami</w:t>
      </w:r>
    </w:p>
    <w:p>
      <w:pPr>
        <w:rPr>
          <w:rStyle w:val="Text2Char"/>
          <w:noProof/>
        </w:rPr>
      </w:pPr>
      <w:r>
        <w:rPr>
          <w:rStyle w:val="Text2Char"/>
          <w:noProof/>
        </w:rPr>
        <w:t>Krajowe urzędy statystyczne, na wniosek importera lub eksportera, decydują o tym, czy rozpowszechniać dane statystyczne, które mogą umożliwić identyfikację tego importera lub eksportera, czy też należy zmienić wyniki statystyczne, aby nie naruszać poufności informacji statystycznych, zgodnie z art. 20 ust. 3 lit. a) rozporządzenia (WE) nr 223/2009.</w:t>
      </w:r>
    </w:p>
    <w:p>
      <w:pPr>
        <w:pStyle w:val="ChapterTitle"/>
        <w:rPr>
          <w:noProof/>
        </w:rPr>
      </w:pPr>
      <w:r>
        <w:rPr>
          <w:noProof/>
        </w:rPr>
        <w:t>ROZDZIAŁ VII</w:t>
      </w:r>
    </w:p>
    <w:p>
      <w:pPr>
        <w:pStyle w:val="ChapterTitle"/>
        <w:rPr>
          <w:noProof/>
        </w:rPr>
      </w:pPr>
      <w:r>
        <w:rPr>
          <w:noProof/>
        </w:rPr>
        <w:t>BADANIA PILOTAŻOWE I FINANSOWANIE</w:t>
      </w:r>
    </w:p>
    <w:p>
      <w:pPr>
        <w:pStyle w:val="Titrearticle"/>
        <w:rPr>
          <w:noProof/>
        </w:rPr>
      </w:pPr>
      <w:r>
        <w:rPr>
          <w:noProof/>
        </w:rPr>
        <w:t>Artykuł 19</w:t>
      </w:r>
    </w:p>
    <w:p>
      <w:pPr>
        <w:pStyle w:val="Titrearticle"/>
        <w:rPr>
          <w:noProof/>
        </w:rPr>
      </w:pPr>
      <w:r>
        <w:rPr>
          <w:noProof/>
        </w:rPr>
        <w:t>Badania pilotażowe</w:t>
      </w:r>
    </w:p>
    <w:p>
      <w:pPr>
        <w:pStyle w:val="ManualNumPar1"/>
        <w:rPr>
          <w:noProof/>
        </w:rPr>
      </w:pPr>
      <w:r>
        <w:t>1.</w:t>
      </w:r>
      <w:r>
        <w:tab/>
      </w:r>
      <w:r>
        <w:rPr>
          <w:noProof/>
        </w:rPr>
        <w:t>W przypadku stwierdzenia przez Komisję (Eurostat) potrzeby wprowadzenia znaczących nowych wymagań dotyczących danych lub potrzeby ulepszenia zestawów danych objętych niniejszym rozporządzeniem, może ona przed zebraniem jakiegokolwiek nowego zestawu danych zainicjować badania pilotażowe prowadzone przez państwa członkowskie na zasadzie dobrowolności.</w:t>
      </w:r>
    </w:p>
    <w:p>
      <w:pPr>
        <w:pStyle w:val="ManualNumPar1"/>
        <w:rPr>
          <w:noProof/>
        </w:rPr>
      </w:pPr>
      <w:r>
        <w:t>2.</w:t>
      </w:r>
      <w:r>
        <w:tab/>
      </w:r>
      <w:r>
        <w:rPr>
          <w:noProof/>
        </w:rPr>
        <w:t>Takie badania pilotażowe przeprowadzane są w celu oceny przydatności oraz możliwości uzyskiwania danych, z uwzględnieniem korzyści z dostępu do danych w stosunku do kosztów ich gromadzenia i obciążenia podmiotów prowadzących działalność gospodarczą.</w:t>
      </w:r>
    </w:p>
    <w:p>
      <w:pPr>
        <w:pStyle w:val="ManualNumPar1"/>
        <w:rPr>
          <w:noProof/>
        </w:rPr>
      </w:pPr>
      <w:r>
        <w:t>3.</w:t>
      </w:r>
      <w:r>
        <w:tab/>
      </w:r>
      <w:r>
        <w:rPr>
          <w:noProof/>
        </w:rPr>
        <w:t>Pierwsze badania pilotażowe, które mają być zainicjowane, obejmują sposoby prowadzenia międzynarodowego handlu usługami i międzynarodowy handel usługami w podziale według cech przedsiębiorstwa.</w:t>
      </w:r>
    </w:p>
    <w:p>
      <w:pPr>
        <w:pStyle w:val="Titrearticle"/>
        <w:rPr>
          <w:noProof/>
        </w:rPr>
      </w:pPr>
      <w:r>
        <w:rPr>
          <w:noProof/>
        </w:rPr>
        <w:t>Artykuł 20</w:t>
      </w:r>
    </w:p>
    <w:p>
      <w:pPr>
        <w:pStyle w:val="Titrearticle"/>
        <w:rPr>
          <w:noProof/>
        </w:rPr>
      </w:pPr>
      <w:r>
        <w:rPr>
          <w:noProof/>
        </w:rPr>
        <w:t>Finansowanie</w:t>
      </w:r>
    </w:p>
    <w:p>
      <w:pPr>
        <w:pStyle w:val="ManualNumPar1"/>
        <w:rPr>
          <w:noProof/>
        </w:rPr>
      </w:pPr>
      <w:r>
        <w:t>1.</w:t>
      </w:r>
      <w:r>
        <w:tab/>
      </w:r>
      <w:r>
        <w:rPr>
          <w:noProof/>
        </w:rPr>
        <w:t>W celu wykonania niniejszego rozporządzenia Unia może przyznać wsparcie finansowe krajowym urzędom statystycznym i innym organom krajowym, o których mowa w wykazie ustanowionym na podstawie art. 5 ust. 2 rozporządzenia (WE) nr 223/2009, na pokrycie kosztów:</w:t>
      </w:r>
    </w:p>
    <w:p>
      <w:pPr>
        <w:pStyle w:val="Point1"/>
        <w:rPr>
          <w:noProof/>
        </w:rPr>
      </w:pPr>
      <w:r>
        <w:rPr>
          <w:noProof/>
        </w:rPr>
        <w:t>a)</w:t>
      </w:r>
      <w:r>
        <w:rPr>
          <w:noProof/>
        </w:rPr>
        <w:tab/>
        <w:t xml:space="preserve">opracowywania lub wdrażania wymogów dotyczących danych w dziedzinie statystyki gospodarczej; </w:t>
      </w:r>
    </w:p>
    <w:p>
      <w:pPr>
        <w:pStyle w:val="Point1"/>
        <w:rPr>
          <w:noProof/>
        </w:rPr>
      </w:pPr>
      <w:r>
        <w:rPr>
          <w:noProof/>
        </w:rPr>
        <w:t>b)</w:t>
      </w:r>
      <w:r>
        <w:rPr>
          <w:noProof/>
        </w:rPr>
        <w:tab/>
        <w:t>opracowywania metod zmierzających do wyższej jakości lub niższych kosztów i mniejszego obciążenia administracyjnego związanych ze zbieraniem i tworzeniem statystyki gospodarczej i rozwoju europejskiej sieci statystycznych rejestrów przedsiębiorstw.</w:t>
      </w:r>
    </w:p>
    <w:p>
      <w:pPr>
        <w:pStyle w:val="ManualNumPar1"/>
        <w:rPr>
          <w:noProof/>
        </w:rPr>
      </w:pPr>
      <w:r>
        <w:t>2.</w:t>
      </w:r>
      <w:r>
        <w:tab/>
      </w:r>
      <w:r>
        <w:rPr>
          <w:noProof/>
        </w:rPr>
        <w:t>Wkład finansowy Unii jest przyznawany zgodnie z art. 7 rozporządzenia (UE) Parlamentu Europejskiego i Rady nr 99/2013 i art. 6 rozporządzenia Parlamentu Europejskiego i Rady (UE) nr 1291/2013.</w:t>
      </w:r>
    </w:p>
    <w:p>
      <w:pPr>
        <w:pStyle w:val="ManualNumPar1"/>
        <w:rPr>
          <w:noProof/>
        </w:rPr>
      </w:pPr>
      <w:r>
        <w:t>3.</w:t>
      </w:r>
      <w:r>
        <w:tab/>
      </w:r>
      <w:r>
        <w:rPr>
          <w:noProof/>
        </w:rPr>
        <w:t>Wkład finansowy Unii nie może przekraczać 95 % kosztów kwalifikowalnych.</w:t>
      </w:r>
    </w:p>
    <w:p>
      <w:pPr>
        <w:pStyle w:val="ChapterTitle"/>
        <w:rPr>
          <w:noProof/>
        </w:rPr>
      </w:pPr>
      <w:r>
        <w:rPr>
          <w:noProof/>
        </w:rPr>
        <w:t>ROZDZIAŁ VIII</w:t>
      </w:r>
    </w:p>
    <w:p>
      <w:pPr>
        <w:pStyle w:val="ChapterTitle"/>
        <w:rPr>
          <w:noProof/>
        </w:rPr>
      </w:pPr>
      <w:r>
        <w:rPr>
          <w:noProof/>
        </w:rPr>
        <w:t>PRZEPISY KOŃCOWE</w:t>
      </w:r>
    </w:p>
    <w:p>
      <w:pPr>
        <w:pStyle w:val="Titrearticle"/>
        <w:rPr>
          <w:noProof/>
        </w:rPr>
      </w:pPr>
      <w:r>
        <w:rPr>
          <w:noProof/>
        </w:rPr>
        <w:t>Artykuł 21</w:t>
      </w:r>
    </w:p>
    <w:p>
      <w:pPr>
        <w:pStyle w:val="Titrearticle"/>
        <w:rPr>
          <w:noProof/>
        </w:rPr>
      </w:pPr>
      <w:r>
        <w:rPr>
          <w:noProof/>
        </w:rPr>
        <w:t>Wykonywanie przekazanych uprawnień</w:t>
      </w:r>
    </w:p>
    <w:p>
      <w:pPr>
        <w:pStyle w:val="ManualNumPar1"/>
        <w:rPr>
          <w:noProof/>
        </w:rPr>
      </w:pPr>
      <w:r>
        <w:t>1.</w:t>
      </w:r>
      <w:r>
        <w:tab/>
      </w:r>
      <w:r>
        <w:rPr>
          <w:noProof/>
        </w:rPr>
        <w:t xml:space="preserve">Powierzenie Komisji uprawnień do przyjęcia aktów delegowanych podlega warunkom określonym w niniejszym artykule. </w:t>
      </w:r>
    </w:p>
    <w:p>
      <w:pPr>
        <w:pStyle w:val="ManualNumPar1"/>
        <w:rPr>
          <w:noProof/>
        </w:rPr>
      </w:pPr>
      <w:r>
        <w:t>2.</w:t>
      </w:r>
      <w:r>
        <w:tab/>
      </w:r>
      <w:r>
        <w:rPr>
          <w:noProof/>
        </w:rPr>
        <w:t>Uprawnienia do przyjmowania aktów delegowanych, o których mowa w art. 5, 6, 9 i 12, powierza się Komisji na czas nieokreślony.</w:t>
      </w:r>
    </w:p>
    <w:p>
      <w:pPr>
        <w:pStyle w:val="ManualNumPar1"/>
        <w:rPr>
          <w:noProof/>
        </w:rPr>
      </w:pPr>
      <w:r>
        <w:t>3.</w:t>
      </w:r>
      <w:r>
        <w:tab/>
      </w:r>
      <w:r>
        <w:rPr>
          <w:noProof/>
        </w:rPr>
        <w:t xml:space="preserve">Przekazanie uprawnień, o którym mowa w art. 5, 6, 9 i 12, może zostać w dowolnym momencie odwołane przez Parlament Europejski lub przez Radę. Decyzja o odwołaniu kończy przekazanie określonych w niej uprawnień. Decyzja ta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w:t>
      </w:r>
    </w:p>
    <w:p>
      <w:pPr>
        <w:pStyle w:val="ManualNumPar1"/>
        <w:rPr>
          <w:noProof/>
        </w:rPr>
      </w:pPr>
      <w:r>
        <w:t>4.</w:t>
      </w:r>
      <w:r>
        <w:tab/>
      </w:r>
      <w:r>
        <w:rPr>
          <w:noProof/>
        </w:rPr>
        <w:t>Przed przyjęciem aktu delegowanego Komisja konsultuje się z ekspertami wyznaczonymi przez każde państwo członkowskie zgodnie z zasadami określonymi w Porozumieniu międzyinstytucjonalnym w sprawie lepszego stanowienia prawa z dnia 13 kwietnia 2016 r.</w:t>
      </w:r>
    </w:p>
    <w:p>
      <w:pPr>
        <w:pStyle w:val="ManualNumPar1"/>
        <w:rPr>
          <w:noProof/>
        </w:rPr>
      </w:pPr>
      <w:r>
        <w:t>5.</w:t>
      </w:r>
      <w:r>
        <w:tab/>
      </w:r>
      <w:r>
        <w:rPr>
          <w:noProof/>
        </w:rPr>
        <w:t>Niezwłocznie po przyjęciu aktu delegowanego Komisja przekazuje go równocześnie Parlamentowi Europejskiemu i Radzie.</w:t>
      </w:r>
    </w:p>
    <w:p>
      <w:pPr>
        <w:pStyle w:val="ManualNumPar1"/>
        <w:rPr>
          <w:noProof/>
        </w:rPr>
      </w:pPr>
      <w:r>
        <w:t>6.</w:t>
      </w:r>
      <w:r>
        <w:tab/>
      </w:r>
      <w:r>
        <w:rPr>
          <w:noProof/>
        </w:rPr>
        <w:t>Akt delegowany przyjęty na podstawie art. 5, 6, 9 i 12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Titrearticle"/>
        <w:rPr>
          <w:noProof/>
        </w:rPr>
      </w:pPr>
      <w:r>
        <w:rPr>
          <w:noProof/>
        </w:rPr>
        <w:t>Artykuł 22</w:t>
      </w:r>
    </w:p>
    <w:p>
      <w:pPr>
        <w:pStyle w:val="Titrearticle"/>
        <w:rPr>
          <w:noProof/>
        </w:rPr>
      </w:pPr>
      <w:r>
        <w:rPr>
          <w:noProof/>
        </w:rPr>
        <w:t>Komitet</w:t>
      </w:r>
    </w:p>
    <w:p>
      <w:pPr>
        <w:pStyle w:val="ManualNumPar1"/>
        <w:rPr>
          <w:noProof/>
        </w:rPr>
      </w:pPr>
      <w:r>
        <w:t>1.</w:t>
      </w:r>
      <w:r>
        <w:tab/>
      </w:r>
      <w:r>
        <w:rPr>
          <w:noProof/>
        </w:rPr>
        <w:t>Komisję wspomaga Komitet ds. Europejskiego Systemu Statystycznego, ustanowiony rozporządzeniem (WE) nr 223/2009. Komitet ten jest komitetem w rozumieniu rozporządzenia (UE) nr 182/2011.</w:t>
      </w:r>
    </w:p>
    <w:p>
      <w:pPr>
        <w:pStyle w:val="ManualNumPar1"/>
        <w:rPr>
          <w:noProof/>
        </w:rPr>
      </w:pPr>
      <w:r>
        <w:t>2.</w:t>
      </w:r>
      <w:r>
        <w:tab/>
      </w:r>
      <w:r>
        <w:rPr>
          <w:noProof/>
        </w:rPr>
        <w:t>W przypadku odesłania do niniejszego ustępu stosuje się art. 5 rozporządzenia (UE) nr 182/2011.</w:t>
      </w:r>
    </w:p>
    <w:p>
      <w:pPr>
        <w:pStyle w:val="Titrearticle"/>
        <w:rPr>
          <w:noProof/>
        </w:rPr>
      </w:pPr>
      <w:r>
        <w:rPr>
          <w:noProof/>
        </w:rPr>
        <w:t>Artykuł 23</w:t>
      </w:r>
    </w:p>
    <w:p>
      <w:pPr>
        <w:pStyle w:val="Titrearticle"/>
        <w:rPr>
          <w:noProof/>
        </w:rPr>
      </w:pPr>
      <w:r>
        <w:rPr>
          <w:noProof/>
        </w:rPr>
        <w:t>Współpraca z innymi komitetami</w:t>
      </w:r>
    </w:p>
    <w:p>
      <w:pPr>
        <w:spacing w:after="200" w:line="276" w:lineRule="auto"/>
        <w:rPr>
          <w:noProof/>
        </w:rPr>
      </w:pPr>
      <w:r>
        <w:rPr>
          <w:noProof/>
        </w:rPr>
        <w:t>We wszystkich sprawach wchodzących w zakres kompetencji Komitetu ds. Statystyki Walutowej, Finansowej i Bilansu Płatniczego ustanowionego na mocy decyzji Rady 2006/856/WE Komisja zwraca się do tego komitetu o wydanie opinii zgodnie z tą decyzją.</w:t>
      </w:r>
    </w:p>
    <w:p>
      <w:pPr>
        <w:pStyle w:val="Titrearticle"/>
        <w:rPr>
          <w:noProof/>
        </w:rPr>
      </w:pPr>
      <w:r>
        <w:rPr>
          <w:noProof/>
        </w:rPr>
        <w:t>Artykuł 24</w:t>
      </w:r>
    </w:p>
    <w:p>
      <w:pPr>
        <w:pStyle w:val="Titrearticle"/>
        <w:rPr>
          <w:noProof/>
        </w:rPr>
      </w:pPr>
      <w:r>
        <w:rPr>
          <w:noProof/>
        </w:rPr>
        <w:t>Odstępstwa</w:t>
      </w:r>
    </w:p>
    <w:p>
      <w:pPr>
        <w:pStyle w:val="ManualNumPar1"/>
        <w:rPr>
          <w:noProof/>
        </w:rPr>
      </w:pPr>
      <w:r>
        <w:t>1.</w:t>
      </w:r>
      <w:r>
        <w:tab/>
      </w:r>
      <w:r>
        <w:rPr>
          <w:noProof/>
        </w:rPr>
        <w:t>Jeżeli stosowanie niniejszego rozporządzenia w krajowym systemie statystycznym państwa członkowskiego wymaga znacznych dostosowań, Komisja może udzielić – w drodze aktów wykonawczych – odstępstw od jego stosowania na maksymalny okres trzech lat, pod warunkiem że odstępstwa te nie zmniejszają porównywalności danych państw członkowskich ani nie utrudniają obliczania wymaganych aktualnych i reprezentatywnych agregatów europejskich.</w:t>
      </w:r>
    </w:p>
    <w:p>
      <w:pPr>
        <w:pStyle w:val="ManualNumPar1"/>
        <w:rPr>
          <w:noProof/>
        </w:rPr>
      </w:pPr>
      <w:r>
        <w:t>2.</w:t>
      </w:r>
      <w:r>
        <w:tab/>
      </w:r>
      <w:r>
        <w:rPr>
          <w:noProof/>
        </w:rPr>
        <w:t>Komisja przyjmuje te akty wykonawcze zgodnie z procedurą sprawdzającą, o której mowa w art. 22 ust. 2.</w:t>
      </w:r>
    </w:p>
    <w:p>
      <w:pPr>
        <w:pStyle w:val="Titrearticle"/>
        <w:rPr>
          <w:noProof/>
        </w:rPr>
      </w:pPr>
      <w:r>
        <w:rPr>
          <w:noProof/>
        </w:rPr>
        <w:t xml:space="preserve">Artykuł 25 </w:t>
      </w:r>
    </w:p>
    <w:p>
      <w:pPr>
        <w:pStyle w:val="Titrearticle"/>
        <w:rPr>
          <w:noProof/>
        </w:rPr>
      </w:pPr>
      <w:r>
        <w:rPr>
          <w:noProof/>
        </w:rPr>
        <w:t>Zmiana rozporządzenia (WE) nr 184/2005</w:t>
      </w:r>
    </w:p>
    <w:p>
      <w:pPr>
        <w:rPr>
          <w:noProof/>
        </w:rPr>
      </w:pPr>
      <w:r>
        <w:rPr>
          <w:noProof/>
        </w:rPr>
        <w:t>W rozporządzeniu (WE) nr 184/2005 wprowadza się następujące zmiany:</w:t>
      </w:r>
    </w:p>
    <w:p>
      <w:pPr>
        <w:pStyle w:val="Point0"/>
        <w:rPr>
          <w:noProof/>
        </w:rPr>
      </w:pPr>
      <w:r>
        <w:rPr>
          <w:noProof/>
        </w:rPr>
        <w:t>a)</w:t>
      </w:r>
      <w:r>
        <w:rPr>
          <w:noProof/>
        </w:rPr>
        <w:tab/>
        <w:t xml:space="preserve">art. 1 otrzymuje brzmienie: </w:t>
      </w:r>
    </w:p>
    <w:p>
      <w:pPr>
        <w:pStyle w:val="title-article-norm2"/>
        <w:rPr>
          <w:rFonts w:eastAsia="Arial Unicode MS"/>
          <w:noProof/>
          <w:color w:val="444444"/>
        </w:rPr>
      </w:pPr>
      <w:r>
        <w:rPr>
          <w:noProof/>
        </w:rPr>
        <w:t>„</w:t>
      </w:r>
      <w:r>
        <w:rPr>
          <w:noProof/>
          <w:color w:val="444444"/>
        </w:rPr>
        <w:t>Artykuł 1</w:t>
      </w:r>
    </w:p>
    <w:p>
      <w:pPr>
        <w:pStyle w:val="stitle-article-norm2"/>
        <w:rPr>
          <w:rFonts w:eastAsia="Arial Unicode MS"/>
          <w:noProof/>
          <w:color w:val="444444"/>
        </w:rPr>
      </w:pPr>
      <w:r>
        <w:rPr>
          <w:noProof/>
          <w:color w:val="444444"/>
        </w:rPr>
        <w:t>Przedmiot</w:t>
      </w:r>
    </w:p>
    <w:p>
      <w:pPr>
        <w:pStyle w:val="stitle-article-norm2"/>
        <w:jc w:val="left"/>
        <w:rPr>
          <w:rFonts w:eastAsia="Arial Unicode MS"/>
          <w:noProof/>
          <w:color w:val="444444"/>
        </w:rPr>
      </w:pPr>
      <w:r>
        <w:rPr>
          <w:b w:val="0"/>
          <w:noProof/>
          <w:color w:val="444444"/>
        </w:rPr>
        <w:t>Niniejsze rozporządzenie określa wspólne zasady systematycznego sporządzania wspólnotowej statystyki bilansu płatniczego i zagranicznych inwestycji bezpośrednich.</w:t>
      </w:r>
      <w:r>
        <w:rPr>
          <w:b w:val="0"/>
          <w:noProof/>
        </w:rPr>
        <w:t>”;</w:t>
      </w:r>
    </w:p>
    <w:p>
      <w:pPr>
        <w:pStyle w:val="norm3"/>
        <w:rPr>
          <w:noProof/>
        </w:rPr>
      </w:pPr>
    </w:p>
    <w:p>
      <w:pPr>
        <w:pStyle w:val="Point0"/>
        <w:rPr>
          <w:noProof/>
        </w:rPr>
      </w:pPr>
      <w:r>
        <w:rPr>
          <w:noProof/>
        </w:rPr>
        <w:t>b)</w:t>
      </w:r>
      <w:r>
        <w:rPr>
          <w:noProof/>
        </w:rPr>
        <w:tab/>
        <w:t xml:space="preserve">art. 2 ust. 1 otrzymuje brzmienie: </w:t>
      </w:r>
    </w:p>
    <w:p>
      <w:pPr>
        <w:pStyle w:val="Point1"/>
        <w:rPr>
          <w:noProof/>
        </w:rPr>
      </w:pPr>
      <w:r>
        <w:rPr>
          <w:noProof/>
        </w:rPr>
        <w:t>„1. Państwa członkowskie dostarczają Komisji (Eurostatowi) dane dotyczące bilansu płatniczego i zagranicznych inwestycji bezpośrednich wymienione w załączniku I. Dane te odpowiadają definicjom określonym w załączniku II.”;</w:t>
      </w:r>
    </w:p>
    <w:p>
      <w:pPr>
        <w:pStyle w:val="Point0"/>
        <w:rPr>
          <w:noProof/>
        </w:rPr>
      </w:pPr>
      <w:r>
        <w:rPr>
          <w:noProof/>
        </w:rPr>
        <w:t>c)</w:t>
      </w:r>
      <w:r>
        <w:rPr>
          <w:noProof/>
        </w:rPr>
        <w:tab/>
        <w:t>w art. 5 ust. 1 skreśla się lit. c);</w:t>
      </w:r>
    </w:p>
    <w:p>
      <w:pPr>
        <w:pStyle w:val="Point0"/>
        <w:rPr>
          <w:noProof/>
        </w:rPr>
      </w:pPr>
      <w:r>
        <w:rPr>
          <w:noProof/>
        </w:rPr>
        <w:t>d)</w:t>
      </w:r>
      <w:r>
        <w:rPr>
          <w:noProof/>
        </w:rPr>
        <w:tab/>
        <w:t xml:space="preserve">w art. 12 lit. a) otrzymuje brzmienie: </w:t>
      </w:r>
    </w:p>
    <w:p>
      <w:pPr>
        <w:pStyle w:val="Point1"/>
        <w:rPr>
          <w:noProof/>
        </w:rPr>
      </w:pPr>
      <w:r>
        <w:rPr>
          <w:noProof/>
        </w:rPr>
        <w:t>„a) ocenia jakość danych w zakresie bilansu płatniczego i BIZ;”;</w:t>
      </w:r>
    </w:p>
    <w:p>
      <w:pPr>
        <w:pStyle w:val="Point0"/>
        <w:rPr>
          <w:noProof/>
        </w:rPr>
      </w:pPr>
      <w:r>
        <w:rPr>
          <w:noProof/>
        </w:rPr>
        <w:t>e)</w:t>
      </w:r>
      <w:r>
        <w:rPr>
          <w:noProof/>
        </w:rPr>
        <w:tab/>
        <w:t xml:space="preserve">w załączniku I w tablicy 3 (Międzynarodowy handel usługami) wprowadza się zmiany zgodnie z załącznikiem IV do niniejszego rozporządzenia. </w:t>
      </w:r>
    </w:p>
    <w:p>
      <w:pPr>
        <w:pStyle w:val="Titrearticle"/>
        <w:rPr>
          <w:noProof/>
        </w:rPr>
      </w:pPr>
      <w:r>
        <w:rPr>
          <w:noProof/>
        </w:rPr>
        <w:t>Artykuł 26</w:t>
      </w:r>
    </w:p>
    <w:p>
      <w:pPr>
        <w:pStyle w:val="Titrearticle"/>
        <w:rPr>
          <w:noProof/>
        </w:rPr>
      </w:pPr>
      <w:r>
        <w:rPr>
          <w:noProof/>
        </w:rPr>
        <w:t>Uchylenie</w:t>
      </w:r>
    </w:p>
    <w:p>
      <w:pPr>
        <w:pStyle w:val="ManualNumPar1"/>
        <w:rPr>
          <w:noProof/>
        </w:rPr>
      </w:pPr>
      <w:r>
        <w:t>1.</w:t>
      </w:r>
      <w:r>
        <w:tab/>
      </w:r>
      <w:r>
        <w:rPr>
          <w:noProof/>
        </w:rPr>
        <w:t xml:space="preserve">Rozporządzenia (EWG) nr 3924/91, (WE) nr 48/2004, (WE) nr 716/2007, (WE) nr 177/2008 i (WE) nr 295/2008 oraz decyzja (WE) nr 1608/2003 tracą moc ze skutkiem od dnia 1 stycznia 2019 r. </w:t>
      </w:r>
    </w:p>
    <w:p>
      <w:pPr>
        <w:pStyle w:val="ManualNumPar1"/>
        <w:rPr>
          <w:noProof/>
        </w:rPr>
      </w:pPr>
      <w:r>
        <w:t>2.</w:t>
      </w:r>
      <w:r>
        <w:tab/>
      </w:r>
      <w:r>
        <w:rPr>
          <w:noProof/>
        </w:rPr>
        <w:t>Rozporządzenie (WE) nr 1165/1998 traci moc ze skutkiem od dnia 1 stycznia 2024 r.</w:t>
      </w:r>
    </w:p>
    <w:p>
      <w:pPr>
        <w:pStyle w:val="ManualNumPar1"/>
        <w:rPr>
          <w:noProof/>
        </w:rPr>
      </w:pPr>
      <w:r>
        <w:t>3.</w:t>
      </w:r>
      <w:r>
        <w:tab/>
      </w:r>
      <w:r>
        <w:rPr>
          <w:noProof/>
        </w:rPr>
        <w:t xml:space="preserve">Rozporządzenie (WE) nr 808/2004 traci moc ze skutkiem od dnia 1 stycznia 2020 r. </w:t>
      </w:r>
    </w:p>
    <w:p>
      <w:pPr>
        <w:pStyle w:val="ManualNumPar1"/>
        <w:rPr>
          <w:noProof/>
        </w:rPr>
      </w:pPr>
      <w:r>
        <w:t>4.</w:t>
      </w:r>
      <w:r>
        <w:tab/>
      </w:r>
      <w:r>
        <w:rPr>
          <w:noProof/>
        </w:rPr>
        <w:t>Rozporządzenia (WE) nr 638/2004 i (WE) nr 471/2009 tracą moc ze skutkiem od dnia 1 stycznia 2020 r.</w:t>
      </w:r>
    </w:p>
    <w:p>
      <w:pPr>
        <w:pStyle w:val="ManualNumPar1"/>
        <w:rPr>
          <w:noProof/>
        </w:rPr>
      </w:pPr>
      <w:r>
        <w:t>5.</w:t>
      </w:r>
      <w:r>
        <w:tab/>
      </w:r>
      <w:r>
        <w:rPr>
          <w:noProof/>
        </w:rPr>
        <w:t>Odesłania do uchylonych aktów prawnych uznaje się za odesłania do niniejszego rozporządzenia.</w:t>
      </w:r>
    </w:p>
    <w:p>
      <w:pPr>
        <w:pStyle w:val="Titrearticle"/>
        <w:rPr>
          <w:noProof/>
        </w:rPr>
      </w:pPr>
      <w:r>
        <w:rPr>
          <w:noProof/>
        </w:rPr>
        <w:t>Artykuł 27</w:t>
      </w:r>
    </w:p>
    <w:p>
      <w:pPr>
        <w:pStyle w:val="Titrearticle"/>
        <w:rPr>
          <w:noProof/>
        </w:rPr>
      </w:pPr>
      <w:r>
        <w:rPr>
          <w:noProof/>
        </w:rPr>
        <w:t>Wejście w życie i stosowanie</w:t>
      </w:r>
    </w:p>
    <w:p>
      <w:pPr>
        <w:pStyle w:val="ManualNumPar1"/>
        <w:rPr>
          <w:noProof/>
        </w:rPr>
      </w:pPr>
      <w:r>
        <w:t>1.</w:t>
      </w:r>
      <w:r>
        <w:tab/>
      </w:r>
      <w:r>
        <w:rPr>
          <w:noProof/>
        </w:rPr>
        <w:t xml:space="preserve">Niniejsze rozporządzenie wchodzi w życie dwudziestego dnia po jego opublikowaniu w </w:t>
      </w:r>
      <w:r>
        <w:rPr>
          <w:i/>
          <w:noProof/>
        </w:rPr>
        <w:t>Dzienniku Urzędowym Unii Europejskiej</w:t>
      </w:r>
      <w:r>
        <w:rPr>
          <w:noProof/>
        </w:rPr>
        <w:t>.</w:t>
      </w:r>
    </w:p>
    <w:p>
      <w:pPr>
        <w:pStyle w:val="ManualNumPar1"/>
        <w:rPr>
          <w:noProof/>
        </w:rPr>
      </w:pPr>
      <w:r>
        <w:t>2.</w:t>
      </w:r>
      <w:r>
        <w:tab/>
      </w:r>
      <w:r>
        <w:rPr>
          <w:noProof/>
        </w:rPr>
        <w:t>Niniejsze rozporządzenie stosuje się od dnia 1 stycznia 2019 r.</w:t>
      </w:r>
    </w:p>
    <w:p>
      <w:pPr>
        <w:pStyle w:val="ManualNumPar1"/>
        <w:rPr>
          <w:noProof/>
        </w:rPr>
      </w:pPr>
      <w:r>
        <w:t>3.</w:t>
      </w:r>
      <w:r>
        <w:tab/>
      </w:r>
      <w:r>
        <w:rPr>
          <w:noProof/>
        </w:rPr>
        <w:t>Art. 11–15 stosuje się jednak od dnia 1 stycznia 2020 r.</w:t>
      </w:r>
    </w:p>
    <w:p>
      <w:pPr>
        <w:pStyle w:val="Applicationdirecte"/>
        <w:keepNext/>
        <w:keepLines/>
        <w:rPr>
          <w:noProof/>
        </w:rPr>
      </w:pPr>
      <w:r>
        <w:rPr>
          <w:noProof/>
        </w:rPr>
        <w:t>Niniejsze rozporządzenie wiąże w całości i jest bezpośrednio stosowane we wszystkich państwach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OCENA SKUTKÓW FINANSOWYCH REGULACJI</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noProof/>
        </w:rPr>
        <w:tab/>
      </w:r>
      <w:r>
        <w:rPr>
          <w:b w:val="0"/>
          <w:noProof/>
        </w:rPr>
        <w:t xml:space="preserve">Tytuł wniosku/inicjatywy </w:t>
      </w:r>
    </w:p>
    <w:p>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pPr>
        <w:pStyle w:val="ManualHeading2"/>
        <w:rPr>
          <w:b w:val="0"/>
          <w:noProof/>
        </w:rPr>
      </w:pPr>
      <w:r>
        <w:rPr>
          <w:noProof/>
        </w:rPr>
        <w:tab/>
      </w:r>
      <w:r>
        <w:rPr>
          <w:b w:val="0"/>
          <w:noProof/>
        </w:rPr>
        <w:t>1.3.</w:t>
      </w:r>
      <w:r>
        <w:rPr>
          <w:noProof/>
        </w:rPr>
        <w:tab/>
      </w:r>
      <w:r>
        <w:rPr>
          <w:b w:val="0"/>
          <w:noProof/>
        </w:rPr>
        <w:t xml:space="preserve">Charakter wniosku/inicjatywy </w:t>
      </w:r>
    </w:p>
    <w:p>
      <w:pPr>
        <w:pStyle w:val="ManualHeading2"/>
        <w:rPr>
          <w:b w:val="0"/>
          <w:noProof/>
        </w:rPr>
      </w:pPr>
      <w:r>
        <w:rPr>
          <w:noProof/>
        </w:rPr>
        <w:tab/>
      </w:r>
      <w:r>
        <w:rPr>
          <w:b w:val="0"/>
          <w:noProof/>
        </w:rPr>
        <w:t>1.4.</w:t>
      </w:r>
      <w:r>
        <w:rPr>
          <w:noProof/>
        </w:rPr>
        <w:tab/>
      </w:r>
      <w:r>
        <w:rPr>
          <w:b w:val="0"/>
          <w:noProof/>
        </w:rPr>
        <w:t xml:space="preserve">Cele </w:t>
      </w:r>
    </w:p>
    <w:p>
      <w:pPr>
        <w:pStyle w:val="ManualHeading2"/>
        <w:rPr>
          <w:b w:val="0"/>
          <w:noProof/>
        </w:rPr>
      </w:pPr>
      <w:r>
        <w:rPr>
          <w:noProof/>
        </w:rPr>
        <w:tab/>
      </w:r>
      <w:r>
        <w:rPr>
          <w:b w:val="0"/>
          <w:noProof/>
        </w:rPr>
        <w:t>1.5.</w:t>
      </w:r>
      <w:r>
        <w:rPr>
          <w:noProof/>
        </w:rPr>
        <w:tab/>
      </w:r>
      <w:r>
        <w:rPr>
          <w:b w:val="0"/>
          <w:noProof/>
        </w:rPr>
        <w:t xml:space="preserve">Uzasadnienie wniosku/inicjatywy </w:t>
      </w:r>
    </w:p>
    <w:p>
      <w:pPr>
        <w:pStyle w:val="ManualHeading2"/>
        <w:rPr>
          <w:b w:val="0"/>
          <w:noProof/>
        </w:rPr>
      </w:pPr>
      <w:r>
        <w:rPr>
          <w:noProof/>
        </w:rPr>
        <w:tab/>
      </w:r>
      <w:r>
        <w:rPr>
          <w:b w:val="0"/>
          <w:noProof/>
        </w:rPr>
        <w:t>1.6.</w:t>
      </w:r>
      <w:r>
        <w:rPr>
          <w:noProof/>
        </w:rPr>
        <w:tab/>
      </w:r>
      <w:r>
        <w:rPr>
          <w:b w:val="0"/>
          <w:noProof/>
        </w:rPr>
        <w:t xml:space="preserve">Okres trwania działania i jego wpływ finansowy </w:t>
      </w:r>
    </w:p>
    <w:p>
      <w:pPr>
        <w:pStyle w:val="ManualHeading2"/>
        <w:rPr>
          <w:b w:val="0"/>
          <w:noProof/>
        </w:rPr>
      </w:pPr>
      <w:r>
        <w:rPr>
          <w:noProof/>
        </w:rPr>
        <w:tab/>
      </w:r>
      <w:r>
        <w:rPr>
          <w:b w:val="0"/>
          <w:noProof/>
        </w:rPr>
        <w:t>1.7.</w:t>
      </w:r>
      <w:r>
        <w:rPr>
          <w:noProof/>
        </w:rPr>
        <w:tab/>
      </w:r>
      <w:r>
        <w:rPr>
          <w:b w:val="0"/>
          <w:noProof/>
        </w:rPr>
        <w:t xml:space="preserve">Planowane tryby zarządzania </w:t>
      </w:r>
    </w:p>
    <w:p>
      <w:pPr>
        <w:pStyle w:val="ManualHeading1"/>
        <w:rPr>
          <w:noProof/>
        </w:rPr>
      </w:pPr>
      <w:r>
        <w:rPr>
          <w:noProof/>
        </w:rPr>
        <w:t>2.</w:t>
      </w:r>
      <w:r>
        <w:rPr>
          <w:noProof/>
        </w:rPr>
        <w:tab/>
        <w:t xml:space="preserve">ŚRODKI ZARZĄDZANIA </w:t>
      </w:r>
    </w:p>
    <w:p>
      <w:pPr>
        <w:pStyle w:val="ManualHeading2"/>
        <w:rPr>
          <w:b w:val="0"/>
          <w:noProof/>
        </w:rPr>
      </w:pPr>
      <w:r>
        <w:rPr>
          <w:noProof/>
        </w:rPr>
        <w:tab/>
      </w:r>
      <w:r>
        <w:rPr>
          <w:b w:val="0"/>
          <w:noProof/>
        </w:rPr>
        <w:t>2.1.</w:t>
      </w:r>
      <w:r>
        <w:rPr>
          <w:noProof/>
        </w:rPr>
        <w:tab/>
      </w:r>
      <w:r>
        <w:rPr>
          <w:b w:val="0"/>
          <w:noProof/>
        </w:rPr>
        <w:t xml:space="preserve">Zasady nadzoru i sprawozdawczości </w:t>
      </w:r>
    </w:p>
    <w:p>
      <w:pPr>
        <w:pStyle w:val="ManualHeading2"/>
        <w:rPr>
          <w:b w:val="0"/>
          <w:noProof/>
        </w:rPr>
      </w:pPr>
      <w:r>
        <w:rPr>
          <w:noProof/>
        </w:rPr>
        <w:tab/>
      </w:r>
      <w:r>
        <w:rPr>
          <w:b w:val="0"/>
          <w:noProof/>
        </w:rPr>
        <w:t>2.2.</w:t>
      </w:r>
      <w:r>
        <w:rPr>
          <w:noProof/>
        </w:rPr>
        <w:tab/>
      </w:r>
      <w:r>
        <w:rPr>
          <w:b w:val="0"/>
          <w:noProof/>
        </w:rPr>
        <w:t xml:space="preserve">System zarządzania i kontroli </w:t>
      </w:r>
    </w:p>
    <w:p>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pPr>
        <w:pStyle w:val="ManualHeading3"/>
        <w:rPr>
          <w:noProof/>
        </w:rPr>
      </w:pPr>
      <w:r>
        <w:rPr>
          <w:noProof/>
        </w:rPr>
        <w:tab/>
        <w:t>3.2.1.</w:t>
      </w:r>
      <w:r>
        <w:rPr>
          <w:noProof/>
        </w:rPr>
        <w:tab/>
        <w:t xml:space="preserve">Synteza szacunkowego wpływu na wydatki </w:t>
      </w:r>
    </w:p>
    <w:p>
      <w:pPr>
        <w:pStyle w:val="ManualHeading3"/>
        <w:rPr>
          <w:noProof/>
        </w:rPr>
      </w:pPr>
      <w:r>
        <w:rPr>
          <w:noProof/>
        </w:rPr>
        <w:tab/>
        <w:t>3.2.2.</w:t>
      </w:r>
      <w:r>
        <w:rPr>
          <w:noProof/>
        </w:rPr>
        <w:tab/>
        <w:t xml:space="preserve">Szacunkowy wpływ na środki operacyjne </w:t>
      </w:r>
    </w:p>
    <w:p>
      <w:pPr>
        <w:pStyle w:val="ManualHeading3"/>
        <w:rPr>
          <w:noProof/>
        </w:rPr>
      </w:pPr>
      <w:r>
        <w:rPr>
          <w:noProof/>
        </w:rPr>
        <w:tab/>
        <w:t>3.2.3.</w:t>
      </w:r>
      <w:r>
        <w:rPr>
          <w:noProof/>
        </w:rPr>
        <w:tab/>
        <w:t>Szacunkowy wpływ na środki administracyjne</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 xml:space="preserve">Udział osób trzecich w finansowaniu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pPr>
        <w:jc w:val="center"/>
        <w:rPr>
          <w:noProof/>
        </w:rPr>
      </w:pPr>
      <w:r>
        <w:rPr>
          <w:b/>
          <w:noProof/>
          <w:u w:val="single"/>
        </w:rPr>
        <w:t>OCENA SKUTKÓW FINANSOWYCH REGULACJI</w:t>
      </w:r>
    </w:p>
    <w:p>
      <w:pPr>
        <w:pStyle w:val="ManualHeading1"/>
        <w:rPr>
          <w:noProof/>
        </w:rPr>
      </w:pPr>
      <w:r>
        <w:t>1.</w:t>
      </w:r>
      <w:r>
        <w:tab/>
      </w:r>
      <w:r>
        <w:rPr>
          <w:noProof/>
        </w:rPr>
        <w:t xml:space="preserve">STRUKTURA WNIOSKU/INICJATYWY </w:t>
      </w:r>
    </w:p>
    <w:p>
      <w:pPr>
        <w:pStyle w:val="ManualHeading2"/>
        <w:rPr>
          <w:noProof/>
        </w:rPr>
      </w:pPr>
      <w:r>
        <w:t>1.1.</w:t>
      </w:r>
      <w:r>
        <w:tab/>
      </w:r>
      <w:r>
        <w:rPr>
          <w:noProof/>
        </w:rPr>
        <w:t xml:space="preserve">Tytuł wniosku/inicjatywy </w:t>
      </w:r>
    </w:p>
    <w:p>
      <w:pPr>
        <w:pStyle w:val="Text1"/>
        <w:pBdr>
          <w:top w:val="single" w:sz="4" w:space="1" w:color="auto"/>
          <w:left w:val="single" w:sz="4" w:space="4" w:color="auto"/>
          <w:bottom w:val="single" w:sz="4" w:space="1" w:color="auto"/>
          <w:right w:val="single" w:sz="4" w:space="4" w:color="auto"/>
        </w:pBdr>
        <w:rPr>
          <w:noProof/>
        </w:rPr>
      </w:pPr>
      <w:r>
        <w:rPr>
          <w:noProof/>
        </w:rPr>
        <w:t>ROZPORZĄDZENIE PARLAMENTU EUROPEJSKIEGO I RADY w sprawie europejskiej statystyki gospodarczej</w:t>
      </w:r>
    </w:p>
    <w:p>
      <w:pPr>
        <w:pStyle w:val="ManualHeading2"/>
        <w:rPr>
          <w:noProof/>
          <w:szCs w:val="24"/>
        </w:rPr>
      </w:pPr>
      <w:r>
        <w:t>1.2.</w:t>
      </w:r>
      <w:r>
        <w:tab/>
      </w:r>
      <w:r>
        <w:rPr>
          <w:noProof/>
        </w:rPr>
        <w:t>Dziedziny polityki w strukturze ABM/ABB, których dotyczy wniosek/inicjatywa</w:t>
      </w:r>
      <w:r>
        <w:rPr>
          <w:rStyle w:val="FootnoteReference"/>
          <w:noProof/>
        </w:rPr>
        <w:footnoteReference w:id="2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2902 – Europejski program statystyczny</w:t>
      </w:r>
    </w:p>
    <w:p>
      <w:pPr>
        <w:pStyle w:val="Text1"/>
        <w:pBdr>
          <w:top w:val="single" w:sz="4" w:space="1" w:color="auto"/>
          <w:left w:val="single" w:sz="4" w:space="4" w:color="auto"/>
          <w:bottom w:val="single" w:sz="4" w:space="1" w:color="auto"/>
          <w:right w:val="single" w:sz="4" w:space="4" w:color="auto"/>
        </w:pBdr>
        <w:rPr>
          <w:noProof/>
        </w:rPr>
      </w:pPr>
      <w:r>
        <w:rPr>
          <w:noProof/>
        </w:rPr>
        <w:t xml:space="preserve">0904 – Horyzont 2020 </w:t>
      </w:r>
    </w:p>
    <w:p>
      <w:pPr>
        <w:pStyle w:val="ManualHeading2"/>
        <w:rPr>
          <w:bCs/>
          <w:noProof/>
          <w:szCs w:val="24"/>
        </w:rPr>
      </w:pPr>
      <w:r>
        <w:t>1.3.</w:t>
      </w:r>
      <w:r>
        <w:tab/>
      </w:r>
      <w:r>
        <w:rPr>
          <w:noProof/>
        </w:rPr>
        <w:t xml:space="preserve">Charakter wniosku/inicjatywy </w:t>
      </w:r>
    </w:p>
    <w:p>
      <w:pPr>
        <w:pStyle w:val="Text1"/>
        <w:rPr>
          <w:b/>
          <w:noProof/>
          <w:sz w:val="22"/>
        </w:rPr>
      </w:pPr>
      <w:r>
        <w:rPr>
          <w:noProof/>
          <w:sz w:val="22"/>
        </w:rPr>
        <w:sym w:font="Wingdings" w:char="F0A8"/>
      </w:r>
      <w:r>
        <w:rPr>
          <w:b/>
          <w:i/>
          <w:noProof/>
          <w:sz w:val="22"/>
        </w:rPr>
        <w:t xml:space="preserve"> </w:t>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pilotażowego/działania przygotowawczego</w:t>
      </w:r>
      <w:r>
        <w:rPr>
          <w:rStyle w:val="FootnoteReference"/>
          <w:b/>
          <w:noProof/>
        </w:rPr>
        <w:footnoteReference w:id="29"/>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wiąże się z </w:t>
      </w:r>
      <w:r>
        <w:rPr>
          <w:b/>
          <w:noProof/>
        </w:rPr>
        <w:t>przedłużeniem bieżącego działania</w:t>
      </w:r>
      <w:r>
        <w:rPr>
          <w:noProof/>
          <w:sz w:val="22"/>
        </w:rPr>
        <w:t xml:space="preserve"> </w:t>
      </w:r>
    </w:p>
    <w:p>
      <w:pPr>
        <w:pStyle w:val="Text1"/>
        <w:rPr>
          <w:noProof/>
        </w:rPr>
      </w:pPr>
      <w:r>
        <w:rPr>
          <w:noProof/>
          <w:sz w:val="22"/>
        </w:rPr>
        <w:sym w:font="Wingdings" w:char="F0FD"/>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r>
        <w:t>1.4.</w:t>
      </w:r>
      <w:r>
        <w:tab/>
      </w:r>
      <w:r>
        <w:rPr>
          <w:noProof/>
        </w:rPr>
        <w:t>Cele</w:t>
      </w:r>
    </w:p>
    <w:p>
      <w:pPr>
        <w:pStyle w:val="ManualHeading3"/>
        <w:rPr>
          <w:noProof/>
        </w:rPr>
      </w:pPr>
      <w:r>
        <w:t>1.4.1.</w:t>
      </w:r>
      <w:r>
        <w:tab/>
      </w:r>
      <w:r>
        <w:rPr>
          <w:noProof/>
        </w:rPr>
        <w:t xml:space="preserve">Wieloletnie cele strategiczne Komisji wskazane we wniosku/inicjatywie </w:t>
      </w:r>
    </w:p>
    <w:p>
      <w:pPr>
        <w:pStyle w:val="Text1"/>
        <w:pBdr>
          <w:top w:val="single" w:sz="4" w:space="1" w:color="auto"/>
          <w:left w:val="single" w:sz="4" w:space="4" w:color="auto"/>
          <w:bottom w:val="single" w:sz="4" w:space="1" w:color="auto"/>
          <w:right w:val="single" w:sz="4" w:space="4" w:color="auto"/>
        </w:pBdr>
        <w:rPr>
          <w:noProof/>
        </w:rPr>
      </w:pPr>
      <w:r>
        <w:rPr>
          <w:noProof/>
        </w:rPr>
        <w:t>Monitorowanie celów określonych w 10 priorytetach Komisji Junckera na szczeblu państw członkowskich i na szczeblu Unii wymaga zharmonizowanych i porównywalnych statystyk europejskich. Zintegrowane podejście FRIBS ma na celu dostarczanie wysokiej jakości statystyki gospodarczej na rzecz monitorowania celów politycznych określonych w tych priorytetach, w szczególności w odniesieniu do „zatrudnienia, wzrostu i inwestycji”, „jednolitego rynku cyfrowego”, „rynku wewnętrznego” i „umowy o wolnym handlu UE–USA”. Informacje statystyczne powinny być tworzone w jak najbardziej efektywny sposób, mając na uwadze nowoczesne zbieranie i tworzenie danych statystycznych.</w:t>
      </w:r>
    </w:p>
    <w:p>
      <w:pPr>
        <w:pStyle w:val="ManualHeading3"/>
        <w:rPr>
          <w:bCs/>
          <w:noProof/>
          <w:szCs w:val="24"/>
        </w:rPr>
      </w:pPr>
      <w:r>
        <w:t>1.4.2.</w:t>
      </w:r>
      <w:r>
        <w:tab/>
      </w:r>
      <w:r>
        <w:rPr>
          <w:noProof/>
        </w:rPr>
        <w:t xml:space="preserve">Cele szczegółowe i działania ABM/ABB, których dotyczy wniosek/inicjatywa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 1</w:t>
      </w:r>
    </w:p>
    <w:p>
      <w:pPr>
        <w:pStyle w:val="Text1"/>
        <w:pBdr>
          <w:top w:val="single" w:sz="4" w:space="1" w:color="auto"/>
          <w:left w:val="single" w:sz="4" w:space="4" w:color="auto"/>
          <w:bottom w:val="single" w:sz="4" w:space="1" w:color="auto"/>
          <w:right w:val="single" w:sz="4" w:space="4" w:color="auto"/>
        </w:pBdr>
        <w:rPr>
          <w:noProof/>
        </w:rPr>
      </w:pPr>
      <w:r>
        <w:rPr>
          <w:noProof/>
        </w:rPr>
        <w:t>Program prac Komisji na rok 2016, inicjatywa REFIT nr 26 – Pakiet statystyczny</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2902 – Europejski program statystyczny</w:t>
      </w:r>
    </w:p>
    <w:p>
      <w:pPr>
        <w:pStyle w:val="Text1"/>
        <w:pBdr>
          <w:top w:val="single" w:sz="4" w:space="1" w:color="auto"/>
          <w:left w:val="single" w:sz="4" w:space="4" w:color="auto"/>
          <w:bottom w:val="single" w:sz="4" w:space="1" w:color="auto"/>
          <w:right w:val="single" w:sz="4" w:space="4" w:color="auto"/>
        </w:pBdr>
        <w:rPr>
          <w:noProof/>
        </w:rPr>
      </w:pPr>
      <w:r>
        <w:rPr>
          <w:noProof/>
        </w:rPr>
        <w:t xml:space="preserve">0904 – Horyzont 2020 </w:t>
      </w:r>
    </w:p>
    <w:p>
      <w:pPr>
        <w:pStyle w:val="Text1"/>
        <w:pBdr>
          <w:top w:val="single" w:sz="4" w:space="1" w:color="auto"/>
          <w:left w:val="single" w:sz="4" w:space="4" w:color="auto"/>
          <w:bottom w:val="single" w:sz="4" w:space="1" w:color="auto"/>
          <w:right w:val="single" w:sz="4" w:space="4" w:color="auto"/>
        </w:pBdr>
        <w:rPr>
          <w:noProof/>
          <w:szCs w:val="24"/>
        </w:rPr>
      </w:pPr>
      <w:r>
        <w:rPr>
          <w:noProof/>
        </w:rPr>
        <w:br w:type="page"/>
        <w:t>Oczekiwane wyniki i wpływ</w:t>
      </w:r>
    </w:p>
    <w:p>
      <w:pPr>
        <w:pStyle w:val="Text1"/>
        <w:rPr>
          <w:i/>
          <w:noProof/>
          <w:sz w:val="20"/>
        </w:rPr>
      </w:pPr>
      <w:r>
        <w:rPr>
          <w:i/>
          <w:noProof/>
          <w:sz w:val="20"/>
        </w:rPr>
        <w:t>Należy wskazać, jakie efekty przyniesie wniosek/inicjatywa beneficjentom/grupie docelowej.</w:t>
      </w:r>
    </w:p>
    <w:p>
      <w:pPr>
        <w:pStyle w:val="Text1"/>
        <w:pBdr>
          <w:top w:val="single" w:sz="4" w:space="1" w:color="auto"/>
          <w:left w:val="single" w:sz="4" w:space="4" w:color="auto"/>
          <w:bottom w:val="single" w:sz="4" w:space="1" w:color="auto"/>
          <w:right w:val="single" w:sz="4" w:space="4" w:color="auto"/>
        </w:pBdr>
        <w:rPr>
          <w:noProof/>
        </w:rPr>
      </w:pPr>
      <w:r>
        <w:rPr>
          <w:noProof/>
        </w:rPr>
        <w:t>Inicjatywa powinna zwiększyć elastyczność i zdolność reagowania europejskiej statystyki gospodarczej na zmieniające się potrzeby użytkowników oraz zwiększyć spójność i jakość tej statystyki. Inicjatywa wspiera główne priorytety Komisji, zapewniając bardziej spójne i odpowiednie dane do celów monitorowania, np. wzrostu gospodarczego, tworzenia miejsc pracy, konkurencyjności, badań i innowacji, jednolitego rynku cyfrowego, efektów globalizacji i funkcjonowania rynku wewnętrznego. Powinna ona również ułatwić bardziej racjonalne pod względem kosztów i nowoczesne tworzenie danych i powinna zapewnić środki pozwalające na znaczne zmniejszenie obciążenia administracyjnego dostawców danych (przedsiębiorstw).</w:t>
      </w:r>
    </w:p>
    <w:p>
      <w:pPr>
        <w:pStyle w:val="Text1"/>
        <w:pBdr>
          <w:top w:val="single" w:sz="4" w:space="1" w:color="auto"/>
          <w:left w:val="single" w:sz="4" w:space="4" w:color="auto"/>
          <w:bottom w:val="single" w:sz="4" w:space="1" w:color="auto"/>
          <w:right w:val="single" w:sz="4" w:space="4" w:color="auto"/>
        </w:pBdr>
        <w:rPr>
          <w:noProof/>
        </w:rPr>
      </w:pPr>
      <w:r>
        <w:rPr>
          <w:noProof/>
        </w:rPr>
        <w:t>Jeśli chodzi o efektywność, wniosek powoduje początkowo wzrost kosztów wdrażania dla organów odpowiedzialnych za zestawianie danych ze względu na zmiany w procesach tworzenia danych i ze względu na nowe wymogi dotyczące danych. Te krótkoterminowe dodatkowe koszty wdrażania powinny jednak zostać zrekompensowane przyrostem efektywności na poziomie systemowym w dłuższej perspektywie.</w:t>
      </w:r>
    </w:p>
    <w:p>
      <w:pPr>
        <w:pStyle w:val="ManualHeading3"/>
        <w:rPr>
          <w:bCs/>
          <w:noProof/>
          <w:szCs w:val="24"/>
        </w:rPr>
      </w:pPr>
      <w:r>
        <w:t>1.4.3.</w:t>
      </w:r>
      <w:r>
        <w:tab/>
      </w:r>
      <w:r>
        <w:rPr>
          <w:noProof/>
        </w:rPr>
        <w:t xml:space="preserve">Wskaźniki wyników i wpływu </w:t>
      </w:r>
    </w:p>
    <w:p>
      <w:pPr>
        <w:pStyle w:val="Text1"/>
        <w:rPr>
          <w:i/>
          <w:noProof/>
          <w:sz w:val="20"/>
        </w:rPr>
      </w:pPr>
      <w:r>
        <w:rPr>
          <w:i/>
          <w:noProof/>
          <w:sz w:val="20"/>
        </w:rPr>
        <w:t>Należy określić wskaźniki, które umożliwią monitorowanie realizacji wniosku/inicjatywy.</w:t>
      </w:r>
    </w:p>
    <w:p>
      <w:pPr>
        <w:pStyle w:val="Text1"/>
        <w:pBdr>
          <w:top w:val="single" w:sz="4" w:space="1" w:color="auto"/>
          <w:left w:val="single" w:sz="4" w:space="4" w:color="auto"/>
          <w:bottom w:val="single" w:sz="4" w:space="1" w:color="auto"/>
          <w:right w:val="single" w:sz="4" w:space="4" w:color="auto"/>
        </w:pBdr>
        <w:rPr>
          <w:noProof/>
        </w:rPr>
      </w:pPr>
      <w:r>
        <w:rPr>
          <w:noProof/>
        </w:rPr>
        <w:t xml:space="preserve">Dla każdego z celów operacyjnych wskazanych w sprawozdaniu z oceny skutków będzie istniał kluczowy wskaźnik efektywności, który umożliwi regularne monitorowanie wykonania niniejszego wniosku. </w:t>
      </w:r>
    </w:p>
    <w:p>
      <w:pPr>
        <w:pStyle w:val="Text1"/>
        <w:pBdr>
          <w:top w:val="single" w:sz="4" w:space="1" w:color="auto"/>
          <w:left w:val="single" w:sz="4" w:space="4" w:color="auto"/>
          <w:bottom w:val="single" w:sz="4" w:space="1" w:color="auto"/>
          <w:right w:val="single" w:sz="4" w:space="4" w:color="auto"/>
        </w:pBdr>
        <w:rPr>
          <w:noProof/>
        </w:rPr>
      </w:pPr>
      <w:r>
        <w:rPr>
          <w:noProof/>
        </w:rPr>
        <w:t>Głównym źródłem informacji służących obliczeniu kluczowych wskaźników efektywności są krajowe metadane i sprawozdania dotyczące jakości, jak również coroczne badania zadowolenia użytkowników przeprowadzane przez Eurostat i sprawozdania monitorujące dotyczące rozpowszechniania przez Eurostat drogą elektroniczną.</w:t>
      </w:r>
    </w:p>
    <w:p>
      <w:pPr>
        <w:pStyle w:val="ManualHeading2"/>
        <w:rPr>
          <w:bCs/>
          <w:noProof/>
          <w:szCs w:val="24"/>
        </w:rPr>
      </w:pPr>
      <w:r>
        <w:t>1.5.</w:t>
      </w:r>
      <w:r>
        <w:tab/>
      </w:r>
      <w:r>
        <w:rPr>
          <w:noProof/>
        </w:rPr>
        <w:t xml:space="preserve">Uzasadnienie wniosku/inicjatywy </w:t>
      </w:r>
    </w:p>
    <w:p>
      <w:pPr>
        <w:pStyle w:val="ManualHeading3"/>
        <w:rPr>
          <w:noProof/>
        </w:rPr>
      </w:pPr>
      <w:r>
        <w:t>1.5.1.</w:t>
      </w:r>
      <w:r>
        <w:tab/>
      </w:r>
      <w:r>
        <w:rPr>
          <w:noProof/>
        </w:rPr>
        <w:t xml:space="preserve">Potrzeby, które należy zaspokoić w perspektywie krótko- lub długoterminowej </w:t>
      </w:r>
    </w:p>
    <w:p>
      <w:pPr>
        <w:pStyle w:val="Text1"/>
        <w:pBdr>
          <w:top w:val="single" w:sz="4" w:space="1" w:color="auto"/>
          <w:left w:val="single" w:sz="4" w:space="4" w:color="auto"/>
          <w:bottom w:val="single" w:sz="4" w:space="1" w:color="auto"/>
          <w:right w:val="single" w:sz="4" w:space="4" w:color="auto"/>
        </w:pBdr>
        <w:rPr>
          <w:noProof/>
        </w:rPr>
      </w:pPr>
      <w:r>
        <w:rPr>
          <w:noProof/>
        </w:rPr>
        <w:t>W perspektywie krótko- i średnioterminowej istniejące rozporządzenia w dziedzinie europejskiej statystyki gospodarczej zostaną scalone, a występujące od dawna potrzeby użytkowników w zakresie dodatkowych informacji dotyczących przedsiębiorstw zostaną zaspokojone. Obciążenie dostawców danych zmniejszy się.</w:t>
      </w:r>
    </w:p>
    <w:p>
      <w:pPr>
        <w:pStyle w:val="Text1"/>
        <w:pBdr>
          <w:top w:val="single" w:sz="4" w:space="1" w:color="auto"/>
          <w:left w:val="single" w:sz="4" w:space="4" w:color="auto"/>
          <w:bottom w:val="single" w:sz="4" w:space="1" w:color="auto"/>
          <w:right w:val="single" w:sz="4" w:space="4" w:color="auto"/>
        </w:pBdr>
        <w:rPr>
          <w:noProof/>
        </w:rPr>
      </w:pPr>
      <w:r>
        <w:rPr>
          <w:noProof/>
        </w:rPr>
        <w:t>W dłuższej perspektywie inicjatywa powinna prowadzić do poprawy efektywności gromadzenia danych i zestawiania statystyki gospodarczej, a tym samym do zmniejszenia kosztów dla organów odpowiedzialnych za zestawianie danych. Ponadto zwiększy się przydatność danych poprzez szybsze reagowanie na pojawiające się nowe ważne potrzeby użytkowników.</w:t>
      </w:r>
    </w:p>
    <w:p>
      <w:pPr>
        <w:pStyle w:val="ManualHeading3"/>
        <w:rPr>
          <w:bCs/>
          <w:noProof/>
          <w:szCs w:val="24"/>
        </w:rPr>
      </w:pPr>
      <w:r>
        <w:t>1.5.2.</w:t>
      </w:r>
      <w:r>
        <w:tab/>
      </w:r>
      <w:r>
        <w:rPr>
          <w:noProof/>
        </w:rPr>
        <w:t>Wartość dodana z tytułu zaangażowania Unii Europejskiej</w:t>
      </w:r>
    </w:p>
    <w:p>
      <w:pPr>
        <w:pStyle w:val="Text1"/>
        <w:pBdr>
          <w:top w:val="single" w:sz="4" w:space="1" w:color="auto"/>
          <w:left w:val="single" w:sz="4" w:space="4" w:color="auto"/>
          <w:bottom w:val="single" w:sz="4" w:space="1" w:color="auto"/>
          <w:right w:val="single" w:sz="4" w:space="4" w:color="auto"/>
        </w:pBdr>
        <w:rPr>
          <w:noProof/>
        </w:rPr>
      </w:pPr>
      <w:r>
        <w:rPr>
          <w:noProof/>
        </w:rPr>
        <w:t>Tworzenia statystyk, które są zharmonizowane i porównywalne we wszystkich państwach członkowskich oraz służą reagowaniu na potrzeby UE, nie można osiągnąć wyłącznie na szczeblu krajowym. Tworzenie statystyk UE wymaga wdrożenia zharmonizowanej metodyki oraz określenia wspólnych cech produktów, które mają być dostarczane przez poszczególne państwa członkowskie, co można osiągnąć w pełni tylko poprzez działania na szczeblu UE.</w:t>
      </w:r>
    </w:p>
    <w:p>
      <w:pPr>
        <w:pStyle w:val="ManualHeading3"/>
        <w:rPr>
          <w:bCs/>
          <w:noProof/>
          <w:szCs w:val="24"/>
        </w:rPr>
      </w:pPr>
      <w:r>
        <w:t>1.5.3.</w:t>
      </w:r>
      <w:r>
        <w:tab/>
      </w:r>
      <w:r>
        <w:rPr>
          <w:noProof/>
        </w:rPr>
        <w:t>Główne wnioski wyciągnięte z podobnych działań</w:t>
      </w:r>
    </w:p>
    <w:p>
      <w:pPr>
        <w:pStyle w:val="Text1"/>
        <w:pBdr>
          <w:top w:val="single" w:sz="4" w:space="1" w:color="auto"/>
          <w:left w:val="single" w:sz="4" w:space="4" w:color="auto"/>
          <w:bottom w:val="single" w:sz="4" w:space="1" w:color="auto"/>
          <w:right w:val="single" w:sz="4" w:space="4" w:color="auto"/>
        </w:pBdr>
        <w:rPr>
          <w:noProof/>
        </w:rPr>
      </w:pPr>
      <w:r>
        <w:rPr>
          <w:noProof/>
        </w:rPr>
        <w:t>Unijnym instrumentem najbardziej odpowiednim do zapewnienia zgodności przekazywania danych krajowych jest rozporządzenie. Istnienie 10 odrębnych rozporządzeń w dziedzinie statystyki gospodarczej doprowadziło do niespójności w zakresie stosowanych pojęć i definicji.</w:t>
      </w:r>
    </w:p>
    <w:p>
      <w:pPr>
        <w:pStyle w:val="ManualHeading3"/>
        <w:rPr>
          <w:bCs/>
          <w:noProof/>
          <w:szCs w:val="24"/>
        </w:rPr>
      </w:pPr>
      <w:r>
        <w:t>1.5.4.</w:t>
      </w:r>
      <w:r>
        <w:tab/>
      </w:r>
      <w:r>
        <w:rPr>
          <w:noProof/>
        </w:rPr>
        <w:t>Spójność z innymi właściwymi instrumentami oraz możliwa synergia:</w:t>
      </w:r>
    </w:p>
    <w:p>
      <w:pPr>
        <w:pStyle w:val="Text1"/>
        <w:pBdr>
          <w:top w:val="single" w:sz="4" w:space="1" w:color="auto"/>
          <w:left w:val="single" w:sz="4" w:space="4" w:color="auto"/>
          <w:bottom w:val="single" w:sz="4" w:space="1" w:color="auto"/>
          <w:right w:val="single" w:sz="4" w:space="4" w:color="auto"/>
        </w:pBdr>
        <w:rPr>
          <w:noProof/>
        </w:rPr>
      </w:pPr>
      <w:r>
        <w:rPr>
          <w:noProof/>
        </w:rPr>
        <w:t>Ponieważ przedmiotowe rozporządzenie jest rozporządzeniem ramowym, po wejściu w życie ujednolici ono obecne dziesięć podstaw prawnych europejskiej statystyki gospodarczej. Wytyczne metodyczne będą zawarte w europejskim podręczniku statystyki gospodarczej.</w:t>
      </w:r>
    </w:p>
    <w:p>
      <w:pPr>
        <w:pStyle w:val="ManualHeading2"/>
        <w:rPr>
          <w:bCs/>
          <w:noProof/>
          <w:szCs w:val="24"/>
        </w:rPr>
      </w:pPr>
      <w:r>
        <w:rPr>
          <w:noProof/>
        </w:rPr>
        <w:br w:type="page"/>
      </w:r>
      <w:r>
        <w:t>1.6.</w:t>
      </w:r>
      <w:r>
        <w:tab/>
      </w:r>
      <w:r>
        <w:rPr>
          <w:noProof/>
        </w:rPr>
        <w:t xml:space="preserve">Okres trwania działania i jego wpływ finansowy </w:t>
      </w:r>
    </w:p>
    <w:p>
      <w:pPr>
        <w:pStyle w:val="Text1"/>
        <w:rPr>
          <w:noProof/>
        </w:rPr>
      </w:pPr>
      <w:r>
        <w:rPr>
          <w:noProof/>
        </w:rPr>
        <w:sym w:font="Wingdings" w:char="F0A8"/>
      </w:r>
      <w:r>
        <w:rPr>
          <w:b/>
          <w:i/>
          <w:noProof/>
        </w:rPr>
        <w:t xml:space="preserve"> </w:t>
      </w:r>
      <w:r>
        <w:rPr>
          <w:noProof/>
        </w:rPr>
        <w:t xml:space="preserve">Wniosek/inicjatywa o </w:t>
      </w:r>
      <w:r>
        <w:rPr>
          <w:b/>
          <w:noProof/>
        </w:rPr>
        <w:t xml:space="preserve">ograniczonym okresie trwania </w:t>
      </w:r>
    </w:p>
    <w:p>
      <w:pPr>
        <w:pStyle w:val="ListDash2"/>
        <w:rPr>
          <w:noProof/>
        </w:rPr>
      </w:pPr>
      <w:r>
        <w:rPr>
          <w:noProof/>
        </w:rPr>
        <w:sym w:font="Wingdings" w:char="F0A8"/>
      </w:r>
      <w:r>
        <w:rPr>
          <w:noProof/>
        </w:rPr>
        <w:tab/>
        <w:t xml:space="preserve">Okres trwania wniosku/inicjatywy: od [DD/MM]RRRR r. do [DD/MM]RRRR r. </w:t>
      </w:r>
    </w:p>
    <w:p>
      <w:pPr>
        <w:pStyle w:val="ListDash2"/>
        <w:rPr>
          <w:noProof/>
        </w:rPr>
      </w:pPr>
      <w:r>
        <w:rPr>
          <w:noProof/>
        </w:rPr>
        <w:sym w:font="Wingdings" w:char="F0A8"/>
      </w:r>
      <w:r>
        <w:rPr>
          <w:noProof/>
        </w:rPr>
        <w:tab/>
        <w:t xml:space="preserve">Okres trwania wpływu finansowego: od RRRR r. do RRRR r. </w:t>
      </w:r>
    </w:p>
    <w:p>
      <w:pPr>
        <w:pStyle w:val="Text1"/>
        <w:rPr>
          <w:noProof/>
        </w:rPr>
      </w:pPr>
      <w:r>
        <w:rPr>
          <w:noProof/>
        </w:rPr>
        <w:sym w:font="Wingdings" w:char="F0FD"/>
      </w:r>
      <w:r>
        <w:rPr>
          <w:b/>
          <w:i/>
          <w:noProof/>
        </w:rPr>
        <w:t xml:space="preserve"> </w:t>
      </w:r>
      <w:r>
        <w:rPr>
          <w:noProof/>
        </w:rPr>
        <w:t xml:space="preserve">Wniosek/inicjatywa o </w:t>
      </w:r>
      <w:r>
        <w:rPr>
          <w:b/>
          <w:noProof/>
        </w:rPr>
        <w:t>nieograniczonym okresie trwania</w:t>
      </w:r>
    </w:p>
    <w:p>
      <w:pPr>
        <w:pStyle w:val="ListDash1"/>
        <w:rPr>
          <w:noProof/>
        </w:rPr>
      </w:pPr>
      <w:r>
        <w:rPr>
          <w:noProof/>
        </w:rPr>
        <w:t>Wprowadzenie w życie z okresem rozruchu od 2019 r. do 2021 r.,</w:t>
      </w:r>
    </w:p>
    <w:p>
      <w:pPr>
        <w:pStyle w:val="ListDash1"/>
        <w:rPr>
          <w:noProof/>
        </w:rPr>
      </w:pPr>
      <w:r>
        <w:rPr>
          <w:noProof/>
        </w:rPr>
        <w:t>po którym następuje faza operacyjna.</w:t>
      </w:r>
    </w:p>
    <w:p>
      <w:pPr>
        <w:pStyle w:val="ManualHeading2"/>
        <w:rPr>
          <w:bCs/>
          <w:noProof/>
          <w:szCs w:val="24"/>
        </w:rPr>
      </w:pPr>
      <w:r>
        <w:t>1.7.</w:t>
      </w:r>
      <w:r>
        <w:tab/>
      </w:r>
      <w:r>
        <w:rPr>
          <w:noProof/>
        </w:rPr>
        <w:t>Planowane tryby zarządzania</w:t>
      </w:r>
      <w:r>
        <w:rPr>
          <w:rStyle w:val="FootnoteReference"/>
          <w:noProof/>
        </w:rPr>
        <w:footnoteReference w:id="30"/>
      </w:r>
      <w:r>
        <w:rPr>
          <w:rStyle w:val="FootnoteReference"/>
          <w:noProof/>
        </w:rPr>
        <w:t xml:space="preserve"> </w:t>
      </w:r>
    </w:p>
    <w:p>
      <w:pPr>
        <w:pStyle w:val="Text1"/>
        <w:rPr>
          <w:noProof/>
        </w:rPr>
      </w:pPr>
      <w:r>
        <w:rPr>
          <w:noProof/>
        </w:rPr>
        <w:sym w:font="Wingdings" w:char="F0FD"/>
      </w:r>
      <w:r>
        <w:rPr>
          <w:i/>
          <w:noProof/>
        </w:rPr>
        <w:t xml:space="preserve"> </w:t>
      </w:r>
      <w:r>
        <w:rPr>
          <w:b/>
          <w:noProof/>
        </w:rPr>
        <w:t>Bezpośrednie zarządzanie</w:t>
      </w:r>
      <w:r>
        <w:rPr>
          <w:noProof/>
        </w:rPr>
        <w:t xml:space="preserve"> przez Komisję</w:t>
      </w:r>
    </w:p>
    <w:p>
      <w:pPr>
        <w:pStyle w:val="ListDash2"/>
        <w:rPr>
          <w:rFonts w:cs="EUAlbertina"/>
          <w:noProof/>
        </w:rPr>
      </w:pPr>
      <w:r>
        <w:rPr>
          <w:noProof/>
        </w:rPr>
        <w:sym w:font="Wingdings" w:char="F0FD"/>
      </w:r>
      <w:r>
        <w:rPr>
          <w:noProof/>
        </w:rPr>
        <w:t xml:space="preserve"> w ramach jej służb, w tym za pośrednictwem jej pracowników w delegaturach Unii; </w:t>
      </w:r>
    </w:p>
    <w:p>
      <w:pPr>
        <w:pStyle w:val="ListDash2"/>
        <w:rPr>
          <w:noProof/>
        </w:rPr>
      </w:pPr>
      <w:r>
        <w:rPr>
          <w:noProof/>
        </w:rPr>
        <w:sym w:font="Wingdings" w:char="F0A8"/>
      </w:r>
      <w:r>
        <w:rPr>
          <w:noProof/>
        </w:rPr>
        <w:tab/>
        <w:t xml:space="preserve">przez agencje wykonawcze </w:t>
      </w:r>
    </w:p>
    <w:p>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pPr>
        <w:pStyle w:val="Text1"/>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EBI oraz Europejskiemu Funduszowi Inwestycyjnemu;</w:t>
      </w:r>
    </w:p>
    <w:p>
      <w:pPr>
        <w:pStyle w:val="ListDash2"/>
        <w:rPr>
          <w:noProof/>
        </w:rPr>
      </w:pPr>
      <w:r>
        <w:rPr>
          <w:noProof/>
        </w:rPr>
        <w:sym w:font="Wingdings" w:char="F0A8"/>
      </w:r>
      <w:r>
        <w:rPr>
          <w:noProof/>
        </w:rPr>
        <w:t xml:space="preserve"> organom, o których mowa w art. 208 i 209 rozporządzenia finansowego;</w:t>
      </w:r>
    </w:p>
    <w:p>
      <w:pPr>
        <w:pStyle w:val="ListDash2"/>
        <w:rPr>
          <w:noProof/>
        </w:rPr>
      </w:pPr>
      <w:r>
        <w:rPr>
          <w:noProof/>
        </w:rPr>
        <w:sym w:font="Wingdings" w:char="F0A8"/>
      </w:r>
      <w:r>
        <w:rPr>
          <w:noProof/>
        </w:rPr>
        <w:t xml:space="preserve"> organom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ŚRODKI ZARZĄDZANIA </w:t>
      </w:r>
    </w:p>
    <w:p>
      <w:pPr>
        <w:pStyle w:val="ManualHeading2"/>
        <w:rPr>
          <w:noProof/>
        </w:rPr>
      </w:pPr>
      <w:r>
        <w:t>2.1.</w:t>
      </w:r>
      <w:r>
        <w:tab/>
      </w:r>
      <w:r>
        <w:rPr>
          <w:noProof/>
        </w:rPr>
        <w:t xml:space="preserve">Zasady nadzoru i sprawozdawczości </w:t>
      </w:r>
    </w:p>
    <w:p>
      <w:pPr>
        <w:pStyle w:val="Text1"/>
        <w:rPr>
          <w:i/>
          <w:noProof/>
          <w:sz w:val="20"/>
          <w:u w:val="single"/>
        </w:rPr>
      </w:pPr>
      <w:r>
        <w:rPr>
          <w:i/>
          <w:noProof/>
          <w:sz w:val="20"/>
        </w:rPr>
        <w:t>Należy 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Obowiązuje regularna i szczegółowa sprawozdawczość w zakresie zapewniania jakości w odniesieniu do każdego procesu zbierania danych statystycznych zgodnie ze szczególnymi zasadami Eurostatu. Sprawozdawczość ta będzie kontynuowana i doskonalona w ramach niniejszego nowego wniosku.</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Beneficjenci dotacji muszą dostarczyć zebrane dane i odnośne sprawozdanie na temat jakości. </w:t>
      </w:r>
    </w:p>
    <w:p>
      <w:pPr>
        <w:pStyle w:val="ManualHeading2"/>
        <w:rPr>
          <w:bCs/>
          <w:noProof/>
          <w:szCs w:val="24"/>
        </w:rPr>
      </w:pPr>
      <w:r>
        <w:t>2.2.</w:t>
      </w:r>
      <w:r>
        <w:tab/>
      </w:r>
      <w:r>
        <w:rPr>
          <w:noProof/>
        </w:rPr>
        <w:t xml:space="preserve">System zarządzania i kontroli </w:t>
      </w:r>
    </w:p>
    <w:p>
      <w:pPr>
        <w:pStyle w:val="ManualHeading3"/>
        <w:rPr>
          <w:noProof/>
        </w:rPr>
      </w:pPr>
      <w:r>
        <w:t>2.2.1.</w:t>
      </w:r>
      <w:r>
        <w:tab/>
      </w:r>
      <w:r>
        <w:rPr>
          <w:noProof/>
        </w:rPr>
        <w:t xml:space="preserve">Zidentyfikowane ryzyko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Ponieważ przewidziany jest tryb zarządzania bezpośredniego, nieodłącznym ryzykiem jest ryzyko związane z zarządzaniem zamówieniami publicznymi i dotacjami. </w:t>
      </w:r>
    </w:p>
    <w:p>
      <w:pPr>
        <w:pStyle w:val="ManualHeading3"/>
        <w:rPr>
          <w:bCs/>
          <w:noProof/>
          <w:szCs w:val="24"/>
        </w:rPr>
      </w:pPr>
      <w:r>
        <w:t>2.2.2.</w:t>
      </w:r>
      <w:r>
        <w:tab/>
      </w:r>
      <w:r>
        <w:rPr>
          <w:noProof/>
        </w:rPr>
        <w:t>Informacje dotyczące struktury wewnętrznego systemu kontroli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określił strategię kontroli na lata 2013–2017 towarzyszącą realizacji wydatków. Środki i instrumenty zawarte w tej strategii mają w pełni zastosowanie do proponowanego rozporządzenia. Ograniczenie złożoności, stosowanie opłacalnych procedur monitorowania oraz prowadzenie kontroli </w:t>
      </w:r>
      <w:r>
        <w:rPr>
          <w:i/>
          <w:noProof/>
        </w:rPr>
        <w:t>ex ante</w:t>
      </w:r>
      <w:r>
        <w:rPr>
          <w:noProof/>
        </w:rPr>
        <w:t xml:space="preserve"> i </w:t>
      </w:r>
      <w:r>
        <w:rPr>
          <w:i/>
          <w:noProof/>
        </w:rPr>
        <w:t>ex post</w:t>
      </w:r>
      <w:r>
        <w:rPr>
          <w:noProof/>
        </w:rPr>
        <w:t xml:space="preserve"> opartych na ryzyku będą mieć na celu ograniczenie prawdopodobieństwa nadużyć i przyczynienie się do zapobiegania im. Częścią strategii kontroli są szczególne środki podnoszenia świadomości i odpowiednie szkolenie w odniesieniu do zapobiegania nadużyciom.</w:t>
      </w:r>
    </w:p>
    <w:p>
      <w:pPr>
        <w:pStyle w:val="ManualHeading3"/>
        <w:rPr>
          <w:noProof/>
        </w:rPr>
      </w:pPr>
      <w:r>
        <w:t>2.2.3.</w:t>
      </w:r>
      <w:r>
        <w:tab/>
      </w:r>
      <w:r>
        <w:rPr>
          <w:noProof/>
        </w:rPr>
        <w:t xml:space="preserve">Oszacowanie kosztów i korzyści wynikających z kontroli i ocena spodziewanego ryzyka błędu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stosuje strategię kontroli, której ogólnym celem jest ograniczenie ryzyka niezgodności do poziomu niższego od kryterium istotności wynoszącego 2 %, zgodnie z celami kontroli wewnętrznej i zarządzania ryzykiem określonych w planie strategicznym Eurostatu na lata 2016–2020. 100 % transakcji finansowych (a zatem 100 % budżetu) będzie podlegać obowiązkowej kontroli </w:t>
      </w:r>
      <w:r>
        <w:rPr>
          <w:i/>
          <w:noProof/>
        </w:rPr>
        <w:t>ex ante</w:t>
      </w:r>
      <w:r>
        <w:rPr>
          <w:noProof/>
        </w:rPr>
        <w:t xml:space="preserve"> zgodnie z rozporządzeniem finansowym. Ponadto w następstwie rocznej analizy ryzyka będą prowadzone kontrole oparte na szczegółowej analizie dokumentacji. Mogą one objąć od 4 do 6 % całkowitego budżetu zarządzanego przez Eurostat. </w:t>
      </w:r>
    </w:p>
    <w:p>
      <w:pPr>
        <w:pStyle w:val="ManualHeading2"/>
        <w:rPr>
          <w:bCs/>
          <w:noProof/>
          <w:szCs w:val="24"/>
        </w:rPr>
      </w:pPr>
      <w:r>
        <w:t>2.3.</w:t>
      </w:r>
      <w:r>
        <w:tab/>
      </w:r>
      <w:r>
        <w:rPr>
          <w:noProof/>
        </w:rPr>
        <w:t xml:space="preserve">Środki zapobiegania nadużyciom finansowym i nieprawidłowościom </w:t>
      </w:r>
    </w:p>
    <w:p>
      <w:pPr>
        <w:pStyle w:val="Text1"/>
        <w:rPr>
          <w:i/>
          <w:noProof/>
          <w:sz w:val="20"/>
        </w:rPr>
      </w:pPr>
      <w:r>
        <w:rPr>
          <w:i/>
          <w:noProof/>
          <w:sz w:val="20"/>
        </w:rPr>
        <w:t>Określić istniejące lub przewidywane środki zapobiegania i ochrony</w:t>
      </w:r>
    </w:p>
    <w:p>
      <w:pPr>
        <w:pStyle w:val="Text1"/>
        <w:pBdr>
          <w:top w:val="single" w:sz="4" w:space="1" w:color="auto"/>
          <w:left w:val="single" w:sz="4" w:space="4" w:color="auto"/>
          <w:bottom w:val="single" w:sz="4" w:space="1" w:color="auto"/>
          <w:right w:val="single" w:sz="4" w:space="4" w:color="auto"/>
        </w:pBdr>
        <w:rPr>
          <w:noProof/>
        </w:rPr>
      </w:pPr>
      <w:r>
        <w:rPr>
          <w:noProof/>
        </w:rPr>
        <w:t>W dniu 30 października 2013 r. Eurostat zatwierdził swoją strategię zwalczania nadużyć finansowych na lata 2014–2017, zgodnie ze strategią Komisji w zakresie zwalczania nadużyć finansowych z dnia 24 czerwca 2011 r. W strategii zwalczania nadużyć finansowych Eurostat wyznaczył trzy cele operacyjne: i) wzmocnienie istniejących elementów dotyczących zwalczania nadużyć finansowych; ii) uwzględnienie w większym stopniu aspektów zwalczania nadużyć finansowych w ocenie ryzyka i zarządzaniu ryzykiem przez Eurostat, jak również w audytach, planowaniu, sprawozdawczości i monitorowaniu; iii) wzmocnienie zdolności i świadomości Eurostatu w zakresie zwalczania nadużyć finansowych jako części polityki Komisji dotyczącej zwalczania takich nadużyć. Strategii zwalczania nadużyć finansowych towarzyszy plan działania. Podczas okresu jego stosowania wdrażanie strategii zwalczania nadużyć finansowych jest monitorowane dwa razy w roku. Sprawozdania z tego monitorowania są przedstawiane kierownictwu.</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oceni wpływ strategii w 2017 r., po czym ją odpowiednio zaktualizuje. W 2016 r. Eurostat dokonał przeglądu planu działania w dziedzinie zwalczania nadużyć finansowych jako bardzo istotnego elementu oceny strategii. </w:t>
      </w:r>
    </w:p>
    <w:p>
      <w:pPr>
        <w:pStyle w:val="Text1"/>
        <w:pBdr>
          <w:top w:val="single" w:sz="4" w:space="1" w:color="auto"/>
          <w:left w:val="single" w:sz="4" w:space="4" w:color="auto"/>
          <w:bottom w:val="single" w:sz="4" w:space="1" w:color="auto"/>
          <w:right w:val="single" w:sz="4" w:space="4" w:color="auto"/>
        </w:pBdr>
        <w:rPr>
          <w:noProof/>
        </w:rPr>
      </w:pPr>
      <w:r>
        <w:rPr>
          <w:noProof/>
        </w:rPr>
        <w:t>Zarówno przegląd strategii Eurostatu, jak i przegląd planu działania są prowadzone w oparciu o uaktualnione metody OLAF-u i wytyczne wydane przez OLAF w lutym 2016 r.</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 więcej, jeśli chodzi o dotacje, wszyscy ich potencjalni beneficjenci są organami publicznymi (krajowe urzędy statystyczne i inne organy krajowe, określone w rozporządzeniu (WE) nr 223/2009). Ponadto są to dotacje przyznawane bez zaproszenia do składania wniosków. Prowadzone są kontrole uwzględniające te szczególne procedury przyznawania dotacji oraz obejmujące analizę </w:t>
      </w:r>
      <w:r>
        <w:rPr>
          <w:i/>
          <w:noProof/>
        </w:rPr>
        <w:t>ex ante</w:t>
      </w:r>
      <w:r>
        <w:rPr>
          <w:noProof/>
        </w:rPr>
        <w:t xml:space="preserve"> i </w:t>
      </w:r>
      <w:r>
        <w:rPr>
          <w:i/>
          <w:noProof/>
        </w:rPr>
        <w:t>ex post</w:t>
      </w:r>
      <w:r>
        <w:rPr>
          <w:noProof/>
        </w:rPr>
        <w:t xml:space="preserve"> zarządzania dotacjami.</w:t>
      </w:r>
    </w:p>
    <w:p>
      <w:pPr>
        <w:pStyle w:val="Text1"/>
        <w:pBdr>
          <w:top w:val="single" w:sz="4" w:space="1" w:color="auto"/>
          <w:left w:val="single" w:sz="4" w:space="4" w:color="auto"/>
          <w:bottom w:val="single" w:sz="4" w:space="1" w:color="auto"/>
          <w:right w:val="single" w:sz="4" w:space="4" w:color="auto"/>
        </w:pBdr>
        <w:rPr>
          <w:noProof/>
        </w:rPr>
      </w:pPr>
      <w:r>
        <w:rPr>
          <w:noProof/>
        </w:rPr>
        <w:t xml:space="preserve">Wykorzystanie kosztów jednostkowych i kwot ryczałtowych, zgodnie z art. 124 ust. 1 rozporządzenia finansowego, znacznie ogranicza ryzyko błędów związanych z zarządzaniem dotacjami i pozwala na znaczne uproszczenia administracyjne.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SZACUNKOWY WPŁYW FINANSOWY WNIOSKU/INICJATYWY </w:t>
      </w:r>
    </w:p>
    <w:p>
      <w:pPr>
        <w:pStyle w:val="ManualHeading2"/>
        <w:rPr>
          <w:noProof/>
        </w:rPr>
      </w:pPr>
      <w:r>
        <w:t>3.1.</w:t>
      </w:r>
      <w:r>
        <w:tab/>
      </w:r>
      <w:r>
        <w:rPr>
          <w:noProof/>
        </w:rPr>
        <w:t xml:space="preserve">Działy wieloletnich ram finansowych i linie budżetowe po stronie wydatków, na które wniosek/inicjatywa ma wpływ </w:t>
      </w:r>
    </w:p>
    <w:p>
      <w:pPr>
        <w:pStyle w:val="ListBullet1"/>
        <w:rPr>
          <w:noProof/>
        </w:rPr>
      </w:pPr>
      <w:r>
        <w:rPr>
          <w:noProof/>
        </w:rPr>
        <w:t xml:space="preserve">Istniejące linie budżetowe </w:t>
      </w:r>
    </w:p>
    <w:p>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Dział wieloletnich ram finansowych</w:t>
            </w:r>
          </w:p>
        </w:tc>
        <w:tc>
          <w:tcPr>
            <w:tcW w:w="3960" w:type="dxa"/>
            <w:vAlign w:val="center"/>
          </w:tcPr>
          <w:p>
            <w:pPr>
              <w:spacing w:before="60" w:after="60"/>
              <w:jc w:val="center"/>
              <w:rPr>
                <w:noProof/>
              </w:rPr>
            </w:pPr>
            <w:r>
              <w:rPr>
                <w:noProof/>
                <w:sz w:val="20"/>
              </w:rPr>
              <w:t>Linia budżetowa</w:t>
            </w:r>
          </w:p>
        </w:tc>
        <w:tc>
          <w:tcPr>
            <w:tcW w:w="1080" w:type="dxa"/>
            <w:vAlign w:val="center"/>
          </w:tcPr>
          <w:p>
            <w:pPr>
              <w:spacing w:before="60" w:after="60"/>
              <w:jc w:val="center"/>
              <w:rPr>
                <w:noProof/>
              </w:rPr>
            </w:pPr>
            <w:r>
              <w:rPr>
                <w:noProof/>
                <w:sz w:val="18"/>
              </w:rPr>
              <w:t>Rodzaj</w:t>
            </w:r>
            <w:r>
              <w:rPr>
                <w:noProof/>
                <w:sz w:val="22"/>
              </w:rPr>
              <w:t xml:space="preserve"> </w:t>
            </w:r>
            <w:r>
              <w:rPr>
                <w:noProof/>
                <w:sz w:val="18"/>
              </w:rPr>
              <w:t>środków</w:t>
            </w:r>
          </w:p>
        </w:tc>
        <w:tc>
          <w:tcPr>
            <w:tcW w:w="4440" w:type="dxa"/>
            <w:gridSpan w:val="4"/>
            <w:vAlign w:val="center"/>
          </w:tcPr>
          <w:p>
            <w:pPr>
              <w:spacing w:before="60" w:after="60"/>
              <w:jc w:val="center"/>
              <w:rPr>
                <w:noProof/>
              </w:rPr>
            </w:pPr>
            <w:r>
              <w:rPr>
                <w:noProof/>
                <w:sz w:val="20"/>
              </w:rPr>
              <w:t xml:space="preserve">Wkład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 </w:t>
            </w:r>
            <w:r>
              <w:rPr>
                <w:noProof/>
                <w:sz w:val="22"/>
              </w:rPr>
              <w:br/>
            </w:r>
            <w:r>
              <w:rPr>
                <w:noProof/>
              </w:rPr>
              <w:t>[…]</w:t>
            </w:r>
            <w:r>
              <w:rPr>
                <w:noProof/>
                <w:sz w:val="20"/>
              </w:rPr>
              <w:t>[Pozycja/Artykuł………………………...……………]</w:t>
            </w:r>
          </w:p>
        </w:tc>
        <w:tc>
          <w:tcPr>
            <w:tcW w:w="1080" w:type="dxa"/>
            <w:vAlign w:val="center"/>
          </w:tcPr>
          <w:p>
            <w:pPr>
              <w:jc w:val="center"/>
              <w:rPr>
                <w:noProof/>
              </w:rPr>
            </w:pPr>
            <w:r>
              <w:rPr>
                <w:noProof/>
                <w:sz w:val="18"/>
              </w:rPr>
              <w:t>Zróżnicowane/niezróżnicowane</w:t>
            </w:r>
            <w:r>
              <w:rPr>
                <w:rStyle w:val="FootnoteReference"/>
                <w:noProof/>
                <w:sz w:val="18"/>
              </w:rPr>
              <w:footnoteReference w:id="31"/>
            </w:r>
          </w:p>
        </w:tc>
        <w:tc>
          <w:tcPr>
            <w:tcW w:w="956" w:type="dxa"/>
            <w:vAlign w:val="center"/>
          </w:tcPr>
          <w:p>
            <w:pPr>
              <w:jc w:val="center"/>
              <w:rPr>
                <w:noProof/>
              </w:rPr>
            </w:pPr>
            <w:r>
              <w:rPr>
                <w:noProof/>
                <w:sz w:val="18"/>
              </w:rPr>
              <w:t>z państw EFTA</w:t>
            </w:r>
            <w:r>
              <w:rPr>
                <w:rStyle w:val="FootnoteReference"/>
                <w:noProof/>
                <w:sz w:val="18"/>
              </w:rPr>
              <w:footnoteReference w:id="32"/>
            </w:r>
          </w:p>
          <w:p>
            <w:pPr>
              <w:spacing w:after="0"/>
              <w:jc w:val="center"/>
              <w:rPr>
                <w:b/>
                <w:noProof/>
                <w:sz w:val="18"/>
              </w:rPr>
            </w:pPr>
          </w:p>
        </w:tc>
        <w:tc>
          <w:tcPr>
            <w:tcW w:w="1080" w:type="dxa"/>
            <w:vAlign w:val="center"/>
          </w:tcPr>
          <w:p>
            <w:pPr>
              <w:jc w:val="center"/>
              <w:rPr>
                <w:noProof/>
              </w:rPr>
            </w:pPr>
            <w:r>
              <w:rPr>
                <w:noProof/>
                <w:sz w:val="18"/>
              </w:rPr>
              <w:t>z krajów kandydujących</w:t>
            </w:r>
            <w:r>
              <w:rPr>
                <w:rStyle w:val="FootnoteReference"/>
                <w:noProof/>
                <w:sz w:val="18"/>
              </w:rPr>
              <w:footnoteReference w:id="33"/>
            </w:r>
          </w:p>
          <w:p>
            <w:pPr>
              <w:spacing w:after="0"/>
              <w:jc w:val="center"/>
              <w:rPr>
                <w:noProof/>
                <w:sz w:val="18"/>
              </w:rPr>
            </w:pPr>
          </w:p>
        </w:tc>
        <w:tc>
          <w:tcPr>
            <w:tcW w:w="956" w:type="dxa"/>
            <w:vAlign w:val="center"/>
          </w:tcPr>
          <w:p>
            <w:pPr>
              <w:jc w:val="center"/>
              <w:rPr>
                <w:noProof/>
                <w:sz w:val="18"/>
              </w:rPr>
            </w:pPr>
            <w:r>
              <w:rPr>
                <w:noProof/>
                <w:sz w:val="18"/>
              </w:rPr>
              <w:t>z państw trzecich</w:t>
            </w:r>
          </w:p>
        </w:tc>
        <w:tc>
          <w:tcPr>
            <w:tcW w:w="1448" w:type="dxa"/>
            <w:vAlign w:val="center"/>
          </w:tcPr>
          <w:p>
            <w:pPr>
              <w:jc w:val="center"/>
              <w:rPr>
                <w:noProof/>
              </w:rPr>
            </w:pPr>
            <w:r>
              <w:rPr>
                <w:noProof/>
                <w:sz w:val="16"/>
              </w:rPr>
              <w:t xml:space="preserve">w rozumieniu art. 21 ust. 2 lit. b) rozporządzenia finansowego </w:t>
            </w:r>
          </w:p>
        </w:tc>
      </w:tr>
      <w:tr>
        <w:tc>
          <w:tcPr>
            <w:tcW w:w="1080" w:type="dxa"/>
            <w:vAlign w:val="center"/>
          </w:tcPr>
          <w:p>
            <w:pPr>
              <w:jc w:val="center"/>
              <w:rPr>
                <w:noProof/>
              </w:rPr>
            </w:pPr>
            <w:r>
              <w:rPr>
                <w:noProof/>
              </w:rPr>
              <w:t>1a</w:t>
            </w:r>
          </w:p>
        </w:tc>
        <w:tc>
          <w:tcPr>
            <w:tcW w:w="3960" w:type="dxa"/>
            <w:vAlign w:val="center"/>
          </w:tcPr>
          <w:p>
            <w:pPr>
              <w:spacing w:after="60"/>
              <w:rPr>
                <w:noProof/>
              </w:rPr>
            </w:pPr>
            <w:r>
              <w:rPr>
                <w:noProof/>
              </w:rPr>
              <w:t>29.020100 – EPS 18_20 – Europejski program statystyczny (EPS) 2018–2020</w:t>
            </w:r>
          </w:p>
        </w:tc>
        <w:tc>
          <w:tcPr>
            <w:tcW w:w="1080" w:type="dxa"/>
            <w:vAlign w:val="center"/>
          </w:tcPr>
          <w:p>
            <w:pPr>
              <w:jc w:val="center"/>
              <w:rPr>
                <w:noProof/>
              </w:rPr>
            </w:pPr>
            <w:r>
              <w:rPr>
                <w:noProof/>
                <w:sz w:val="22"/>
              </w:rPr>
              <w:t>Zróżnicowane</w:t>
            </w:r>
          </w:p>
        </w:tc>
        <w:tc>
          <w:tcPr>
            <w:tcW w:w="956" w:type="dxa"/>
            <w:vAlign w:val="center"/>
          </w:tcPr>
          <w:p>
            <w:pPr>
              <w:jc w:val="center"/>
              <w:rPr>
                <w:noProof/>
              </w:rPr>
            </w:pPr>
            <w:r>
              <w:rPr>
                <w:noProof/>
                <w:sz w:val="22"/>
              </w:rPr>
              <w:t>TAK</w:t>
            </w:r>
          </w:p>
        </w:tc>
        <w:tc>
          <w:tcPr>
            <w:tcW w:w="1080" w:type="dxa"/>
            <w:vAlign w:val="center"/>
          </w:tcPr>
          <w:p>
            <w:pPr>
              <w:jc w:val="center"/>
              <w:rPr>
                <w:noProof/>
              </w:rPr>
            </w:pPr>
            <w:r>
              <w:rPr>
                <w:noProof/>
                <w:sz w:val="22"/>
              </w:rPr>
              <w:t>NIE</w:t>
            </w:r>
          </w:p>
        </w:tc>
        <w:tc>
          <w:tcPr>
            <w:tcW w:w="956" w:type="dxa"/>
            <w:vAlign w:val="center"/>
          </w:tcPr>
          <w:p>
            <w:pPr>
              <w:jc w:val="center"/>
              <w:rPr>
                <w:noProof/>
              </w:rPr>
            </w:pPr>
            <w:r>
              <w:rPr>
                <w:noProof/>
                <w:sz w:val="22"/>
              </w:rPr>
              <w:t>NIE</w:t>
            </w:r>
          </w:p>
        </w:tc>
        <w:tc>
          <w:tcPr>
            <w:tcW w:w="1448" w:type="dxa"/>
            <w:vAlign w:val="center"/>
          </w:tcPr>
          <w:p>
            <w:pPr>
              <w:jc w:val="center"/>
              <w:rPr>
                <w:noProof/>
              </w:rPr>
            </w:pPr>
            <w:r>
              <w:rPr>
                <w:noProof/>
                <w:sz w:val="22"/>
              </w:rPr>
              <w:t>NIE</w:t>
            </w:r>
          </w:p>
        </w:tc>
      </w:tr>
      <w:tr>
        <w:tc>
          <w:tcPr>
            <w:tcW w:w="1080" w:type="dxa"/>
            <w:vAlign w:val="center"/>
          </w:tcPr>
          <w:p>
            <w:pPr>
              <w:jc w:val="center"/>
              <w:rPr>
                <w:noProof/>
              </w:rPr>
            </w:pPr>
            <w:r>
              <w:rPr>
                <w:noProof/>
                <w:sz w:val="22"/>
              </w:rPr>
              <w:t>1a</w:t>
            </w:r>
          </w:p>
        </w:tc>
        <w:tc>
          <w:tcPr>
            <w:tcW w:w="3960" w:type="dxa"/>
            <w:vAlign w:val="center"/>
          </w:tcPr>
          <w:p>
            <w:pPr>
              <w:spacing w:after="60"/>
            </w:pPr>
            <w:r>
              <w:rPr>
                <w:noProof/>
              </w:rPr>
              <w:t>09.040201 – Przewodnia rola w zakresie technologii informacyjno-komunikacyjnych (Powiązany program: „HORYZONT 2020” – program ramowy w zakresie badań naukowych i innowacji („Horyzont 2020”)</w:t>
            </w:r>
          </w:p>
        </w:tc>
        <w:tc>
          <w:tcPr>
            <w:tcW w:w="1080" w:type="dxa"/>
            <w:vAlign w:val="center"/>
          </w:tcPr>
          <w:p>
            <w:pPr>
              <w:jc w:val="center"/>
              <w:rPr>
                <w:noProof/>
                <w:sz w:val="22"/>
              </w:rPr>
            </w:pPr>
            <w:r>
              <w:rPr>
                <w:noProof/>
                <w:sz w:val="22"/>
              </w:rPr>
              <w:t>Zróżnicowane</w:t>
            </w:r>
          </w:p>
        </w:tc>
        <w:tc>
          <w:tcPr>
            <w:tcW w:w="956" w:type="dxa"/>
            <w:vAlign w:val="center"/>
          </w:tcPr>
          <w:p>
            <w:pPr>
              <w:jc w:val="center"/>
              <w:rPr>
                <w:noProof/>
                <w:sz w:val="22"/>
              </w:rPr>
            </w:pPr>
            <w:r>
              <w:rPr>
                <w:noProof/>
                <w:sz w:val="22"/>
              </w:rPr>
              <w:t>TAK</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Szacunkowy wpływ na wydatki </w:t>
      </w:r>
    </w:p>
    <w:p>
      <w:pPr>
        <w:pStyle w:val="ManualHeading3"/>
        <w:rPr>
          <w:noProof/>
          <w:u w:val="single"/>
        </w:rPr>
      </w:pPr>
      <w:r>
        <w:t>3.2.1.</w:t>
      </w:r>
      <w:r>
        <w:tab/>
      </w:r>
      <w:r>
        <w:rPr>
          <w:noProof/>
        </w:rPr>
        <w:t xml:space="preserve">Synteza szacunkowego wpływu na wydatki </w:t>
      </w:r>
    </w:p>
    <w:p>
      <w:pPr>
        <w:jc w:val="right"/>
        <w:rPr>
          <w:noProof/>
          <w:sz w:val="20"/>
        </w:rPr>
      </w:pPr>
      <w:r>
        <w:rPr>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Dział wieloletnich ram</w:t>
            </w:r>
            <w:r>
              <w:rPr>
                <w:noProof/>
              </w:rPr>
              <w:t xml:space="preserve"> </w:t>
            </w:r>
            <w:r>
              <w:rPr>
                <w:b/>
                <w:noProof/>
                <w:sz w:val="22"/>
              </w:rPr>
              <w:t xml:space="preserve">finansowych </w:t>
            </w:r>
          </w:p>
        </w:tc>
        <w:tc>
          <w:tcPr>
            <w:tcW w:w="1080" w:type="dxa"/>
            <w:vAlign w:val="center"/>
          </w:tcPr>
          <w:p>
            <w:pPr>
              <w:spacing w:before="60" w:after="60"/>
              <w:jc w:val="center"/>
              <w:rPr>
                <w:noProof/>
              </w:rPr>
            </w:pPr>
            <w:r>
              <w:rPr>
                <w:noProof/>
                <w:sz w:val="22"/>
              </w:rPr>
              <w:t>Numer</w:t>
            </w:r>
          </w:p>
        </w:tc>
        <w:tc>
          <w:tcPr>
            <w:tcW w:w="7817" w:type="dxa"/>
            <w:vAlign w:val="center"/>
          </w:tcPr>
          <w:p>
            <w:pPr>
              <w:spacing w:before="60" w:after="60"/>
              <w:rPr>
                <w:noProof/>
              </w:rPr>
            </w:pPr>
            <w:r>
              <w:rPr>
                <w:noProof/>
              </w:rPr>
              <w:t>1a. Konkurencyjność na rzecz wzrostu gospodarczego i zatrudnienia</w:t>
            </w:r>
          </w:p>
        </w:tc>
      </w:tr>
    </w:tbl>
    <w:p>
      <w:pPr>
        <w:rPr>
          <w:noProof/>
          <w:sz w:val="16"/>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2874"/>
        <w:gridCol w:w="2874"/>
        <w:gridCol w:w="2875"/>
      </w:tblGrid>
      <w:tr>
        <w:tc>
          <w:tcPr>
            <w:tcW w:w="3960" w:type="dxa"/>
            <w:vAlign w:val="center"/>
          </w:tcPr>
          <w:p>
            <w:pPr>
              <w:jc w:val="center"/>
              <w:rPr>
                <w:noProof/>
              </w:rPr>
            </w:pPr>
            <w:r>
              <w:rPr>
                <w:noProof/>
                <w:sz w:val="22"/>
              </w:rPr>
              <w:t>DG: ESTAT</w:t>
            </w:r>
          </w:p>
        </w:tc>
        <w:tc>
          <w:tcPr>
            <w:tcW w:w="1560" w:type="dxa"/>
            <w:gridSpan w:val="2"/>
          </w:tcPr>
          <w:p>
            <w:pPr>
              <w:rPr>
                <w:noProof/>
                <w:sz w:val="20"/>
              </w:rPr>
            </w:pPr>
          </w:p>
        </w:tc>
        <w:tc>
          <w:tcPr>
            <w:tcW w:w="534" w:type="dxa"/>
          </w:tcPr>
          <w:p>
            <w:pPr>
              <w:jc w:val="center"/>
              <w:rPr>
                <w:noProof/>
                <w:sz w:val="20"/>
              </w:rPr>
            </w:pPr>
          </w:p>
        </w:tc>
        <w:tc>
          <w:tcPr>
            <w:tcW w:w="2874" w:type="dxa"/>
            <w:vAlign w:val="center"/>
          </w:tcPr>
          <w:p>
            <w:pPr>
              <w:jc w:val="center"/>
              <w:rPr>
                <w:noProof/>
                <w:sz w:val="20"/>
              </w:rPr>
            </w:pPr>
            <w:r>
              <w:rPr>
                <w:noProof/>
                <w:sz w:val="20"/>
              </w:rPr>
              <w:t>Rok</w:t>
            </w:r>
            <w:r>
              <w:rPr>
                <w:noProof/>
                <w:sz w:val="22"/>
              </w:rPr>
              <w:br/>
            </w:r>
            <w:r>
              <w:rPr>
                <w:b/>
                <w:noProof/>
                <w:sz w:val="20"/>
              </w:rPr>
              <w:t>2019</w:t>
            </w:r>
          </w:p>
        </w:tc>
        <w:tc>
          <w:tcPr>
            <w:tcW w:w="2874" w:type="dxa"/>
            <w:vAlign w:val="center"/>
          </w:tcPr>
          <w:p>
            <w:pPr>
              <w:jc w:val="center"/>
              <w:rPr>
                <w:noProof/>
                <w:sz w:val="20"/>
              </w:rPr>
            </w:pPr>
            <w:r>
              <w:rPr>
                <w:noProof/>
                <w:sz w:val="20"/>
              </w:rPr>
              <w:t>Rok</w:t>
            </w:r>
            <w:r>
              <w:rPr>
                <w:noProof/>
                <w:sz w:val="22"/>
              </w:rPr>
              <w:br/>
            </w:r>
            <w:r>
              <w:rPr>
                <w:b/>
                <w:noProof/>
                <w:sz w:val="20"/>
              </w:rPr>
              <w:t>2020</w:t>
            </w:r>
          </w:p>
        </w:tc>
        <w:tc>
          <w:tcPr>
            <w:tcW w:w="2875" w:type="dxa"/>
            <w:vAlign w:val="center"/>
          </w:tcPr>
          <w:p>
            <w:pPr>
              <w:jc w:val="center"/>
              <w:rPr>
                <w:b/>
                <w:noProof/>
                <w:sz w:val="20"/>
              </w:rPr>
            </w:pPr>
            <w:r>
              <w:rPr>
                <w:b/>
                <w:noProof/>
                <w:sz w:val="20"/>
              </w:rPr>
              <w:t>OGÓŁEM</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Środki operacyjne</w:t>
            </w:r>
          </w:p>
        </w:tc>
        <w:tc>
          <w:tcPr>
            <w:tcW w:w="2874" w:type="dxa"/>
            <w:vAlign w:val="center"/>
          </w:tcPr>
          <w:p>
            <w:pPr>
              <w:rPr>
                <w:noProof/>
                <w:sz w:val="20"/>
              </w:rPr>
            </w:pPr>
          </w:p>
        </w:tc>
        <w:tc>
          <w:tcPr>
            <w:tcW w:w="2874" w:type="dxa"/>
            <w:vAlign w:val="center"/>
          </w:tcPr>
          <w:p>
            <w:pPr>
              <w:rPr>
                <w:noProof/>
                <w:sz w:val="20"/>
              </w:rPr>
            </w:pPr>
          </w:p>
        </w:tc>
        <w:tc>
          <w:tcPr>
            <w:tcW w:w="2875" w:type="dxa"/>
            <w:vAlign w:val="center"/>
          </w:tcPr>
          <w:p>
            <w:pPr>
              <w:rPr>
                <w:b/>
                <w:noProof/>
                <w:sz w:val="20"/>
              </w:rPr>
            </w:pPr>
          </w:p>
        </w:tc>
      </w:tr>
      <w:tr>
        <w:trPr>
          <w:trHeight w:val="277"/>
        </w:trPr>
        <w:tc>
          <w:tcPr>
            <w:tcW w:w="3960" w:type="dxa"/>
            <w:vMerge w:val="restart"/>
            <w:vAlign w:val="center"/>
          </w:tcPr>
          <w:p>
            <w:pPr>
              <w:rPr>
                <w:noProof/>
              </w:rPr>
            </w:pPr>
            <w:r>
              <w:rPr>
                <w:noProof/>
                <w:sz w:val="20"/>
              </w:rPr>
              <w:t>Numer linii budżetowej 29.020100</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w:t>
            </w:r>
          </w:p>
        </w:tc>
        <w:tc>
          <w:tcPr>
            <w:tcW w:w="2874" w:type="dxa"/>
            <w:vAlign w:val="center"/>
          </w:tcPr>
          <w:p>
            <w:pPr>
              <w:spacing w:before="20" w:after="20"/>
              <w:jc w:val="right"/>
              <w:rPr>
                <w:noProof/>
                <w:sz w:val="20"/>
              </w:rPr>
            </w:pPr>
            <w:r>
              <w:rPr>
                <w:noProof/>
                <w:sz w:val="20"/>
              </w:rPr>
              <w:t>10,285</w:t>
            </w:r>
          </w:p>
        </w:tc>
        <w:tc>
          <w:tcPr>
            <w:tcW w:w="2874" w:type="dxa"/>
            <w:vAlign w:val="center"/>
          </w:tcPr>
          <w:p>
            <w:pPr>
              <w:spacing w:before="20" w:after="20"/>
              <w:jc w:val="right"/>
              <w:rPr>
                <w:noProof/>
                <w:sz w:val="20"/>
              </w:rPr>
            </w:pPr>
            <w:r>
              <w:rPr>
                <w:noProof/>
                <w:sz w:val="20"/>
              </w:rPr>
              <w:t>9,185</w:t>
            </w:r>
          </w:p>
        </w:tc>
        <w:tc>
          <w:tcPr>
            <w:tcW w:w="2875" w:type="dxa"/>
            <w:vAlign w:val="center"/>
          </w:tcPr>
          <w:p>
            <w:pPr>
              <w:spacing w:before="20" w:after="20"/>
              <w:jc w:val="right"/>
              <w:rPr>
                <w:b/>
                <w:noProof/>
                <w:sz w:val="20"/>
              </w:rPr>
            </w:pPr>
            <w:r>
              <w:rPr>
                <w:b/>
                <w:noProof/>
                <w:sz w:val="20"/>
              </w:rPr>
              <w:t>19,470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w:t>
            </w:r>
          </w:p>
        </w:tc>
        <w:tc>
          <w:tcPr>
            <w:tcW w:w="2874" w:type="dxa"/>
            <w:vAlign w:val="center"/>
          </w:tcPr>
          <w:p>
            <w:pPr>
              <w:spacing w:before="20" w:after="20"/>
              <w:jc w:val="right"/>
              <w:rPr>
                <w:noProof/>
                <w:sz w:val="20"/>
              </w:rPr>
            </w:pPr>
            <w:r>
              <w:rPr>
                <w:noProof/>
                <w:sz w:val="20"/>
              </w:rPr>
              <w:t>1,029</w:t>
            </w:r>
          </w:p>
        </w:tc>
        <w:tc>
          <w:tcPr>
            <w:tcW w:w="2874" w:type="dxa"/>
            <w:vAlign w:val="center"/>
          </w:tcPr>
          <w:p>
            <w:pPr>
              <w:spacing w:before="20" w:after="20"/>
              <w:jc w:val="right"/>
              <w:rPr>
                <w:noProof/>
                <w:sz w:val="20"/>
              </w:rPr>
            </w:pPr>
            <w:r>
              <w:rPr>
                <w:noProof/>
                <w:sz w:val="20"/>
              </w:rPr>
              <w:t>4,518</w:t>
            </w:r>
          </w:p>
        </w:tc>
        <w:tc>
          <w:tcPr>
            <w:tcW w:w="2875" w:type="dxa"/>
            <w:vAlign w:val="center"/>
          </w:tcPr>
          <w:p>
            <w:pPr>
              <w:spacing w:before="20" w:after="20"/>
              <w:jc w:val="right"/>
              <w:rPr>
                <w:b/>
                <w:noProof/>
                <w:sz w:val="20"/>
              </w:rPr>
            </w:pPr>
            <w:r>
              <w:rPr>
                <w:b/>
                <w:noProof/>
                <w:sz w:val="20"/>
              </w:rPr>
              <w:t>5,547</w:t>
            </w:r>
          </w:p>
        </w:tc>
      </w:tr>
      <w:tr>
        <w:tc>
          <w:tcPr>
            <w:tcW w:w="3960" w:type="dxa"/>
            <w:vMerge w:val="restart"/>
            <w:vAlign w:val="center"/>
          </w:tcPr>
          <w:p>
            <w:pPr>
              <w:rPr>
                <w:noProof/>
              </w:rPr>
            </w:pPr>
            <w:r>
              <w:rPr>
                <w:noProof/>
                <w:sz w:val="20"/>
              </w:rPr>
              <w:t>Numer linii budżetowej</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Środki administracyjne finansowane ze środków przydzielonych na określone programy operacyjne</w:t>
            </w:r>
            <w:r>
              <w:rPr>
                <w:rStyle w:val="FootnoteReference"/>
                <w:noProof/>
                <w:sz w:val="21"/>
              </w:rPr>
              <w:footnoteReference w:id="34"/>
            </w:r>
            <w:r>
              <w:rPr>
                <w:noProof/>
                <w:sz w:val="21"/>
              </w:rPr>
              <w:t xml:space="preserve"> </w:t>
            </w:r>
          </w:p>
          <w:p>
            <w:pPr>
              <w:spacing w:after="0"/>
              <w:rPr>
                <w:noProof/>
              </w:rPr>
            </w:pPr>
          </w:p>
        </w:tc>
        <w:tc>
          <w:tcPr>
            <w:tcW w:w="2874" w:type="dxa"/>
            <w:vAlign w:val="center"/>
          </w:tcPr>
          <w:p>
            <w:pPr>
              <w:rPr>
                <w:b/>
                <w:noProof/>
                <w:sz w:val="20"/>
              </w:rPr>
            </w:pPr>
          </w:p>
        </w:tc>
        <w:tc>
          <w:tcPr>
            <w:tcW w:w="2874" w:type="dxa"/>
            <w:vAlign w:val="center"/>
          </w:tcPr>
          <w:p>
            <w:pPr>
              <w:rPr>
                <w:b/>
                <w:noProof/>
                <w:sz w:val="20"/>
              </w:rPr>
            </w:pPr>
          </w:p>
        </w:tc>
        <w:tc>
          <w:tcPr>
            <w:tcW w:w="2875" w:type="dxa"/>
            <w:vAlign w:val="center"/>
          </w:tcPr>
          <w:p>
            <w:pPr>
              <w:rPr>
                <w:b/>
                <w:noProof/>
                <w:sz w:val="20"/>
              </w:rPr>
            </w:pPr>
          </w:p>
        </w:tc>
      </w:tr>
      <w:tr>
        <w:trPr>
          <w:trHeight w:val="319"/>
        </w:trPr>
        <w:tc>
          <w:tcPr>
            <w:tcW w:w="3960" w:type="dxa"/>
            <w:vAlign w:val="center"/>
          </w:tcPr>
          <w:p>
            <w:pPr>
              <w:spacing w:before="60" w:after="60"/>
              <w:rPr>
                <w:noProof/>
              </w:rPr>
            </w:pPr>
            <w:r>
              <w:rPr>
                <w:noProof/>
                <w:sz w:val="20"/>
              </w:rPr>
              <w:t>Numer linii budżetowej</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2874" w:type="dxa"/>
            <w:vAlign w:val="center"/>
          </w:tcPr>
          <w:p>
            <w:pPr>
              <w:spacing w:before="40" w:after="40"/>
              <w:jc w:val="right"/>
              <w:rPr>
                <w:b/>
                <w:noProof/>
                <w:sz w:val="20"/>
              </w:rPr>
            </w:pPr>
          </w:p>
        </w:tc>
        <w:tc>
          <w:tcPr>
            <w:tcW w:w="2874" w:type="dxa"/>
            <w:vAlign w:val="center"/>
          </w:tcPr>
          <w:p>
            <w:pPr>
              <w:spacing w:before="40" w:after="40"/>
              <w:jc w:val="right"/>
              <w:rPr>
                <w:b/>
                <w:noProof/>
                <w:sz w:val="20"/>
              </w:rPr>
            </w:pPr>
          </w:p>
        </w:tc>
        <w:tc>
          <w:tcPr>
            <w:tcW w:w="2875"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OGÓŁEM środki dla DG ESTAT</w:t>
            </w:r>
          </w:p>
        </w:tc>
        <w:tc>
          <w:tcPr>
            <w:tcW w:w="1440" w:type="dxa"/>
            <w:vAlign w:val="center"/>
          </w:tcPr>
          <w:p>
            <w:pPr>
              <w:rPr>
                <w:noProof/>
                <w:sz w:val="18"/>
              </w:rPr>
            </w:pPr>
            <w:r>
              <w:rPr>
                <w:noProof/>
                <w:sz w:val="18"/>
              </w:rPr>
              <w:t>Środki na zobowiązania</w:t>
            </w:r>
          </w:p>
        </w:tc>
        <w:tc>
          <w:tcPr>
            <w:tcW w:w="654" w:type="dxa"/>
            <w:gridSpan w:val="2"/>
            <w:vAlign w:val="center"/>
          </w:tcPr>
          <w:p>
            <w:pPr>
              <w:jc w:val="center"/>
              <w:rPr>
                <w:noProof/>
                <w:sz w:val="14"/>
              </w:rPr>
            </w:pPr>
            <w:r>
              <w:rPr>
                <w:noProof/>
                <w:sz w:val="14"/>
              </w:rPr>
              <w:t>=1+1a +3</w:t>
            </w:r>
          </w:p>
        </w:tc>
        <w:tc>
          <w:tcPr>
            <w:tcW w:w="2874" w:type="dxa"/>
            <w:vAlign w:val="center"/>
          </w:tcPr>
          <w:p>
            <w:pPr>
              <w:spacing w:before="20" w:after="20"/>
              <w:jc w:val="right"/>
              <w:rPr>
                <w:noProof/>
                <w:sz w:val="20"/>
              </w:rPr>
            </w:pPr>
            <w:r>
              <w:rPr>
                <w:noProof/>
                <w:sz w:val="20"/>
              </w:rPr>
              <w:t>10,285</w:t>
            </w:r>
          </w:p>
        </w:tc>
        <w:tc>
          <w:tcPr>
            <w:tcW w:w="2874" w:type="dxa"/>
            <w:vAlign w:val="center"/>
          </w:tcPr>
          <w:p>
            <w:pPr>
              <w:spacing w:before="20" w:after="20"/>
              <w:jc w:val="right"/>
              <w:rPr>
                <w:noProof/>
                <w:sz w:val="20"/>
              </w:rPr>
            </w:pPr>
            <w:r>
              <w:rPr>
                <w:noProof/>
                <w:sz w:val="20"/>
              </w:rPr>
              <w:t>9,185</w:t>
            </w:r>
          </w:p>
        </w:tc>
        <w:tc>
          <w:tcPr>
            <w:tcW w:w="2875" w:type="dxa"/>
            <w:vAlign w:val="center"/>
          </w:tcPr>
          <w:p>
            <w:pPr>
              <w:spacing w:before="20" w:after="20"/>
              <w:jc w:val="right"/>
              <w:rPr>
                <w:b/>
                <w:noProof/>
                <w:sz w:val="20"/>
              </w:rPr>
            </w:pPr>
            <w:r>
              <w:rPr>
                <w:b/>
                <w:noProof/>
                <w:sz w:val="20"/>
              </w:rPr>
              <w:t>19,470</w:t>
            </w:r>
          </w:p>
        </w:tc>
      </w:tr>
      <w:tr>
        <w:tc>
          <w:tcPr>
            <w:tcW w:w="3960" w:type="dxa"/>
            <w:vMerge/>
          </w:tcPr>
          <w:p>
            <w:pPr>
              <w:rPr>
                <w:noProof/>
                <w:sz w:val="20"/>
              </w:rPr>
            </w:pPr>
          </w:p>
        </w:tc>
        <w:tc>
          <w:tcPr>
            <w:tcW w:w="1440" w:type="dxa"/>
            <w:vAlign w:val="center"/>
          </w:tcPr>
          <w:p>
            <w:pPr>
              <w:rPr>
                <w:noProof/>
                <w:sz w:val="18"/>
              </w:rPr>
            </w:pPr>
            <w:r>
              <w:rPr>
                <w:noProof/>
                <w:sz w:val="18"/>
              </w:rPr>
              <w:t>Środki na płatności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2874" w:type="dxa"/>
            <w:vAlign w:val="center"/>
          </w:tcPr>
          <w:p>
            <w:pPr>
              <w:spacing w:before="20" w:after="20"/>
              <w:jc w:val="right"/>
              <w:rPr>
                <w:noProof/>
                <w:sz w:val="20"/>
              </w:rPr>
            </w:pPr>
            <w:r>
              <w:rPr>
                <w:noProof/>
                <w:sz w:val="20"/>
              </w:rPr>
              <w:t>1,029</w:t>
            </w:r>
          </w:p>
        </w:tc>
        <w:tc>
          <w:tcPr>
            <w:tcW w:w="2874" w:type="dxa"/>
            <w:vAlign w:val="center"/>
          </w:tcPr>
          <w:p>
            <w:pPr>
              <w:spacing w:before="20" w:after="20"/>
              <w:jc w:val="right"/>
              <w:rPr>
                <w:noProof/>
                <w:sz w:val="20"/>
              </w:rPr>
            </w:pPr>
            <w:r>
              <w:rPr>
                <w:noProof/>
                <w:sz w:val="20"/>
              </w:rPr>
              <w:t>4,518</w:t>
            </w:r>
          </w:p>
        </w:tc>
        <w:tc>
          <w:tcPr>
            <w:tcW w:w="2875" w:type="dxa"/>
            <w:vAlign w:val="center"/>
          </w:tcPr>
          <w:p>
            <w:pPr>
              <w:spacing w:before="20" w:after="20"/>
              <w:jc w:val="right"/>
              <w:rPr>
                <w:b/>
                <w:noProof/>
                <w:sz w:val="20"/>
              </w:rPr>
            </w:pPr>
            <w:r>
              <w:rPr>
                <w:b/>
                <w:noProof/>
                <w:sz w:val="20"/>
              </w:rPr>
              <w:t>5,547</w:t>
            </w:r>
          </w:p>
        </w:tc>
      </w:tr>
    </w:tbl>
    <w:p>
      <w:pPr>
        <w:rPr>
          <w:noProof/>
        </w:rPr>
      </w:pPr>
      <w:r>
        <w:rPr>
          <w:noProof/>
        </w:rPr>
        <w:br/>
      </w:r>
      <w:r>
        <w:rPr>
          <w:noProof/>
        </w:rPr>
        <w:br/>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2874"/>
        <w:gridCol w:w="2874"/>
        <w:gridCol w:w="2875"/>
      </w:tblGrid>
      <w:tr>
        <w:tc>
          <w:tcPr>
            <w:tcW w:w="3960" w:type="dxa"/>
            <w:vAlign w:val="center"/>
          </w:tcPr>
          <w:p>
            <w:pPr>
              <w:jc w:val="center"/>
              <w:rPr>
                <w:noProof/>
              </w:rPr>
            </w:pPr>
            <w:r>
              <w:rPr>
                <w:noProof/>
                <w:sz w:val="22"/>
              </w:rPr>
              <w:t>DG: CNECT</w:t>
            </w:r>
          </w:p>
        </w:tc>
        <w:tc>
          <w:tcPr>
            <w:tcW w:w="1560" w:type="dxa"/>
            <w:gridSpan w:val="2"/>
          </w:tcPr>
          <w:p>
            <w:pPr>
              <w:rPr>
                <w:noProof/>
                <w:sz w:val="20"/>
              </w:rPr>
            </w:pPr>
          </w:p>
        </w:tc>
        <w:tc>
          <w:tcPr>
            <w:tcW w:w="534" w:type="dxa"/>
          </w:tcPr>
          <w:p>
            <w:pPr>
              <w:jc w:val="center"/>
              <w:rPr>
                <w:noProof/>
                <w:sz w:val="20"/>
              </w:rPr>
            </w:pPr>
          </w:p>
        </w:tc>
        <w:tc>
          <w:tcPr>
            <w:tcW w:w="2874" w:type="dxa"/>
            <w:vAlign w:val="center"/>
          </w:tcPr>
          <w:p>
            <w:pPr>
              <w:jc w:val="center"/>
              <w:rPr>
                <w:noProof/>
                <w:sz w:val="20"/>
              </w:rPr>
            </w:pPr>
            <w:r>
              <w:rPr>
                <w:noProof/>
                <w:sz w:val="20"/>
              </w:rPr>
              <w:t>Rok</w:t>
            </w:r>
            <w:r>
              <w:rPr>
                <w:noProof/>
                <w:sz w:val="22"/>
              </w:rPr>
              <w:br/>
            </w:r>
            <w:r>
              <w:rPr>
                <w:b/>
                <w:noProof/>
                <w:sz w:val="20"/>
              </w:rPr>
              <w:t>2019</w:t>
            </w:r>
          </w:p>
        </w:tc>
        <w:tc>
          <w:tcPr>
            <w:tcW w:w="2874" w:type="dxa"/>
            <w:vAlign w:val="center"/>
          </w:tcPr>
          <w:p>
            <w:pPr>
              <w:jc w:val="center"/>
              <w:rPr>
                <w:noProof/>
                <w:sz w:val="20"/>
              </w:rPr>
            </w:pPr>
            <w:r>
              <w:rPr>
                <w:noProof/>
                <w:sz w:val="20"/>
              </w:rPr>
              <w:t>Rok</w:t>
            </w:r>
            <w:r>
              <w:rPr>
                <w:noProof/>
                <w:sz w:val="22"/>
              </w:rPr>
              <w:br/>
            </w:r>
            <w:r>
              <w:rPr>
                <w:b/>
                <w:noProof/>
                <w:sz w:val="20"/>
              </w:rPr>
              <w:t>2020</w:t>
            </w:r>
          </w:p>
        </w:tc>
        <w:tc>
          <w:tcPr>
            <w:tcW w:w="2875" w:type="dxa"/>
            <w:vAlign w:val="center"/>
          </w:tcPr>
          <w:p>
            <w:pPr>
              <w:jc w:val="center"/>
              <w:rPr>
                <w:b/>
                <w:noProof/>
                <w:sz w:val="20"/>
              </w:rPr>
            </w:pPr>
            <w:r>
              <w:rPr>
                <w:b/>
                <w:noProof/>
                <w:sz w:val="20"/>
              </w:rPr>
              <w:t>OGÓŁEM</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Środki operacyjne</w:t>
            </w:r>
          </w:p>
        </w:tc>
        <w:tc>
          <w:tcPr>
            <w:tcW w:w="2874" w:type="dxa"/>
            <w:vAlign w:val="center"/>
          </w:tcPr>
          <w:p>
            <w:pPr>
              <w:rPr>
                <w:noProof/>
                <w:sz w:val="20"/>
              </w:rPr>
            </w:pPr>
          </w:p>
        </w:tc>
        <w:tc>
          <w:tcPr>
            <w:tcW w:w="2874" w:type="dxa"/>
            <w:vAlign w:val="center"/>
          </w:tcPr>
          <w:p>
            <w:pPr>
              <w:rPr>
                <w:noProof/>
                <w:sz w:val="20"/>
              </w:rPr>
            </w:pPr>
          </w:p>
        </w:tc>
        <w:tc>
          <w:tcPr>
            <w:tcW w:w="2875" w:type="dxa"/>
            <w:vAlign w:val="center"/>
          </w:tcPr>
          <w:p>
            <w:pPr>
              <w:rPr>
                <w:b/>
                <w:noProof/>
                <w:sz w:val="20"/>
              </w:rPr>
            </w:pPr>
          </w:p>
        </w:tc>
      </w:tr>
      <w:tr>
        <w:trPr>
          <w:trHeight w:val="277"/>
        </w:trPr>
        <w:tc>
          <w:tcPr>
            <w:tcW w:w="3960" w:type="dxa"/>
            <w:vMerge w:val="restart"/>
            <w:vAlign w:val="center"/>
          </w:tcPr>
          <w:p>
            <w:pPr>
              <w:rPr>
                <w:noProof/>
              </w:rPr>
            </w:pPr>
            <w:r>
              <w:rPr>
                <w:noProof/>
                <w:sz w:val="20"/>
              </w:rPr>
              <w:t>Numer linii budżetowej 09.040201</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w:t>
            </w:r>
          </w:p>
        </w:tc>
        <w:tc>
          <w:tcPr>
            <w:tcW w:w="2874" w:type="dxa"/>
            <w:vAlign w:val="center"/>
          </w:tcPr>
          <w:p>
            <w:pPr>
              <w:spacing w:before="20" w:after="20"/>
              <w:jc w:val="right"/>
              <w:rPr>
                <w:noProof/>
                <w:sz w:val="20"/>
              </w:rPr>
            </w:pPr>
            <w:r>
              <w:rPr>
                <w:noProof/>
                <w:sz w:val="20"/>
              </w:rPr>
              <w:t>1,000</w:t>
            </w:r>
          </w:p>
        </w:tc>
        <w:tc>
          <w:tcPr>
            <w:tcW w:w="2874" w:type="dxa"/>
            <w:vAlign w:val="center"/>
          </w:tcPr>
          <w:p>
            <w:pPr>
              <w:spacing w:before="20" w:after="20"/>
              <w:jc w:val="right"/>
              <w:rPr>
                <w:noProof/>
                <w:sz w:val="20"/>
              </w:rPr>
            </w:pPr>
            <w:r>
              <w:rPr>
                <w:noProof/>
                <w:sz w:val="20"/>
              </w:rPr>
              <w:t>1,000</w:t>
            </w:r>
          </w:p>
        </w:tc>
        <w:tc>
          <w:tcPr>
            <w:tcW w:w="2875" w:type="dxa"/>
            <w:vAlign w:val="center"/>
          </w:tcPr>
          <w:p>
            <w:pPr>
              <w:spacing w:before="20" w:after="20"/>
              <w:jc w:val="right"/>
              <w:rPr>
                <w:b/>
                <w:noProof/>
                <w:sz w:val="20"/>
              </w:rPr>
            </w:pPr>
            <w:r>
              <w:rPr>
                <w:b/>
                <w:noProof/>
                <w:sz w:val="20"/>
              </w:rPr>
              <w:t>2,000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w:t>
            </w:r>
          </w:p>
        </w:tc>
        <w:tc>
          <w:tcPr>
            <w:tcW w:w="2874" w:type="dxa"/>
            <w:vAlign w:val="center"/>
          </w:tcPr>
          <w:p>
            <w:pPr>
              <w:spacing w:before="20" w:after="20"/>
              <w:jc w:val="right"/>
              <w:rPr>
                <w:noProof/>
                <w:sz w:val="20"/>
              </w:rPr>
            </w:pPr>
            <w:r>
              <w:rPr>
                <w:noProof/>
                <w:sz w:val="20"/>
              </w:rPr>
              <w:t>0,100</w:t>
            </w:r>
          </w:p>
        </w:tc>
        <w:tc>
          <w:tcPr>
            <w:tcW w:w="2874" w:type="dxa"/>
            <w:vAlign w:val="center"/>
          </w:tcPr>
          <w:p>
            <w:pPr>
              <w:spacing w:before="20" w:after="20"/>
              <w:jc w:val="right"/>
              <w:rPr>
                <w:noProof/>
                <w:sz w:val="20"/>
              </w:rPr>
            </w:pPr>
            <w:r>
              <w:rPr>
                <w:noProof/>
                <w:sz w:val="20"/>
              </w:rPr>
              <w:t>0,450</w:t>
            </w:r>
          </w:p>
        </w:tc>
        <w:tc>
          <w:tcPr>
            <w:tcW w:w="2875" w:type="dxa"/>
            <w:vAlign w:val="center"/>
          </w:tcPr>
          <w:p>
            <w:pPr>
              <w:spacing w:before="20" w:after="20"/>
              <w:jc w:val="right"/>
              <w:rPr>
                <w:b/>
                <w:noProof/>
                <w:sz w:val="20"/>
              </w:rPr>
            </w:pPr>
            <w:r>
              <w:rPr>
                <w:b/>
                <w:noProof/>
                <w:sz w:val="20"/>
              </w:rPr>
              <w:t>0,550</w:t>
            </w:r>
          </w:p>
        </w:tc>
      </w:tr>
      <w:tr>
        <w:tc>
          <w:tcPr>
            <w:tcW w:w="3960" w:type="dxa"/>
            <w:vMerge w:val="restart"/>
            <w:vAlign w:val="center"/>
          </w:tcPr>
          <w:p>
            <w:pPr>
              <w:rPr>
                <w:noProof/>
              </w:rPr>
            </w:pPr>
            <w:r>
              <w:rPr>
                <w:noProof/>
                <w:sz w:val="20"/>
              </w:rPr>
              <w:t>Numer linii budżetowej</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Środki administracyjne finansowane ze środków przydzielonych na określone programy operacyjne</w:t>
            </w:r>
            <w:r>
              <w:rPr>
                <w:rStyle w:val="FootnoteReference"/>
                <w:noProof/>
                <w:sz w:val="21"/>
              </w:rPr>
              <w:footnoteReference w:id="35"/>
            </w:r>
            <w:r>
              <w:rPr>
                <w:noProof/>
                <w:sz w:val="21"/>
              </w:rPr>
              <w:t xml:space="preserve"> </w:t>
            </w:r>
          </w:p>
          <w:p>
            <w:pPr>
              <w:spacing w:after="0"/>
              <w:rPr>
                <w:noProof/>
              </w:rPr>
            </w:pPr>
          </w:p>
        </w:tc>
        <w:tc>
          <w:tcPr>
            <w:tcW w:w="2874" w:type="dxa"/>
            <w:vAlign w:val="center"/>
          </w:tcPr>
          <w:p>
            <w:pPr>
              <w:rPr>
                <w:b/>
                <w:noProof/>
                <w:sz w:val="20"/>
              </w:rPr>
            </w:pPr>
          </w:p>
        </w:tc>
        <w:tc>
          <w:tcPr>
            <w:tcW w:w="2874" w:type="dxa"/>
            <w:vAlign w:val="center"/>
          </w:tcPr>
          <w:p>
            <w:pPr>
              <w:rPr>
                <w:b/>
                <w:noProof/>
                <w:sz w:val="20"/>
              </w:rPr>
            </w:pPr>
          </w:p>
        </w:tc>
        <w:tc>
          <w:tcPr>
            <w:tcW w:w="2875" w:type="dxa"/>
            <w:vAlign w:val="center"/>
          </w:tcPr>
          <w:p>
            <w:pPr>
              <w:rPr>
                <w:b/>
                <w:noProof/>
                <w:sz w:val="20"/>
              </w:rPr>
            </w:pPr>
          </w:p>
        </w:tc>
      </w:tr>
      <w:tr>
        <w:trPr>
          <w:trHeight w:val="319"/>
        </w:trPr>
        <w:tc>
          <w:tcPr>
            <w:tcW w:w="3960" w:type="dxa"/>
            <w:vAlign w:val="center"/>
          </w:tcPr>
          <w:p>
            <w:pPr>
              <w:spacing w:before="60" w:after="60"/>
              <w:rPr>
                <w:noProof/>
              </w:rPr>
            </w:pPr>
            <w:r>
              <w:rPr>
                <w:noProof/>
                <w:sz w:val="20"/>
              </w:rPr>
              <w:t>Numer linii budżetowej</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2874" w:type="dxa"/>
            <w:vAlign w:val="center"/>
          </w:tcPr>
          <w:p>
            <w:pPr>
              <w:spacing w:before="40" w:after="40"/>
              <w:jc w:val="right"/>
              <w:rPr>
                <w:b/>
                <w:noProof/>
                <w:sz w:val="20"/>
              </w:rPr>
            </w:pPr>
          </w:p>
        </w:tc>
        <w:tc>
          <w:tcPr>
            <w:tcW w:w="2874" w:type="dxa"/>
            <w:vAlign w:val="center"/>
          </w:tcPr>
          <w:p>
            <w:pPr>
              <w:spacing w:before="40" w:after="40"/>
              <w:jc w:val="right"/>
              <w:rPr>
                <w:b/>
                <w:noProof/>
                <w:sz w:val="20"/>
              </w:rPr>
            </w:pPr>
          </w:p>
        </w:tc>
        <w:tc>
          <w:tcPr>
            <w:tcW w:w="2875"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OGÓŁEM środki dla DG CNECT</w:t>
            </w:r>
          </w:p>
        </w:tc>
        <w:tc>
          <w:tcPr>
            <w:tcW w:w="1440" w:type="dxa"/>
            <w:vAlign w:val="center"/>
          </w:tcPr>
          <w:p>
            <w:pPr>
              <w:rPr>
                <w:noProof/>
                <w:sz w:val="18"/>
              </w:rPr>
            </w:pPr>
            <w:r>
              <w:rPr>
                <w:noProof/>
                <w:sz w:val="18"/>
              </w:rPr>
              <w:t>Środki na zobowiązania</w:t>
            </w:r>
          </w:p>
        </w:tc>
        <w:tc>
          <w:tcPr>
            <w:tcW w:w="654" w:type="dxa"/>
            <w:gridSpan w:val="2"/>
            <w:vAlign w:val="center"/>
          </w:tcPr>
          <w:p>
            <w:pPr>
              <w:jc w:val="center"/>
              <w:rPr>
                <w:noProof/>
                <w:sz w:val="14"/>
              </w:rPr>
            </w:pPr>
            <w:r>
              <w:rPr>
                <w:noProof/>
                <w:sz w:val="14"/>
              </w:rPr>
              <w:t>=1+1a +3</w:t>
            </w:r>
          </w:p>
        </w:tc>
        <w:tc>
          <w:tcPr>
            <w:tcW w:w="2874" w:type="dxa"/>
            <w:vAlign w:val="center"/>
          </w:tcPr>
          <w:p>
            <w:pPr>
              <w:spacing w:before="20" w:after="20"/>
              <w:jc w:val="right"/>
              <w:rPr>
                <w:noProof/>
                <w:sz w:val="20"/>
              </w:rPr>
            </w:pPr>
            <w:r>
              <w:rPr>
                <w:noProof/>
                <w:sz w:val="20"/>
              </w:rPr>
              <w:t>1,000</w:t>
            </w:r>
          </w:p>
        </w:tc>
        <w:tc>
          <w:tcPr>
            <w:tcW w:w="2874" w:type="dxa"/>
            <w:vAlign w:val="center"/>
          </w:tcPr>
          <w:p>
            <w:pPr>
              <w:spacing w:before="20" w:after="20"/>
              <w:jc w:val="right"/>
              <w:rPr>
                <w:noProof/>
                <w:sz w:val="20"/>
              </w:rPr>
            </w:pPr>
            <w:r>
              <w:rPr>
                <w:noProof/>
                <w:sz w:val="20"/>
              </w:rPr>
              <w:t>1,000</w:t>
            </w:r>
          </w:p>
        </w:tc>
        <w:tc>
          <w:tcPr>
            <w:tcW w:w="2875" w:type="dxa"/>
            <w:vAlign w:val="center"/>
          </w:tcPr>
          <w:p>
            <w:pPr>
              <w:spacing w:before="20" w:after="20"/>
              <w:jc w:val="right"/>
              <w:rPr>
                <w:b/>
                <w:noProof/>
                <w:sz w:val="20"/>
              </w:rPr>
            </w:pPr>
            <w:r>
              <w:rPr>
                <w:b/>
                <w:noProof/>
                <w:sz w:val="20"/>
              </w:rPr>
              <w:t>2,000</w:t>
            </w:r>
          </w:p>
        </w:tc>
      </w:tr>
      <w:tr>
        <w:tc>
          <w:tcPr>
            <w:tcW w:w="3960" w:type="dxa"/>
            <w:vMerge/>
          </w:tcPr>
          <w:p>
            <w:pPr>
              <w:rPr>
                <w:noProof/>
                <w:sz w:val="20"/>
              </w:rPr>
            </w:pPr>
          </w:p>
        </w:tc>
        <w:tc>
          <w:tcPr>
            <w:tcW w:w="1440" w:type="dxa"/>
            <w:vAlign w:val="center"/>
          </w:tcPr>
          <w:p>
            <w:pPr>
              <w:rPr>
                <w:noProof/>
                <w:sz w:val="18"/>
              </w:rPr>
            </w:pPr>
            <w:r>
              <w:rPr>
                <w:noProof/>
                <w:sz w:val="18"/>
              </w:rPr>
              <w:t>Środki na płatności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2874" w:type="dxa"/>
            <w:vAlign w:val="center"/>
          </w:tcPr>
          <w:p>
            <w:pPr>
              <w:spacing w:before="20" w:after="20"/>
              <w:jc w:val="right"/>
              <w:rPr>
                <w:noProof/>
                <w:sz w:val="20"/>
              </w:rPr>
            </w:pPr>
            <w:r>
              <w:rPr>
                <w:noProof/>
                <w:sz w:val="20"/>
              </w:rPr>
              <w:t>0,100</w:t>
            </w:r>
          </w:p>
        </w:tc>
        <w:tc>
          <w:tcPr>
            <w:tcW w:w="2874" w:type="dxa"/>
            <w:vAlign w:val="center"/>
          </w:tcPr>
          <w:p>
            <w:pPr>
              <w:spacing w:before="20" w:after="20"/>
              <w:jc w:val="right"/>
              <w:rPr>
                <w:noProof/>
                <w:sz w:val="20"/>
              </w:rPr>
            </w:pPr>
            <w:r>
              <w:rPr>
                <w:noProof/>
                <w:sz w:val="20"/>
              </w:rPr>
              <w:t>0,450</w:t>
            </w:r>
          </w:p>
        </w:tc>
        <w:tc>
          <w:tcPr>
            <w:tcW w:w="2875" w:type="dxa"/>
            <w:vAlign w:val="center"/>
          </w:tcPr>
          <w:p>
            <w:pPr>
              <w:spacing w:before="20" w:after="20"/>
              <w:jc w:val="right"/>
              <w:rPr>
                <w:b/>
                <w:noProof/>
                <w:sz w:val="20"/>
              </w:rPr>
            </w:pPr>
            <w:r>
              <w:rPr>
                <w:b/>
                <w:noProof/>
                <w:sz w:val="20"/>
              </w:rPr>
              <w:t>0,550</w:t>
            </w:r>
          </w:p>
        </w:tc>
      </w:tr>
    </w:tbl>
    <w:p>
      <w:pPr>
        <w:rPr>
          <w:noProof/>
        </w:rPr>
      </w:pPr>
    </w:p>
    <w:p>
      <w:pPr>
        <w:spacing w:after="40"/>
        <w:rPr>
          <w:b/>
          <w:noProof/>
          <w:sz w:val="22"/>
          <w:u w:val="single"/>
        </w:rPr>
      </w:pPr>
      <w:r>
        <w:rPr>
          <w:b/>
          <w:noProof/>
          <w:sz w:val="22"/>
          <w:u w:val="single"/>
        </w:rPr>
        <w:t>Jeżeli wpływ wniosku/inicjatywy nie ogranicza się do jednego działu:</w:t>
      </w:r>
    </w:p>
    <w:tbl>
      <w:tblPr>
        <w:tblW w:w="14677"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2874"/>
        <w:gridCol w:w="72"/>
        <w:gridCol w:w="2802"/>
        <w:gridCol w:w="78"/>
        <w:gridCol w:w="2797"/>
      </w:tblGrid>
      <w:tr>
        <w:trPr>
          <w:trHeight w:val="277"/>
        </w:trPr>
        <w:tc>
          <w:tcPr>
            <w:tcW w:w="3960" w:type="dxa"/>
            <w:vMerge w:val="restart"/>
            <w:tcBorders>
              <w:top w:val="single" w:sz="4" w:space="0" w:color="auto"/>
              <w:left w:val="single" w:sz="4" w:space="0" w:color="auto"/>
              <w:bottom w:val="single" w:sz="4" w:space="0" w:color="auto"/>
            </w:tcBorders>
            <w:vAlign w:val="center"/>
          </w:tcPr>
          <w:p>
            <w:pPr>
              <w:spacing w:before="20" w:after="20"/>
              <w:rPr>
                <w:noProof/>
              </w:rPr>
            </w:pPr>
            <w:r>
              <w:rPr>
                <w:noProof/>
                <w:sz w:val="21"/>
              </w:rPr>
              <w:sym w:font="Wingdings" w:char="F09F"/>
            </w:r>
            <w:r>
              <w:rPr>
                <w:noProof/>
                <w:sz w:val="21"/>
              </w:rPr>
              <w:t xml:space="preserve"> OGÓŁEM środki operacyjne</w:t>
            </w:r>
          </w:p>
        </w:tc>
        <w:tc>
          <w:tcPr>
            <w:tcW w:w="1440" w:type="dxa"/>
            <w:tcBorders>
              <w:top w:val="single" w:sz="4" w:space="0" w:color="auto"/>
              <w:bottom w:val="single" w:sz="4" w:space="0" w:color="auto"/>
            </w:tcBorders>
            <w:vAlign w:val="center"/>
          </w:tcPr>
          <w:p>
            <w:pPr>
              <w:spacing w:beforeLines="20" w:before="48" w:afterLines="20" w:after="48"/>
              <w:rPr>
                <w:noProof/>
                <w:sz w:val="18"/>
              </w:rPr>
            </w:pPr>
            <w:r>
              <w:rPr>
                <w:noProof/>
                <w:sz w:val="18"/>
              </w:rPr>
              <w:t>Środki na zobowiązania</w:t>
            </w:r>
          </w:p>
        </w:tc>
        <w:tc>
          <w:tcPr>
            <w:tcW w:w="654" w:type="dxa"/>
            <w:tcBorders>
              <w:top w:val="single" w:sz="4" w:space="0" w:color="auto"/>
              <w:bottom w:val="single" w:sz="4" w:space="0" w:color="auto"/>
            </w:tcBorders>
            <w:vAlign w:val="center"/>
          </w:tcPr>
          <w:p>
            <w:pPr>
              <w:spacing w:beforeLines="20" w:before="48" w:afterLines="20" w:after="48"/>
              <w:jc w:val="center"/>
              <w:rPr>
                <w:noProof/>
                <w:sz w:val="14"/>
              </w:rPr>
            </w:pPr>
            <w:r>
              <w:rPr>
                <w:noProof/>
                <w:sz w:val="14"/>
              </w:rPr>
              <w:t>(4)</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11,285</w:t>
            </w:r>
          </w:p>
        </w:tc>
        <w:tc>
          <w:tcPr>
            <w:tcW w:w="2874" w:type="dxa"/>
            <w:gridSpan w:val="2"/>
            <w:tcBorders>
              <w:top w:val="single" w:sz="4" w:space="0" w:color="auto"/>
              <w:bottom w:val="single" w:sz="4" w:space="0" w:color="auto"/>
            </w:tcBorders>
            <w:vAlign w:val="center"/>
          </w:tcPr>
          <w:p>
            <w:pPr>
              <w:spacing w:before="20" w:after="20"/>
              <w:jc w:val="right"/>
              <w:rPr>
                <w:noProof/>
                <w:sz w:val="20"/>
              </w:rPr>
            </w:pPr>
            <w:r>
              <w:rPr>
                <w:noProof/>
                <w:sz w:val="20"/>
              </w:rPr>
              <w:t>10,185</w:t>
            </w:r>
          </w:p>
        </w:tc>
        <w:tc>
          <w:tcPr>
            <w:tcW w:w="2875" w:type="dxa"/>
            <w:gridSpan w:val="2"/>
            <w:tcBorders>
              <w:top w:val="single" w:sz="4" w:space="0" w:color="auto"/>
              <w:bottom w:val="single" w:sz="4" w:space="0" w:color="auto"/>
              <w:right w:val="single" w:sz="4" w:space="0" w:color="auto"/>
            </w:tcBorders>
            <w:vAlign w:val="center"/>
          </w:tcPr>
          <w:p>
            <w:pPr>
              <w:spacing w:before="20" w:after="20"/>
              <w:jc w:val="right"/>
              <w:rPr>
                <w:b/>
                <w:noProof/>
                <w:sz w:val="20"/>
              </w:rPr>
            </w:pPr>
            <w:r>
              <w:rPr>
                <w:b/>
                <w:noProof/>
                <w:sz w:val="20"/>
              </w:rPr>
              <w:t>21,470</w:t>
            </w:r>
          </w:p>
        </w:tc>
      </w:tr>
      <w:tr>
        <w:tc>
          <w:tcPr>
            <w:tcW w:w="3960" w:type="dxa"/>
            <w:vMerge/>
            <w:tcBorders>
              <w:top w:val="single" w:sz="4" w:space="0" w:color="auto"/>
              <w:left w:val="single" w:sz="4" w:space="0" w:color="auto"/>
              <w:bottom w:val="single" w:sz="4" w:space="0" w:color="auto"/>
            </w:tcBorders>
          </w:tcPr>
          <w:p>
            <w:pPr>
              <w:jc w:val="center"/>
              <w:rPr>
                <w:noProof/>
                <w:sz w:val="20"/>
              </w:rPr>
            </w:pPr>
          </w:p>
        </w:tc>
        <w:tc>
          <w:tcPr>
            <w:tcW w:w="1440" w:type="dxa"/>
            <w:tcBorders>
              <w:top w:val="single" w:sz="4" w:space="0" w:color="auto"/>
              <w:bottom w:val="single" w:sz="4" w:space="0" w:color="auto"/>
            </w:tcBorders>
            <w:vAlign w:val="center"/>
          </w:tcPr>
          <w:p>
            <w:pPr>
              <w:spacing w:beforeLines="20" w:before="48" w:afterLines="20" w:after="48"/>
              <w:rPr>
                <w:noProof/>
                <w:sz w:val="18"/>
              </w:rPr>
            </w:pPr>
            <w:r>
              <w:rPr>
                <w:noProof/>
                <w:sz w:val="18"/>
              </w:rPr>
              <w:t>Środki na płatności</w:t>
            </w:r>
          </w:p>
        </w:tc>
        <w:tc>
          <w:tcPr>
            <w:tcW w:w="654" w:type="dxa"/>
            <w:tcBorders>
              <w:top w:val="single" w:sz="4" w:space="0" w:color="auto"/>
              <w:bottom w:val="single" w:sz="4" w:space="0" w:color="auto"/>
            </w:tcBorders>
            <w:vAlign w:val="center"/>
          </w:tcPr>
          <w:p>
            <w:pPr>
              <w:spacing w:beforeLines="20" w:before="48" w:afterLines="20" w:after="48"/>
              <w:jc w:val="center"/>
              <w:rPr>
                <w:noProof/>
                <w:sz w:val="14"/>
              </w:rPr>
            </w:pPr>
            <w:r>
              <w:rPr>
                <w:noProof/>
                <w:sz w:val="14"/>
              </w:rPr>
              <w:t>(5)</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1,129</w:t>
            </w:r>
          </w:p>
        </w:tc>
        <w:tc>
          <w:tcPr>
            <w:tcW w:w="2874" w:type="dxa"/>
            <w:gridSpan w:val="2"/>
            <w:tcBorders>
              <w:top w:val="single" w:sz="4" w:space="0" w:color="auto"/>
              <w:bottom w:val="single" w:sz="4" w:space="0" w:color="auto"/>
            </w:tcBorders>
            <w:vAlign w:val="center"/>
          </w:tcPr>
          <w:p>
            <w:pPr>
              <w:spacing w:before="20" w:after="20"/>
              <w:jc w:val="right"/>
              <w:rPr>
                <w:noProof/>
                <w:sz w:val="20"/>
              </w:rPr>
            </w:pPr>
            <w:r>
              <w:rPr>
                <w:noProof/>
                <w:sz w:val="20"/>
              </w:rPr>
              <w:t>4,968</w:t>
            </w:r>
          </w:p>
        </w:tc>
        <w:tc>
          <w:tcPr>
            <w:tcW w:w="2875" w:type="dxa"/>
            <w:gridSpan w:val="2"/>
            <w:tcBorders>
              <w:top w:val="single" w:sz="4" w:space="0" w:color="auto"/>
              <w:bottom w:val="single" w:sz="4" w:space="0" w:color="auto"/>
              <w:right w:val="single" w:sz="4" w:space="0" w:color="auto"/>
            </w:tcBorders>
            <w:vAlign w:val="center"/>
          </w:tcPr>
          <w:p>
            <w:pPr>
              <w:spacing w:before="20" w:after="20"/>
              <w:jc w:val="right"/>
              <w:rPr>
                <w:b/>
                <w:noProof/>
                <w:sz w:val="20"/>
              </w:rPr>
            </w:pPr>
            <w:r>
              <w:rPr>
                <w:b/>
                <w:noProof/>
                <w:sz w:val="20"/>
              </w:rPr>
              <w:t>6,097</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tcBorders>
              <w:bottom w:val="single" w:sz="4" w:space="0" w:color="auto"/>
            </w:tcBorders>
            <w:vAlign w:val="center"/>
          </w:tcPr>
          <w:p>
            <w:pPr>
              <w:spacing w:beforeLines="20" w:before="48" w:afterLines="20" w:after="48"/>
              <w:rPr>
                <w:noProof/>
              </w:rPr>
            </w:pPr>
            <w:r>
              <w:rPr>
                <w:noProof/>
                <w:sz w:val="21"/>
              </w:rPr>
              <w:sym w:font="Wingdings" w:char="F09F"/>
            </w:r>
            <w:r>
              <w:rPr>
                <w:noProof/>
                <w:sz w:val="21"/>
              </w:rPr>
              <w:t xml:space="preserve"> OGÓŁEM środki administracyjne finansowane ze środków przydzielonych na określone programy operacyjne</w:t>
            </w:r>
          </w:p>
        </w:tc>
        <w:tc>
          <w:tcPr>
            <w:tcW w:w="654" w:type="dxa"/>
            <w:tcBorders>
              <w:bottom w:val="single" w:sz="4" w:space="0" w:color="auto"/>
            </w:tcBorders>
            <w:vAlign w:val="center"/>
          </w:tcPr>
          <w:p>
            <w:pPr>
              <w:spacing w:beforeLines="20" w:before="48" w:afterLines="20" w:after="48"/>
              <w:jc w:val="center"/>
              <w:rPr>
                <w:noProof/>
                <w:sz w:val="14"/>
              </w:rPr>
            </w:pPr>
            <w:r>
              <w:rPr>
                <w:noProof/>
                <w:sz w:val="14"/>
              </w:rPr>
              <w:t>(6)</w:t>
            </w:r>
          </w:p>
        </w:tc>
        <w:tc>
          <w:tcPr>
            <w:tcW w:w="2874" w:type="dxa"/>
            <w:tcBorders>
              <w:bottom w:val="single" w:sz="4" w:space="0" w:color="auto"/>
            </w:tcBorders>
            <w:vAlign w:val="center"/>
          </w:tcPr>
          <w:p>
            <w:pPr>
              <w:spacing w:before="20" w:after="20"/>
              <w:jc w:val="right"/>
              <w:rPr>
                <w:b/>
                <w:noProof/>
                <w:sz w:val="20"/>
              </w:rPr>
            </w:pPr>
          </w:p>
        </w:tc>
        <w:tc>
          <w:tcPr>
            <w:tcW w:w="2874" w:type="dxa"/>
            <w:gridSpan w:val="2"/>
            <w:tcBorders>
              <w:bottom w:val="single" w:sz="4" w:space="0" w:color="auto"/>
            </w:tcBorders>
            <w:vAlign w:val="center"/>
          </w:tcPr>
          <w:p>
            <w:pPr>
              <w:spacing w:before="20" w:after="20"/>
              <w:jc w:val="right"/>
              <w:rPr>
                <w:b/>
                <w:noProof/>
                <w:sz w:val="20"/>
              </w:rPr>
            </w:pPr>
          </w:p>
        </w:tc>
        <w:tc>
          <w:tcPr>
            <w:tcW w:w="2875" w:type="dxa"/>
            <w:gridSpan w:val="2"/>
            <w:tcBorders>
              <w:bottom w:val="single" w:sz="4" w:space="0" w:color="auto"/>
            </w:tcBorders>
            <w:vAlign w:val="center"/>
          </w:tcPr>
          <w:p>
            <w:pPr>
              <w:spacing w:before="20" w:after="20"/>
              <w:jc w:val="right"/>
              <w:rPr>
                <w:b/>
                <w:noProof/>
                <w:sz w:val="20"/>
              </w:rPr>
            </w:pPr>
          </w:p>
        </w:tc>
      </w:tr>
      <w:tr>
        <w:tc>
          <w:tcPr>
            <w:tcW w:w="3960" w:type="dxa"/>
            <w:vMerge w:val="restart"/>
            <w:tcBorders>
              <w:top w:val="single" w:sz="4" w:space="0" w:color="auto"/>
              <w:left w:val="single" w:sz="4" w:space="0" w:color="auto"/>
              <w:bottom w:val="single" w:sz="4" w:space="0" w:color="auto"/>
            </w:tcBorders>
            <w:shd w:val="thinDiagStripe" w:color="C0C0C0" w:fill="auto"/>
            <w:vAlign w:val="center"/>
          </w:tcPr>
          <w:p>
            <w:pPr>
              <w:jc w:val="center"/>
              <w:rPr>
                <w:b/>
                <w:noProof/>
              </w:rPr>
            </w:pPr>
            <w:r>
              <w:rPr>
                <w:b/>
                <w:noProof/>
                <w:sz w:val="22"/>
              </w:rPr>
              <w:t xml:space="preserve">OGÓŁEM środki </w:t>
            </w:r>
            <w:r>
              <w:rPr>
                <w:noProof/>
                <w:sz w:val="22"/>
              </w:rPr>
              <w:br/>
            </w:r>
            <w:r>
              <w:rPr>
                <w:b/>
                <w:noProof/>
                <w:sz w:val="22"/>
              </w:rPr>
              <w:t>z DZIAŁÓW 1 do 4</w:t>
            </w:r>
            <w:r>
              <w:rPr>
                <w:noProof/>
                <w:sz w:val="22"/>
              </w:rPr>
              <w:br/>
              <w:t>wieloletnich ram finansowych</w:t>
            </w:r>
            <w:r>
              <w:rPr>
                <w:noProof/>
                <w:sz w:val="22"/>
              </w:rPr>
              <w:br/>
            </w:r>
            <w:r>
              <w:rPr>
                <w:noProof/>
                <w:sz w:val="20"/>
              </w:rPr>
              <w:t>(Kwoty referencyjne)</w:t>
            </w:r>
          </w:p>
        </w:tc>
        <w:tc>
          <w:tcPr>
            <w:tcW w:w="1440" w:type="dxa"/>
            <w:tcBorders>
              <w:top w:val="single" w:sz="4" w:space="0" w:color="auto"/>
              <w:bottom w:val="single" w:sz="4" w:space="0" w:color="auto"/>
            </w:tcBorders>
            <w:vAlign w:val="center"/>
          </w:tcPr>
          <w:p>
            <w:pPr>
              <w:rPr>
                <w:noProof/>
                <w:sz w:val="18"/>
              </w:rPr>
            </w:pPr>
            <w:r>
              <w:rPr>
                <w:noProof/>
                <w:sz w:val="18"/>
              </w:rPr>
              <w:t>Środki na zobowiązania</w:t>
            </w:r>
          </w:p>
        </w:tc>
        <w:tc>
          <w:tcPr>
            <w:tcW w:w="654" w:type="dxa"/>
            <w:tcBorders>
              <w:top w:val="single" w:sz="4" w:space="0" w:color="auto"/>
              <w:bottom w:val="single" w:sz="4" w:space="0" w:color="auto"/>
            </w:tcBorders>
            <w:vAlign w:val="center"/>
          </w:tcPr>
          <w:p>
            <w:pPr>
              <w:jc w:val="center"/>
              <w:rPr>
                <w:noProof/>
                <w:sz w:val="14"/>
              </w:rPr>
            </w:pPr>
            <w:r>
              <w:rPr>
                <w:noProof/>
                <w:sz w:val="14"/>
              </w:rPr>
              <w:t>=4+ 6</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11,285</w:t>
            </w:r>
          </w:p>
        </w:tc>
        <w:tc>
          <w:tcPr>
            <w:tcW w:w="2874" w:type="dxa"/>
            <w:gridSpan w:val="2"/>
            <w:tcBorders>
              <w:top w:val="single" w:sz="4" w:space="0" w:color="auto"/>
              <w:bottom w:val="single" w:sz="4" w:space="0" w:color="auto"/>
            </w:tcBorders>
            <w:vAlign w:val="center"/>
          </w:tcPr>
          <w:p>
            <w:pPr>
              <w:spacing w:before="20" w:after="20"/>
              <w:jc w:val="right"/>
              <w:rPr>
                <w:noProof/>
                <w:sz w:val="20"/>
              </w:rPr>
            </w:pPr>
            <w:r>
              <w:rPr>
                <w:noProof/>
                <w:sz w:val="20"/>
              </w:rPr>
              <w:t>10,185</w:t>
            </w:r>
          </w:p>
        </w:tc>
        <w:tc>
          <w:tcPr>
            <w:tcW w:w="2875" w:type="dxa"/>
            <w:gridSpan w:val="2"/>
            <w:tcBorders>
              <w:top w:val="single" w:sz="4" w:space="0" w:color="auto"/>
              <w:bottom w:val="single" w:sz="4" w:space="0" w:color="auto"/>
              <w:right w:val="single" w:sz="4" w:space="0" w:color="auto"/>
            </w:tcBorders>
            <w:vAlign w:val="center"/>
          </w:tcPr>
          <w:p>
            <w:pPr>
              <w:spacing w:before="20" w:after="20"/>
              <w:jc w:val="right"/>
              <w:rPr>
                <w:noProof/>
                <w:sz w:val="20"/>
              </w:rPr>
            </w:pPr>
            <w:r>
              <w:rPr>
                <w:b/>
                <w:noProof/>
                <w:sz w:val="20"/>
              </w:rPr>
              <w:t>21,470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sz w:val="20"/>
              </w:rPr>
            </w:pPr>
          </w:p>
        </w:tc>
        <w:tc>
          <w:tcPr>
            <w:tcW w:w="1440" w:type="dxa"/>
            <w:tcBorders>
              <w:top w:val="single" w:sz="4" w:space="0" w:color="auto"/>
              <w:bottom w:val="single" w:sz="4" w:space="0" w:color="auto"/>
            </w:tcBorders>
            <w:vAlign w:val="center"/>
          </w:tcPr>
          <w:p>
            <w:pPr>
              <w:rPr>
                <w:noProof/>
                <w:sz w:val="18"/>
              </w:rPr>
            </w:pPr>
            <w:r>
              <w:rPr>
                <w:noProof/>
                <w:sz w:val="18"/>
              </w:rPr>
              <w:t>Środki na płatności</w:t>
            </w:r>
          </w:p>
        </w:tc>
        <w:tc>
          <w:tcPr>
            <w:tcW w:w="654" w:type="dxa"/>
            <w:tcBorders>
              <w:top w:val="single" w:sz="4" w:space="0" w:color="auto"/>
              <w:bottom w:val="single" w:sz="4" w:space="0" w:color="auto"/>
            </w:tcBorders>
            <w:vAlign w:val="center"/>
          </w:tcPr>
          <w:p>
            <w:pPr>
              <w:jc w:val="center"/>
              <w:rPr>
                <w:noProof/>
                <w:sz w:val="14"/>
              </w:rPr>
            </w:pPr>
            <w:r>
              <w:rPr>
                <w:noProof/>
                <w:sz w:val="14"/>
              </w:rPr>
              <w:t>=5+ 6</w:t>
            </w:r>
          </w:p>
        </w:tc>
        <w:tc>
          <w:tcPr>
            <w:tcW w:w="2946" w:type="dxa"/>
            <w:gridSpan w:val="2"/>
            <w:tcBorders>
              <w:top w:val="single" w:sz="4" w:space="0" w:color="auto"/>
              <w:bottom w:val="single" w:sz="4" w:space="0" w:color="auto"/>
            </w:tcBorders>
            <w:vAlign w:val="center"/>
          </w:tcPr>
          <w:p>
            <w:pPr>
              <w:spacing w:before="20" w:after="20"/>
              <w:jc w:val="right"/>
              <w:rPr>
                <w:noProof/>
                <w:sz w:val="20"/>
              </w:rPr>
            </w:pPr>
            <w:r>
              <w:rPr>
                <w:noProof/>
                <w:sz w:val="20"/>
              </w:rPr>
              <w:t>1,129</w:t>
            </w:r>
          </w:p>
        </w:tc>
        <w:tc>
          <w:tcPr>
            <w:tcW w:w="2880" w:type="dxa"/>
            <w:gridSpan w:val="2"/>
            <w:tcBorders>
              <w:top w:val="single" w:sz="4" w:space="0" w:color="auto"/>
              <w:bottom w:val="single" w:sz="4" w:space="0" w:color="auto"/>
            </w:tcBorders>
            <w:vAlign w:val="center"/>
          </w:tcPr>
          <w:p>
            <w:pPr>
              <w:spacing w:before="20" w:after="20"/>
              <w:jc w:val="right"/>
              <w:rPr>
                <w:noProof/>
                <w:sz w:val="20"/>
              </w:rPr>
            </w:pPr>
            <w:r>
              <w:rPr>
                <w:noProof/>
                <w:sz w:val="20"/>
              </w:rPr>
              <w:t>4,968</w:t>
            </w:r>
          </w:p>
        </w:tc>
        <w:tc>
          <w:tcPr>
            <w:tcW w:w="2797" w:type="dxa"/>
            <w:tcBorders>
              <w:top w:val="single" w:sz="4" w:space="0" w:color="auto"/>
              <w:bottom w:val="single" w:sz="4" w:space="0" w:color="auto"/>
              <w:right w:val="single" w:sz="4" w:space="0" w:color="auto"/>
            </w:tcBorders>
            <w:vAlign w:val="center"/>
          </w:tcPr>
          <w:p>
            <w:pPr>
              <w:spacing w:before="20" w:after="20"/>
              <w:jc w:val="right"/>
              <w:rPr>
                <w:noProof/>
                <w:sz w:val="20"/>
              </w:rPr>
            </w:pPr>
            <w:r>
              <w:rPr>
                <w:b/>
                <w:noProof/>
                <w:sz w:val="20"/>
              </w:rPr>
              <w:t>6,097</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Dział wieloletnich ram</w:t>
            </w:r>
            <w:r>
              <w:rPr>
                <w:noProof/>
              </w:rPr>
              <w:t xml:space="preserve"> </w:t>
            </w:r>
            <w:r>
              <w:rPr>
                <w:b/>
                <w:noProof/>
                <w:sz w:val="22"/>
              </w:rPr>
              <w:t xml:space="preserve">finansowych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„Wydatki administracyjne”</w:t>
            </w:r>
          </w:p>
        </w:tc>
      </w:tr>
    </w:tbl>
    <w:p>
      <w:pPr>
        <w:jc w:val="right"/>
        <w:rPr>
          <w:noProof/>
          <w:sz w:val="20"/>
        </w:rPr>
      </w:pPr>
      <w:r>
        <w:rPr>
          <w:noProof/>
          <w:sz w:val="20"/>
        </w:rPr>
        <w:t>w mln EUR (do trzech miejsc po przecinku)</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2874"/>
        <w:gridCol w:w="2874"/>
        <w:gridCol w:w="2875"/>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2874" w:type="dxa"/>
            <w:vAlign w:val="center"/>
          </w:tcPr>
          <w:p>
            <w:pPr>
              <w:jc w:val="center"/>
              <w:rPr>
                <w:noProof/>
                <w:sz w:val="20"/>
              </w:rPr>
            </w:pPr>
            <w:r>
              <w:rPr>
                <w:noProof/>
                <w:sz w:val="20"/>
              </w:rPr>
              <w:t>Rok</w:t>
            </w:r>
            <w:r>
              <w:rPr>
                <w:noProof/>
                <w:sz w:val="22"/>
              </w:rPr>
              <w:br/>
            </w:r>
            <w:r>
              <w:rPr>
                <w:b/>
                <w:noProof/>
                <w:sz w:val="20"/>
              </w:rPr>
              <w:t>2019</w:t>
            </w:r>
          </w:p>
        </w:tc>
        <w:tc>
          <w:tcPr>
            <w:tcW w:w="2874" w:type="dxa"/>
            <w:vAlign w:val="center"/>
          </w:tcPr>
          <w:p>
            <w:pPr>
              <w:jc w:val="center"/>
              <w:rPr>
                <w:noProof/>
                <w:sz w:val="20"/>
              </w:rPr>
            </w:pPr>
            <w:r>
              <w:rPr>
                <w:noProof/>
                <w:sz w:val="20"/>
              </w:rPr>
              <w:t>Rok</w:t>
            </w:r>
            <w:r>
              <w:rPr>
                <w:noProof/>
                <w:sz w:val="22"/>
              </w:rPr>
              <w:br/>
            </w:r>
            <w:r>
              <w:rPr>
                <w:b/>
                <w:noProof/>
                <w:sz w:val="20"/>
              </w:rPr>
              <w:t>2020</w:t>
            </w:r>
          </w:p>
        </w:tc>
        <w:tc>
          <w:tcPr>
            <w:tcW w:w="2875" w:type="dxa"/>
            <w:vAlign w:val="center"/>
          </w:tcPr>
          <w:p>
            <w:pPr>
              <w:jc w:val="center"/>
              <w:rPr>
                <w:b/>
                <w:noProof/>
                <w:sz w:val="20"/>
              </w:rPr>
            </w:pPr>
            <w:r>
              <w:rPr>
                <w:b/>
                <w:noProof/>
                <w:sz w:val="20"/>
              </w:rPr>
              <w:t>OGÓŁEM</w:t>
            </w:r>
          </w:p>
        </w:tc>
      </w:tr>
      <w:tr>
        <w:trPr>
          <w:gridAfter w:val="5"/>
          <w:wAfter w:w="10717" w:type="dxa"/>
        </w:trPr>
        <w:tc>
          <w:tcPr>
            <w:tcW w:w="3960" w:type="dxa"/>
            <w:vAlign w:val="center"/>
          </w:tcPr>
          <w:p>
            <w:pPr>
              <w:spacing w:before="60" w:after="60"/>
              <w:jc w:val="center"/>
              <w:rPr>
                <w:noProof/>
              </w:rPr>
            </w:pPr>
            <w:r>
              <w:rPr>
                <w:noProof/>
                <w:sz w:val="22"/>
              </w:rPr>
              <w:t>DG: ESTAT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Zasoby ludzkie</w:t>
            </w:r>
          </w:p>
        </w:tc>
        <w:tc>
          <w:tcPr>
            <w:tcW w:w="2874" w:type="dxa"/>
            <w:vAlign w:val="center"/>
          </w:tcPr>
          <w:p>
            <w:pPr>
              <w:spacing w:before="20" w:after="20"/>
              <w:jc w:val="right"/>
              <w:rPr>
                <w:noProof/>
                <w:sz w:val="20"/>
              </w:rPr>
            </w:pPr>
            <w:r>
              <w:rPr>
                <w:noProof/>
                <w:sz w:val="16"/>
              </w:rPr>
              <w:t>11,850</w:t>
            </w:r>
          </w:p>
        </w:tc>
        <w:tc>
          <w:tcPr>
            <w:tcW w:w="2874" w:type="dxa"/>
            <w:vAlign w:val="center"/>
          </w:tcPr>
          <w:p>
            <w:pPr>
              <w:spacing w:before="20" w:after="20"/>
              <w:jc w:val="right"/>
              <w:rPr>
                <w:noProof/>
                <w:sz w:val="20"/>
              </w:rPr>
            </w:pPr>
            <w:r>
              <w:rPr>
                <w:noProof/>
                <w:sz w:val="16"/>
              </w:rPr>
              <w:t>11,883</w:t>
            </w:r>
          </w:p>
        </w:tc>
        <w:tc>
          <w:tcPr>
            <w:tcW w:w="2875" w:type="dxa"/>
            <w:vAlign w:val="center"/>
          </w:tcPr>
          <w:p>
            <w:pPr>
              <w:spacing w:before="20" w:after="20"/>
              <w:jc w:val="right"/>
              <w:rPr>
                <w:b/>
                <w:noProof/>
                <w:sz w:val="20"/>
              </w:rPr>
            </w:pPr>
            <w:r>
              <w:rPr>
                <w:b/>
                <w:noProof/>
                <w:sz w:val="20"/>
              </w:rPr>
              <w:t>23,733</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Pozostałe wydatki administracyjne</w:t>
            </w:r>
          </w:p>
        </w:tc>
        <w:tc>
          <w:tcPr>
            <w:tcW w:w="2874" w:type="dxa"/>
            <w:vAlign w:val="center"/>
          </w:tcPr>
          <w:p>
            <w:pPr>
              <w:spacing w:before="20" w:after="20"/>
              <w:jc w:val="right"/>
              <w:rPr>
                <w:b/>
                <w:noProof/>
                <w:sz w:val="20"/>
              </w:rPr>
            </w:pPr>
            <w:r>
              <w:rPr>
                <w:noProof/>
                <w:sz w:val="16"/>
              </w:rPr>
              <w:t>0,625</w:t>
            </w:r>
          </w:p>
        </w:tc>
        <w:tc>
          <w:tcPr>
            <w:tcW w:w="2874" w:type="dxa"/>
            <w:vAlign w:val="center"/>
          </w:tcPr>
          <w:p>
            <w:pPr>
              <w:spacing w:before="20" w:after="20"/>
              <w:jc w:val="right"/>
              <w:rPr>
                <w:b/>
                <w:noProof/>
                <w:sz w:val="20"/>
              </w:rPr>
            </w:pPr>
            <w:r>
              <w:rPr>
                <w:noProof/>
                <w:sz w:val="16"/>
              </w:rPr>
              <w:t>0,625</w:t>
            </w:r>
          </w:p>
        </w:tc>
        <w:tc>
          <w:tcPr>
            <w:tcW w:w="2875" w:type="dxa"/>
            <w:vAlign w:val="center"/>
          </w:tcPr>
          <w:p>
            <w:pPr>
              <w:spacing w:before="20" w:after="20"/>
              <w:jc w:val="right"/>
              <w:rPr>
                <w:b/>
                <w:noProof/>
                <w:sz w:val="20"/>
              </w:rPr>
            </w:pPr>
            <w:r>
              <w:rPr>
                <w:b/>
                <w:noProof/>
                <w:sz w:val="20"/>
              </w:rPr>
              <w:t>1,250</w:t>
            </w:r>
          </w:p>
        </w:tc>
      </w:tr>
      <w:tr>
        <w:tc>
          <w:tcPr>
            <w:tcW w:w="3960" w:type="dxa"/>
            <w:vAlign w:val="center"/>
          </w:tcPr>
          <w:p>
            <w:pPr>
              <w:jc w:val="center"/>
              <w:rPr>
                <w:b/>
                <w:noProof/>
              </w:rPr>
            </w:pPr>
            <w:r>
              <w:rPr>
                <w:b/>
                <w:noProof/>
                <w:sz w:val="22"/>
              </w:rPr>
              <w:t>OGÓŁEM DG</w:t>
            </w:r>
            <w:r>
              <w:rPr>
                <w:noProof/>
                <w:sz w:val="22"/>
              </w:rPr>
              <w:t xml:space="preserve"> ESTAT</w:t>
            </w:r>
          </w:p>
        </w:tc>
        <w:tc>
          <w:tcPr>
            <w:tcW w:w="2094" w:type="dxa"/>
            <w:gridSpan w:val="2"/>
            <w:vAlign w:val="center"/>
          </w:tcPr>
          <w:p>
            <w:pPr>
              <w:rPr>
                <w:noProof/>
                <w:sz w:val="14"/>
              </w:rPr>
            </w:pPr>
          </w:p>
        </w:tc>
        <w:tc>
          <w:tcPr>
            <w:tcW w:w="2874" w:type="dxa"/>
            <w:vAlign w:val="center"/>
          </w:tcPr>
          <w:p>
            <w:pPr>
              <w:spacing w:before="60" w:after="60"/>
              <w:jc w:val="right"/>
              <w:rPr>
                <w:noProof/>
                <w:sz w:val="20"/>
              </w:rPr>
            </w:pPr>
            <w:r>
              <w:rPr>
                <w:noProof/>
                <w:sz w:val="16"/>
              </w:rPr>
              <w:t>12,475</w:t>
            </w:r>
          </w:p>
        </w:tc>
        <w:tc>
          <w:tcPr>
            <w:tcW w:w="2874" w:type="dxa"/>
            <w:vAlign w:val="center"/>
          </w:tcPr>
          <w:p>
            <w:pPr>
              <w:spacing w:before="20" w:after="20"/>
              <w:jc w:val="right"/>
              <w:rPr>
                <w:noProof/>
                <w:sz w:val="20"/>
              </w:rPr>
            </w:pPr>
            <w:r>
              <w:rPr>
                <w:noProof/>
                <w:sz w:val="20"/>
              </w:rPr>
              <w:t>12,508</w:t>
            </w:r>
          </w:p>
        </w:tc>
        <w:tc>
          <w:tcPr>
            <w:tcW w:w="2875" w:type="dxa"/>
            <w:vAlign w:val="center"/>
          </w:tcPr>
          <w:p>
            <w:pPr>
              <w:spacing w:before="20" w:after="20"/>
              <w:jc w:val="right"/>
              <w:rPr>
                <w:b/>
                <w:noProof/>
                <w:sz w:val="20"/>
              </w:rPr>
            </w:pPr>
            <w:r>
              <w:rPr>
                <w:b/>
                <w:noProof/>
                <w:sz w:val="20"/>
              </w:rPr>
              <w:t>24,983</w:t>
            </w:r>
          </w:p>
        </w:tc>
      </w:tr>
    </w:tbl>
    <w:p>
      <w:pPr>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2874"/>
        <w:gridCol w:w="2874"/>
        <w:gridCol w:w="2875"/>
      </w:tblGrid>
      <w:tr>
        <w:tc>
          <w:tcPr>
            <w:tcW w:w="3960" w:type="dxa"/>
            <w:shd w:val="thinDiagStripe" w:color="C0C0C0" w:fill="auto"/>
            <w:vAlign w:val="center"/>
          </w:tcPr>
          <w:p>
            <w:pPr>
              <w:jc w:val="center"/>
              <w:rPr>
                <w:b/>
                <w:noProof/>
              </w:rPr>
            </w:pPr>
            <w:r>
              <w:rPr>
                <w:b/>
                <w:noProof/>
                <w:sz w:val="22"/>
              </w:rPr>
              <w:t>OGÓŁEM środki</w:t>
            </w:r>
            <w:r>
              <w:rPr>
                <w:noProof/>
                <w:sz w:val="22"/>
              </w:rPr>
              <w:br/>
            </w:r>
            <w:r>
              <w:rPr>
                <w:b/>
                <w:noProof/>
                <w:sz w:val="22"/>
              </w:rPr>
              <w:t>z DZIAŁU 5</w:t>
            </w:r>
            <w:r>
              <w:rPr>
                <w:noProof/>
                <w:sz w:val="22"/>
              </w:rPr>
              <w:br/>
              <w:t>wieloletnich ram finansowych</w:t>
            </w:r>
            <w:r>
              <w:rPr>
                <w:b/>
                <w:noProof/>
                <w:sz w:val="22"/>
              </w:rPr>
              <w:t xml:space="preserve"> </w:t>
            </w:r>
          </w:p>
        </w:tc>
        <w:tc>
          <w:tcPr>
            <w:tcW w:w="2094" w:type="dxa"/>
            <w:vAlign w:val="center"/>
          </w:tcPr>
          <w:p>
            <w:pPr>
              <w:spacing w:before="40" w:after="40"/>
              <w:rPr>
                <w:noProof/>
              </w:rPr>
            </w:pPr>
            <w:r>
              <w:rPr>
                <w:noProof/>
                <w:sz w:val="18"/>
              </w:rPr>
              <w:t>(Środki na zobowiązania ogółem = środki na płatności ogółem)</w:t>
            </w:r>
          </w:p>
        </w:tc>
        <w:tc>
          <w:tcPr>
            <w:tcW w:w="2874" w:type="dxa"/>
            <w:vAlign w:val="center"/>
          </w:tcPr>
          <w:p>
            <w:pPr>
              <w:spacing w:before="20" w:after="20"/>
              <w:jc w:val="right"/>
              <w:rPr>
                <w:noProof/>
                <w:sz w:val="20"/>
              </w:rPr>
            </w:pPr>
            <w:r>
              <w:rPr>
                <w:noProof/>
                <w:sz w:val="20"/>
              </w:rPr>
              <w:t>12,475</w:t>
            </w:r>
          </w:p>
        </w:tc>
        <w:tc>
          <w:tcPr>
            <w:tcW w:w="2874" w:type="dxa"/>
            <w:vAlign w:val="center"/>
          </w:tcPr>
          <w:p>
            <w:pPr>
              <w:spacing w:before="20" w:after="20"/>
              <w:jc w:val="right"/>
              <w:rPr>
                <w:noProof/>
                <w:sz w:val="20"/>
              </w:rPr>
            </w:pPr>
            <w:r>
              <w:rPr>
                <w:noProof/>
                <w:sz w:val="20"/>
              </w:rPr>
              <w:t>12,508</w:t>
            </w:r>
          </w:p>
        </w:tc>
        <w:tc>
          <w:tcPr>
            <w:tcW w:w="2875" w:type="dxa"/>
            <w:vAlign w:val="center"/>
          </w:tcPr>
          <w:p>
            <w:pPr>
              <w:spacing w:before="20" w:after="20"/>
              <w:jc w:val="right"/>
              <w:rPr>
                <w:b/>
                <w:noProof/>
                <w:sz w:val="20"/>
              </w:rPr>
            </w:pPr>
            <w:r>
              <w:rPr>
                <w:b/>
                <w:noProof/>
                <w:sz w:val="20"/>
              </w:rPr>
              <w:t>24,983</w:t>
            </w:r>
          </w:p>
        </w:tc>
      </w:tr>
    </w:tbl>
    <w:p>
      <w:pPr>
        <w:jc w:val="right"/>
        <w:rPr>
          <w:noProof/>
          <w:sz w:val="20"/>
        </w:rPr>
      </w:pPr>
      <w:r>
        <w:rPr>
          <w:noProof/>
          <w:sz w:val="20"/>
        </w:rPr>
        <w:t>w mln EUR (do trzech miejsc po przecinku)</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2874"/>
        <w:gridCol w:w="2874"/>
        <w:gridCol w:w="2875"/>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2874" w:type="dxa"/>
            <w:vAlign w:val="center"/>
          </w:tcPr>
          <w:p>
            <w:pPr>
              <w:jc w:val="center"/>
              <w:rPr>
                <w:noProof/>
                <w:sz w:val="20"/>
              </w:rPr>
            </w:pPr>
            <w:r>
              <w:rPr>
                <w:noProof/>
                <w:sz w:val="20"/>
              </w:rPr>
              <w:t>Rok</w:t>
            </w:r>
            <w:r>
              <w:rPr>
                <w:noProof/>
                <w:sz w:val="22"/>
              </w:rPr>
              <w:br/>
            </w:r>
            <w:r>
              <w:rPr>
                <w:b/>
                <w:noProof/>
                <w:sz w:val="20"/>
              </w:rPr>
              <w:t>2019</w:t>
            </w:r>
          </w:p>
        </w:tc>
        <w:tc>
          <w:tcPr>
            <w:tcW w:w="2874" w:type="dxa"/>
            <w:vAlign w:val="center"/>
          </w:tcPr>
          <w:p>
            <w:pPr>
              <w:jc w:val="center"/>
              <w:rPr>
                <w:noProof/>
                <w:sz w:val="20"/>
              </w:rPr>
            </w:pPr>
            <w:r>
              <w:rPr>
                <w:noProof/>
                <w:sz w:val="20"/>
              </w:rPr>
              <w:t>Rok</w:t>
            </w:r>
            <w:r>
              <w:rPr>
                <w:noProof/>
                <w:sz w:val="22"/>
              </w:rPr>
              <w:br/>
            </w:r>
            <w:r>
              <w:rPr>
                <w:b/>
                <w:noProof/>
                <w:sz w:val="20"/>
              </w:rPr>
              <w:t>2020</w:t>
            </w:r>
          </w:p>
        </w:tc>
        <w:tc>
          <w:tcPr>
            <w:tcW w:w="2875" w:type="dxa"/>
            <w:vAlign w:val="center"/>
          </w:tcPr>
          <w:p>
            <w:pPr>
              <w:jc w:val="center"/>
              <w:rPr>
                <w:b/>
                <w:noProof/>
                <w:sz w:val="20"/>
              </w:rPr>
            </w:pPr>
            <w:r>
              <w:rPr>
                <w:b/>
                <w:noProof/>
                <w:sz w:val="20"/>
              </w:rPr>
              <w:t>OGÓŁEM</w:t>
            </w:r>
          </w:p>
        </w:tc>
      </w:tr>
      <w:tr>
        <w:tc>
          <w:tcPr>
            <w:tcW w:w="3960" w:type="dxa"/>
            <w:vMerge w:val="restart"/>
            <w:shd w:val="clear" w:color="auto" w:fill="C0C0C0"/>
            <w:vAlign w:val="center"/>
          </w:tcPr>
          <w:p>
            <w:pPr>
              <w:jc w:val="center"/>
              <w:rPr>
                <w:b/>
                <w:noProof/>
              </w:rPr>
            </w:pPr>
            <w:r>
              <w:rPr>
                <w:b/>
                <w:noProof/>
                <w:sz w:val="22"/>
              </w:rPr>
              <w:t xml:space="preserve">OGÓŁEM środki </w:t>
            </w:r>
            <w:r>
              <w:rPr>
                <w:noProof/>
                <w:sz w:val="22"/>
              </w:rPr>
              <w:br/>
            </w:r>
            <w:r>
              <w:rPr>
                <w:b/>
                <w:noProof/>
                <w:sz w:val="22"/>
              </w:rPr>
              <w:t>z DZIAŁÓW 1 do 5</w:t>
            </w:r>
            <w:r>
              <w:rPr>
                <w:noProof/>
                <w:sz w:val="22"/>
              </w:rPr>
              <w:br/>
              <w:t>wieloletnich ram finansowych</w:t>
            </w:r>
            <w:r>
              <w:rPr>
                <w:b/>
                <w:noProof/>
                <w:sz w:val="22"/>
              </w:rPr>
              <w:t xml:space="preserve"> </w:t>
            </w:r>
          </w:p>
        </w:tc>
        <w:tc>
          <w:tcPr>
            <w:tcW w:w="2094" w:type="dxa"/>
            <w:gridSpan w:val="2"/>
            <w:vAlign w:val="center"/>
          </w:tcPr>
          <w:p>
            <w:pPr>
              <w:rPr>
                <w:noProof/>
                <w:sz w:val="14"/>
              </w:rPr>
            </w:pPr>
            <w:r>
              <w:rPr>
                <w:noProof/>
                <w:sz w:val="18"/>
              </w:rPr>
              <w:t>Środki na zobowiązania</w:t>
            </w:r>
          </w:p>
        </w:tc>
        <w:tc>
          <w:tcPr>
            <w:tcW w:w="2874" w:type="dxa"/>
            <w:vAlign w:val="center"/>
          </w:tcPr>
          <w:p>
            <w:pPr>
              <w:spacing w:before="60" w:after="60"/>
              <w:jc w:val="right"/>
              <w:rPr>
                <w:noProof/>
                <w:sz w:val="20"/>
              </w:rPr>
            </w:pPr>
            <w:r>
              <w:rPr>
                <w:noProof/>
                <w:sz w:val="20"/>
              </w:rPr>
              <w:t>23,760</w:t>
            </w:r>
          </w:p>
        </w:tc>
        <w:tc>
          <w:tcPr>
            <w:tcW w:w="2874" w:type="dxa"/>
            <w:vAlign w:val="center"/>
          </w:tcPr>
          <w:p>
            <w:pPr>
              <w:spacing w:before="60" w:after="60"/>
              <w:jc w:val="right"/>
              <w:rPr>
                <w:noProof/>
                <w:sz w:val="20"/>
              </w:rPr>
            </w:pPr>
            <w:r>
              <w:rPr>
                <w:noProof/>
                <w:sz w:val="20"/>
              </w:rPr>
              <w:t>22,693</w:t>
            </w:r>
          </w:p>
        </w:tc>
        <w:tc>
          <w:tcPr>
            <w:tcW w:w="2875" w:type="dxa"/>
            <w:vAlign w:val="center"/>
          </w:tcPr>
          <w:p>
            <w:pPr>
              <w:spacing w:before="60" w:after="60"/>
              <w:jc w:val="right"/>
              <w:rPr>
                <w:b/>
                <w:noProof/>
                <w:sz w:val="20"/>
              </w:rPr>
            </w:pPr>
            <w:r>
              <w:rPr>
                <w:b/>
                <w:noProof/>
                <w:sz w:val="20"/>
              </w:rPr>
              <w:t>46,453</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2874" w:type="dxa"/>
            <w:vAlign w:val="center"/>
          </w:tcPr>
          <w:p>
            <w:pPr>
              <w:spacing w:before="60" w:after="60"/>
              <w:jc w:val="right"/>
              <w:rPr>
                <w:noProof/>
                <w:sz w:val="20"/>
              </w:rPr>
            </w:pPr>
            <w:r>
              <w:rPr>
                <w:noProof/>
                <w:sz w:val="20"/>
              </w:rPr>
              <w:t>13,604</w:t>
            </w:r>
          </w:p>
        </w:tc>
        <w:tc>
          <w:tcPr>
            <w:tcW w:w="2874" w:type="dxa"/>
            <w:vAlign w:val="center"/>
          </w:tcPr>
          <w:p>
            <w:pPr>
              <w:spacing w:before="60" w:after="60"/>
              <w:jc w:val="right"/>
              <w:rPr>
                <w:noProof/>
                <w:sz w:val="20"/>
              </w:rPr>
            </w:pPr>
            <w:r>
              <w:rPr>
                <w:noProof/>
                <w:sz w:val="20"/>
              </w:rPr>
              <w:t>17,476</w:t>
            </w:r>
          </w:p>
        </w:tc>
        <w:tc>
          <w:tcPr>
            <w:tcW w:w="2875" w:type="dxa"/>
            <w:vAlign w:val="center"/>
          </w:tcPr>
          <w:p>
            <w:pPr>
              <w:spacing w:before="60" w:after="60"/>
              <w:jc w:val="right"/>
              <w:rPr>
                <w:b/>
                <w:noProof/>
                <w:sz w:val="20"/>
              </w:rPr>
            </w:pPr>
            <w:r>
              <w:rPr>
                <w:b/>
                <w:noProof/>
                <w:sz w:val="20"/>
              </w:rPr>
              <w:t>31,080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Szacunkowy wpływ na środki operacyjne </w:t>
      </w:r>
    </w:p>
    <w:p>
      <w:pPr>
        <w:pStyle w:val="ListDash1"/>
        <w:rPr>
          <w:noProof/>
        </w:rPr>
      </w:pPr>
      <w:r>
        <w:rPr>
          <w:noProof/>
        </w:rPr>
        <w:sym w:font="Wingdings" w:char="F0A8"/>
      </w:r>
      <w:r>
        <w:rPr>
          <w:noProof/>
        </w:rPr>
        <w:t xml:space="preserve">Wniosek/inicjatywa nie wiąże się z koniecznością wykorzystania środków operacyjnych </w:t>
      </w:r>
    </w:p>
    <w:p>
      <w:pPr>
        <w:pStyle w:val="ListDash1"/>
        <w:rPr>
          <w:noProof/>
        </w:rPr>
      </w:pPr>
      <w:r>
        <w:rPr>
          <w:noProof/>
        </w:rPr>
        <w:sym w:font="Wingdings" w:char="F0FD"/>
      </w:r>
      <w:r>
        <w:rPr>
          <w:noProof/>
        </w:rPr>
        <w:tab/>
      </w:r>
      <w:r>
        <w:rPr>
          <w:noProof/>
        </w:rPr>
        <w:tab/>
        <w:t>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tbl>
      <w:tblPr>
        <w:tblpPr w:leftFromText="180" w:rightFromText="180" w:vertAnchor="text" w:tblpXSpec="center" w:tblpY="1"/>
        <w:tblOverlap w:val="never"/>
        <w:tblW w:w="1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1676"/>
        <w:gridCol w:w="9"/>
        <w:gridCol w:w="700"/>
        <w:gridCol w:w="754"/>
        <w:gridCol w:w="725"/>
        <w:gridCol w:w="8"/>
        <w:gridCol w:w="373"/>
        <w:gridCol w:w="159"/>
        <w:gridCol w:w="561"/>
        <w:gridCol w:w="159"/>
        <w:gridCol w:w="214"/>
        <w:gridCol w:w="20"/>
        <w:gridCol w:w="147"/>
        <w:gridCol w:w="339"/>
        <w:gridCol w:w="381"/>
        <w:gridCol w:w="555"/>
        <w:gridCol w:w="32"/>
        <w:gridCol w:w="32"/>
        <w:gridCol w:w="101"/>
        <w:gridCol w:w="520"/>
        <w:gridCol w:w="416"/>
        <w:gridCol w:w="304"/>
        <w:gridCol w:w="102"/>
        <w:gridCol w:w="43"/>
        <w:gridCol w:w="236"/>
        <w:gridCol w:w="159"/>
        <w:gridCol w:w="561"/>
        <w:gridCol w:w="87"/>
        <w:gridCol w:w="388"/>
        <w:gridCol w:w="44"/>
        <w:gridCol w:w="11"/>
        <w:gridCol w:w="11"/>
        <w:gridCol w:w="648"/>
        <w:gridCol w:w="50"/>
        <w:gridCol w:w="382"/>
        <w:gridCol w:w="158"/>
        <w:gridCol w:w="171"/>
        <w:gridCol w:w="71"/>
        <w:gridCol w:w="320"/>
        <w:gridCol w:w="158"/>
        <w:gridCol w:w="382"/>
        <w:gridCol w:w="338"/>
        <w:gridCol w:w="254"/>
        <w:gridCol w:w="128"/>
        <w:gridCol w:w="720"/>
        <w:gridCol w:w="256"/>
      </w:tblGrid>
      <w:tr>
        <w:trPr>
          <w:gridAfter w:val="8"/>
          <w:wAfter w:w="2556" w:type="dxa"/>
        </w:trPr>
        <w:tc>
          <w:tcPr>
            <w:tcW w:w="1405" w:type="dxa"/>
            <w:vMerge w:val="restart"/>
            <w:vAlign w:val="center"/>
          </w:tcPr>
          <w:p>
            <w:pPr>
              <w:ind w:right="-29"/>
              <w:jc w:val="center"/>
              <w:rPr>
                <w:b/>
                <w:noProof/>
                <w:sz w:val="18"/>
                <w:szCs w:val="18"/>
              </w:rPr>
            </w:pPr>
            <w:r>
              <w:rPr>
                <w:b/>
                <w:noProof/>
                <w:sz w:val="18"/>
              </w:rPr>
              <w:t xml:space="preserve">Określić cele i produkty </w:t>
            </w:r>
          </w:p>
          <w:p>
            <w:pPr>
              <w:ind w:right="-29"/>
              <w:jc w:val="center"/>
              <w:rPr>
                <w:b/>
                <w:noProof/>
                <w:sz w:val="18"/>
                <w:szCs w:val="18"/>
              </w:rPr>
            </w:pPr>
          </w:p>
          <w:p>
            <w:pPr>
              <w:ind w:right="-29"/>
              <w:jc w:val="center"/>
              <w:rPr>
                <w:noProof/>
                <w:sz w:val="18"/>
                <w:szCs w:val="18"/>
              </w:rPr>
            </w:pPr>
            <w:r>
              <w:rPr>
                <w:noProof/>
                <w:sz w:val="18"/>
              </w:rPr>
              <w:sym w:font="Wingdings" w:char="F0F2"/>
            </w:r>
          </w:p>
        </w:tc>
        <w:tc>
          <w:tcPr>
            <w:tcW w:w="1685" w:type="dxa"/>
            <w:gridSpan w:val="2"/>
            <w:vAlign w:val="center"/>
          </w:tcPr>
          <w:p>
            <w:pPr>
              <w:ind w:right="-29"/>
              <w:jc w:val="center"/>
              <w:rPr>
                <w:noProof/>
                <w:sz w:val="18"/>
                <w:szCs w:val="18"/>
              </w:rPr>
            </w:pPr>
          </w:p>
        </w:tc>
        <w:tc>
          <w:tcPr>
            <w:tcW w:w="700" w:type="dxa"/>
            <w:vAlign w:val="center"/>
          </w:tcPr>
          <w:p>
            <w:pPr>
              <w:ind w:right="-29"/>
              <w:jc w:val="center"/>
              <w:rPr>
                <w:noProof/>
                <w:sz w:val="18"/>
                <w:szCs w:val="18"/>
              </w:rPr>
            </w:pPr>
          </w:p>
        </w:tc>
        <w:tc>
          <w:tcPr>
            <w:tcW w:w="2973" w:type="dxa"/>
            <w:gridSpan w:val="9"/>
            <w:tcBorders>
              <w:left w:val="nil"/>
            </w:tcBorders>
            <w:vAlign w:val="center"/>
          </w:tcPr>
          <w:p>
            <w:pPr>
              <w:ind w:right="-29"/>
              <w:jc w:val="center"/>
              <w:rPr>
                <w:noProof/>
                <w:sz w:val="18"/>
                <w:szCs w:val="18"/>
              </w:rPr>
            </w:pPr>
            <w:r>
              <w:rPr>
                <w:noProof/>
                <w:sz w:val="18"/>
              </w:rPr>
              <w:t>Rok</w:t>
            </w:r>
            <w:r>
              <w:rPr>
                <w:noProof/>
                <w:sz w:val="22"/>
              </w:rPr>
              <w:br/>
            </w:r>
            <w:r>
              <w:rPr>
                <w:b/>
                <w:noProof/>
                <w:sz w:val="18"/>
              </w:rPr>
              <w:t>2019</w:t>
            </w:r>
          </w:p>
        </w:tc>
        <w:tc>
          <w:tcPr>
            <w:tcW w:w="2972" w:type="dxa"/>
            <w:gridSpan w:val="12"/>
            <w:vAlign w:val="center"/>
          </w:tcPr>
          <w:p>
            <w:pPr>
              <w:ind w:right="-29"/>
              <w:jc w:val="center"/>
              <w:rPr>
                <w:noProof/>
                <w:sz w:val="18"/>
                <w:szCs w:val="18"/>
              </w:rPr>
            </w:pPr>
            <w:r>
              <w:rPr>
                <w:noProof/>
                <w:sz w:val="18"/>
              </w:rPr>
              <w:t>Rok</w:t>
            </w:r>
            <w:r>
              <w:rPr>
                <w:noProof/>
                <w:sz w:val="22"/>
              </w:rPr>
              <w:br/>
            </w:r>
            <w:r>
              <w:rPr>
                <w:b/>
                <w:noProof/>
                <w:sz w:val="18"/>
              </w:rPr>
              <w:t>2020</w:t>
            </w:r>
          </w:p>
        </w:tc>
        <w:tc>
          <w:tcPr>
            <w:tcW w:w="2977" w:type="dxa"/>
            <w:gridSpan w:val="14"/>
            <w:tcBorders>
              <w:left w:val="nil"/>
              <w:bottom w:val="single" w:sz="4" w:space="0" w:color="auto"/>
            </w:tcBorders>
            <w:vAlign w:val="center"/>
          </w:tcPr>
          <w:p>
            <w:pPr>
              <w:ind w:right="-29"/>
              <w:jc w:val="center"/>
              <w:rPr>
                <w:noProof/>
                <w:sz w:val="18"/>
                <w:szCs w:val="18"/>
              </w:rPr>
            </w:pPr>
            <w:r>
              <w:rPr>
                <w:b/>
                <w:noProof/>
                <w:sz w:val="18"/>
              </w:rPr>
              <w:t>OGÓŁEM</w:t>
            </w:r>
          </w:p>
        </w:tc>
      </w:tr>
      <w:tr>
        <w:trPr>
          <w:gridAfter w:val="44"/>
          <w:wAfter w:w="12178" w:type="dxa"/>
        </w:trPr>
        <w:tc>
          <w:tcPr>
            <w:tcW w:w="1405" w:type="dxa"/>
            <w:vMerge/>
            <w:vAlign w:val="center"/>
          </w:tcPr>
          <w:p>
            <w:pPr>
              <w:ind w:right="-29"/>
              <w:jc w:val="center"/>
              <w:rPr>
                <w:noProof/>
                <w:sz w:val="18"/>
                <w:szCs w:val="18"/>
              </w:rPr>
            </w:pPr>
          </w:p>
        </w:tc>
        <w:tc>
          <w:tcPr>
            <w:tcW w:w="1685" w:type="dxa"/>
            <w:gridSpan w:val="2"/>
            <w:vAlign w:val="center"/>
          </w:tcPr>
          <w:p>
            <w:pPr>
              <w:spacing w:before="60" w:after="60"/>
              <w:ind w:right="-29"/>
              <w:jc w:val="center"/>
              <w:rPr>
                <w:noProof/>
                <w:sz w:val="18"/>
                <w:szCs w:val="18"/>
              </w:rPr>
            </w:pPr>
            <w:r>
              <w:rPr>
                <w:b/>
                <w:noProof/>
                <w:sz w:val="18"/>
              </w:rPr>
              <w:t>PRODUKT</w:t>
            </w:r>
          </w:p>
        </w:tc>
      </w:tr>
      <w:tr>
        <w:trPr>
          <w:gridAfter w:val="8"/>
          <w:wAfter w:w="2556" w:type="dxa"/>
          <w:cantSplit/>
          <w:trHeight w:val="1134"/>
        </w:trPr>
        <w:tc>
          <w:tcPr>
            <w:tcW w:w="1405" w:type="dxa"/>
            <w:vMerge/>
            <w:vAlign w:val="center"/>
          </w:tcPr>
          <w:p>
            <w:pPr>
              <w:rPr>
                <w:noProof/>
                <w:sz w:val="18"/>
                <w:szCs w:val="18"/>
              </w:rPr>
            </w:pPr>
          </w:p>
        </w:tc>
        <w:tc>
          <w:tcPr>
            <w:tcW w:w="1685" w:type="dxa"/>
            <w:gridSpan w:val="2"/>
            <w:vAlign w:val="center"/>
          </w:tcPr>
          <w:p>
            <w:pPr>
              <w:jc w:val="center"/>
              <w:rPr>
                <w:noProof/>
                <w:sz w:val="18"/>
                <w:szCs w:val="18"/>
              </w:rPr>
            </w:pPr>
            <w:r>
              <w:rPr>
                <w:noProof/>
                <w:sz w:val="18"/>
              </w:rPr>
              <w:t>Rodzaj</w:t>
            </w:r>
            <w:r>
              <w:rPr>
                <w:rStyle w:val="FootnoteReference"/>
                <w:noProof/>
                <w:sz w:val="18"/>
              </w:rPr>
              <w:footnoteReference w:id="36"/>
            </w:r>
          </w:p>
          <w:p>
            <w:pPr>
              <w:spacing w:after="0"/>
              <w:jc w:val="center"/>
              <w:rPr>
                <w:noProof/>
                <w:sz w:val="18"/>
                <w:szCs w:val="18"/>
              </w:rPr>
            </w:pPr>
          </w:p>
        </w:tc>
        <w:tc>
          <w:tcPr>
            <w:tcW w:w="700" w:type="dxa"/>
            <w:vAlign w:val="center"/>
          </w:tcPr>
          <w:p>
            <w:pPr>
              <w:jc w:val="center"/>
              <w:rPr>
                <w:noProof/>
                <w:sz w:val="18"/>
                <w:szCs w:val="18"/>
              </w:rPr>
            </w:pPr>
            <w:r>
              <w:rPr>
                <w:noProof/>
                <w:sz w:val="18"/>
              </w:rPr>
              <w:t>Średni koszt</w:t>
            </w:r>
          </w:p>
        </w:tc>
        <w:tc>
          <w:tcPr>
            <w:tcW w:w="1487"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1486" w:type="dxa"/>
            <w:gridSpan w:val="6"/>
            <w:tcBorders>
              <w:left w:val="dashSmallGap" w:sz="4" w:space="0" w:color="auto"/>
            </w:tcBorders>
            <w:shd w:val="pct10" w:color="auto" w:fill="auto"/>
            <w:vAlign w:val="center"/>
          </w:tcPr>
          <w:p>
            <w:pPr>
              <w:jc w:val="center"/>
              <w:rPr>
                <w:noProof/>
                <w:sz w:val="18"/>
                <w:szCs w:val="18"/>
              </w:rPr>
            </w:pPr>
            <w:r>
              <w:rPr>
                <w:noProof/>
                <w:sz w:val="18"/>
              </w:rPr>
              <w:t>Koszt</w:t>
            </w:r>
          </w:p>
        </w:tc>
        <w:tc>
          <w:tcPr>
            <w:tcW w:w="1486" w:type="dxa"/>
            <w:gridSpan w:val="6"/>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1486" w:type="dxa"/>
            <w:gridSpan w:val="6"/>
            <w:tcBorders>
              <w:left w:val="dashSmallGap" w:sz="4" w:space="0" w:color="auto"/>
            </w:tcBorders>
            <w:shd w:val="pct10" w:color="auto" w:fill="auto"/>
            <w:vAlign w:val="center"/>
          </w:tcPr>
          <w:p>
            <w:pPr>
              <w:jc w:val="center"/>
              <w:rPr>
                <w:noProof/>
                <w:sz w:val="18"/>
                <w:szCs w:val="18"/>
              </w:rPr>
            </w:pPr>
            <w:r>
              <w:rPr>
                <w:noProof/>
                <w:sz w:val="18"/>
              </w:rPr>
              <w:t>Koszt</w:t>
            </w:r>
          </w:p>
        </w:tc>
        <w:tc>
          <w:tcPr>
            <w:tcW w:w="1486" w:type="dxa"/>
            <w:gridSpan w:val="7"/>
            <w:tcBorders>
              <w:right w:val="dashSmallGap" w:sz="4" w:space="0" w:color="auto"/>
            </w:tcBorders>
            <w:shd w:val="pct10" w:color="auto" w:fill="auto"/>
            <w:vAlign w:val="center"/>
          </w:tcPr>
          <w:p>
            <w:pPr>
              <w:jc w:val="center"/>
              <w:rPr>
                <w:noProof/>
                <w:sz w:val="18"/>
                <w:szCs w:val="18"/>
              </w:rPr>
            </w:pPr>
            <w:r>
              <w:rPr>
                <w:noProof/>
                <w:sz w:val="18"/>
              </w:rPr>
              <w:t>Liczba ogółem</w:t>
            </w:r>
          </w:p>
        </w:tc>
        <w:tc>
          <w:tcPr>
            <w:tcW w:w="1491" w:type="dxa"/>
            <w:gridSpan w:val="7"/>
            <w:tcBorders>
              <w:left w:val="dashSmallGap" w:sz="4" w:space="0" w:color="auto"/>
            </w:tcBorders>
            <w:shd w:val="pct10" w:color="auto" w:fill="auto"/>
            <w:vAlign w:val="center"/>
          </w:tcPr>
          <w:p>
            <w:pPr>
              <w:jc w:val="center"/>
              <w:rPr>
                <w:noProof/>
                <w:sz w:val="18"/>
                <w:szCs w:val="18"/>
              </w:rPr>
            </w:pPr>
            <w:r>
              <w:rPr>
                <w:noProof/>
                <w:sz w:val="18"/>
              </w:rPr>
              <w:t>Koszt całkowity</w:t>
            </w:r>
          </w:p>
        </w:tc>
      </w:tr>
      <w:tr>
        <w:tc>
          <w:tcPr>
            <w:tcW w:w="5277" w:type="dxa"/>
            <w:gridSpan w:val="7"/>
            <w:vAlign w:val="center"/>
          </w:tcPr>
          <w:p>
            <w:pPr>
              <w:spacing w:before="60" w:after="60"/>
              <w:ind w:right="-29"/>
              <w:jc w:val="center"/>
              <w:rPr>
                <w:noProof/>
                <w:sz w:val="18"/>
                <w:szCs w:val="18"/>
              </w:rPr>
            </w:pPr>
            <w:r>
              <w:rPr>
                <w:noProof/>
                <w:sz w:val="18"/>
              </w:rPr>
              <w:t>CEL SZCZEGÓŁOWY nr 1</w:t>
            </w:r>
            <w:r>
              <w:rPr>
                <w:rStyle w:val="FootnoteReference"/>
                <w:noProof/>
                <w:sz w:val="18"/>
              </w:rPr>
              <w:footnoteReference w:id="37"/>
            </w:r>
            <w:r>
              <w:rPr>
                <w:noProof/>
                <w:sz w:val="18"/>
              </w:rPr>
              <w:t>…</w:t>
            </w:r>
          </w:p>
        </w:tc>
        <w:tc>
          <w:tcPr>
            <w:tcW w:w="373"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936" w:type="dxa"/>
            <w:gridSpan w:val="2"/>
            <w:tcBorders>
              <w:top w:val="nil"/>
              <w:left w:val="nil"/>
              <w:bottom w:val="nil"/>
              <w:right w:val="nil"/>
            </w:tcBorders>
          </w:tcPr>
          <w:p>
            <w:pPr>
              <w:spacing w:before="60" w:after="60"/>
              <w:ind w:right="-29"/>
              <w:jc w:val="center"/>
              <w:rPr>
                <w:noProof/>
                <w:sz w:val="18"/>
                <w:szCs w:val="18"/>
              </w:rPr>
            </w:pPr>
          </w:p>
        </w:tc>
        <w:tc>
          <w:tcPr>
            <w:tcW w:w="685"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1" w:type="dxa"/>
            <w:gridSpan w:val="5"/>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3"/>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256" w:type="dxa"/>
            <w:tcBorders>
              <w:top w:val="nil"/>
              <w:left w:val="nil"/>
              <w:bottom w:val="nil"/>
              <w:right w:val="nil"/>
            </w:tcBorders>
          </w:tcPr>
          <w:p>
            <w:pPr>
              <w:spacing w:before="60" w:after="60"/>
              <w:ind w:right="-29"/>
              <w:jc w:val="center"/>
              <w:rPr>
                <w:noProof/>
                <w:sz w:val="18"/>
                <w:szCs w:val="18"/>
              </w:rPr>
            </w:pPr>
          </w:p>
        </w:tc>
      </w:tr>
      <w:tr>
        <w:trPr>
          <w:gridAfter w:val="8"/>
          <w:wAfter w:w="2556" w:type="dxa"/>
          <w:trHeight w:hRule="exact" w:val="626"/>
        </w:trPr>
        <w:tc>
          <w:tcPr>
            <w:tcW w:w="1405" w:type="dxa"/>
          </w:tcPr>
          <w:p>
            <w:pPr>
              <w:ind w:right="-29"/>
              <w:jc w:val="center"/>
              <w:rPr>
                <w:noProof/>
                <w:sz w:val="18"/>
                <w:szCs w:val="18"/>
              </w:rPr>
            </w:pPr>
            <w:r>
              <w:rPr>
                <w:noProof/>
                <w:sz w:val="18"/>
              </w:rPr>
              <w:t>- Produkt</w:t>
            </w:r>
          </w:p>
        </w:tc>
        <w:tc>
          <w:tcPr>
            <w:tcW w:w="1685" w:type="dxa"/>
            <w:gridSpan w:val="2"/>
          </w:tcPr>
          <w:p>
            <w:pPr>
              <w:ind w:right="-29"/>
              <w:jc w:val="center"/>
              <w:rPr>
                <w:noProof/>
                <w:sz w:val="18"/>
                <w:szCs w:val="18"/>
              </w:rPr>
            </w:pPr>
            <w:r>
              <w:rPr>
                <w:noProof/>
                <w:sz w:val="18"/>
              </w:rPr>
              <w:t>Rejestr EuroGrup</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0,750</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0,750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1,500</w:t>
            </w:r>
          </w:p>
        </w:tc>
      </w:tr>
      <w:tr>
        <w:trPr>
          <w:gridAfter w:val="8"/>
          <w:wAfter w:w="2556" w:type="dxa"/>
          <w:trHeight w:hRule="exact" w:val="564"/>
        </w:trPr>
        <w:tc>
          <w:tcPr>
            <w:tcW w:w="1405" w:type="dxa"/>
          </w:tcPr>
          <w:p>
            <w:pPr>
              <w:ind w:right="-29"/>
              <w:jc w:val="center"/>
              <w:rPr>
                <w:noProof/>
                <w:sz w:val="18"/>
                <w:szCs w:val="18"/>
              </w:rPr>
            </w:pPr>
            <w:r>
              <w:rPr>
                <w:noProof/>
                <w:sz w:val="18"/>
              </w:rPr>
              <w:t>- Produkt</w:t>
            </w:r>
          </w:p>
        </w:tc>
        <w:tc>
          <w:tcPr>
            <w:tcW w:w="1685" w:type="dxa"/>
            <w:gridSpan w:val="2"/>
          </w:tcPr>
          <w:p>
            <w:pPr>
              <w:ind w:right="-29"/>
              <w:jc w:val="center"/>
              <w:rPr>
                <w:noProof/>
                <w:sz w:val="18"/>
                <w:szCs w:val="18"/>
              </w:rPr>
            </w:pPr>
            <w:r>
              <w:rPr>
                <w:noProof/>
                <w:sz w:val="18"/>
              </w:rPr>
              <w:t>Testowanie rejestru EuroGrup</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0,250</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0,250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0,500</w:t>
            </w:r>
          </w:p>
        </w:tc>
      </w:tr>
      <w:tr>
        <w:trPr>
          <w:gridAfter w:val="8"/>
          <w:wAfter w:w="2556" w:type="dxa"/>
          <w:trHeight w:hRule="exact" w:val="572"/>
        </w:trPr>
        <w:tc>
          <w:tcPr>
            <w:tcW w:w="1405" w:type="dxa"/>
          </w:tcPr>
          <w:p>
            <w:pPr>
              <w:ind w:right="-29"/>
              <w:jc w:val="center"/>
              <w:rPr>
                <w:noProof/>
                <w:sz w:val="18"/>
                <w:szCs w:val="18"/>
              </w:rPr>
            </w:pPr>
            <w:r>
              <w:rPr>
                <w:noProof/>
                <w:sz w:val="18"/>
              </w:rPr>
              <w:t>- Produkt</w:t>
            </w:r>
          </w:p>
        </w:tc>
        <w:tc>
          <w:tcPr>
            <w:tcW w:w="1685" w:type="dxa"/>
            <w:gridSpan w:val="2"/>
          </w:tcPr>
          <w:p>
            <w:pPr>
              <w:ind w:right="-29"/>
              <w:jc w:val="center"/>
              <w:rPr>
                <w:noProof/>
                <w:sz w:val="18"/>
                <w:szCs w:val="18"/>
              </w:rPr>
            </w:pPr>
            <w:r>
              <w:rPr>
                <w:noProof/>
                <w:sz w:val="18"/>
              </w:rPr>
              <w:t>Wprowadzenie w życie procesów zbierania danych</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3,435</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3,935</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7,370</w:t>
            </w:r>
          </w:p>
        </w:tc>
      </w:tr>
      <w:tr>
        <w:trPr>
          <w:gridAfter w:val="8"/>
          <w:wAfter w:w="2556" w:type="dxa"/>
          <w:trHeight w:hRule="exact" w:val="1191"/>
        </w:trPr>
        <w:tc>
          <w:tcPr>
            <w:tcW w:w="1405" w:type="dxa"/>
          </w:tcPr>
          <w:p>
            <w:pPr>
              <w:ind w:right="-29"/>
              <w:jc w:val="center"/>
              <w:rPr>
                <w:noProof/>
                <w:sz w:val="18"/>
                <w:szCs w:val="18"/>
              </w:rPr>
            </w:pPr>
            <w:r>
              <w:rPr>
                <w:noProof/>
                <w:sz w:val="18"/>
              </w:rPr>
              <w:t>- Produkt</w:t>
            </w:r>
          </w:p>
        </w:tc>
        <w:tc>
          <w:tcPr>
            <w:tcW w:w="1685" w:type="dxa"/>
            <w:gridSpan w:val="2"/>
          </w:tcPr>
          <w:p>
            <w:pPr>
              <w:ind w:right="-29"/>
              <w:jc w:val="center"/>
              <w:rPr>
                <w:noProof/>
                <w:sz w:val="18"/>
                <w:szCs w:val="18"/>
              </w:rPr>
            </w:pPr>
            <w:r>
              <w:rPr>
                <w:noProof/>
                <w:sz w:val="18"/>
              </w:rPr>
              <w:t>Analizy metodyczne i badania pilotażowe</w:t>
            </w:r>
          </w:p>
        </w:tc>
        <w:tc>
          <w:tcPr>
            <w:tcW w:w="700" w:type="dxa"/>
          </w:tcPr>
          <w:p>
            <w:pPr>
              <w:ind w:right="-29"/>
              <w:jc w:val="center"/>
              <w:rPr>
                <w:noProof/>
                <w:sz w:val="18"/>
                <w:szCs w:val="18"/>
              </w:rPr>
            </w:pPr>
          </w:p>
        </w:tc>
        <w:tc>
          <w:tcPr>
            <w:tcW w:w="1487" w:type="dxa"/>
            <w:gridSpan w:val="3"/>
          </w:tcPr>
          <w:p>
            <w:pPr>
              <w:ind w:right="-29"/>
              <w:jc w:val="center"/>
              <w:rPr>
                <w:noProof/>
                <w:sz w:val="18"/>
                <w:szCs w:val="18"/>
              </w:rPr>
            </w:pPr>
          </w:p>
        </w:tc>
        <w:tc>
          <w:tcPr>
            <w:tcW w:w="1486" w:type="dxa"/>
            <w:gridSpan w:val="6"/>
          </w:tcPr>
          <w:p>
            <w:pPr>
              <w:ind w:right="-29"/>
              <w:jc w:val="center"/>
              <w:rPr>
                <w:noProof/>
                <w:sz w:val="18"/>
                <w:szCs w:val="18"/>
              </w:rPr>
            </w:pPr>
            <w:r>
              <w:rPr>
                <w:noProof/>
                <w:sz w:val="18"/>
              </w:rPr>
              <w:t>6,850</w:t>
            </w:r>
          </w:p>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r>
              <w:rPr>
                <w:noProof/>
                <w:sz w:val="18"/>
              </w:rPr>
              <w:t>5,250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12,100</w:t>
            </w:r>
          </w:p>
        </w:tc>
      </w:tr>
      <w:tr>
        <w:trPr>
          <w:gridAfter w:val="8"/>
          <w:wAfter w:w="2556" w:type="dxa"/>
        </w:trPr>
        <w:tc>
          <w:tcPr>
            <w:tcW w:w="3090" w:type="dxa"/>
            <w:gridSpan w:val="3"/>
            <w:tcBorders>
              <w:bottom w:val="single" w:sz="12" w:space="0" w:color="auto"/>
            </w:tcBorders>
            <w:vAlign w:val="center"/>
          </w:tcPr>
          <w:p>
            <w:pPr>
              <w:ind w:right="-29"/>
              <w:jc w:val="center"/>
              <w:rPr>
                <w:noProof/>
                <w:sz w:val="18"/>
                <w:szCs w:val="18"/>
              </w:rPr>
            </w:pPr>
            <w:r>
              <w:rPr>
                <w:noProof/>
                <w:sz w:val="18"/>
              </w:rPr>
              <w:t>Cel szczegółowy nr 1 – suma cząstkowa</w:t>
            </w:r>
          </w:p>
        </w:tc>
        <w:tc>
          <w:tcPr>
            <w:tcW w:w="2187" w:type="dxa"/>
            <w:gridSpan w:val="4"/>
            <w:tcBorders>
              <w:bottom w:val="single" w:sz="12" w:space="0" w:color="auto"/>
            </w:tcBorders>
          </w:tcPr>
          <w:p>
            <w:pPr>
              <w:ind w:right="-29"/>
              <w:jc w:val="center"/>
              <w:rPr>
                <w:noProof/>
                <w:sz w:val="18"/>
                <w:szCs w:val="18"/>
              </w:rPr>
            </w:pPr>
          </w:p>
        </w:tc>
        <w:tc>
          <w:tcPr>
            <w:tcW w:w="1486" w:type="dxa"/>
            <w:gridSpan w:val="6"/>
            <w:tcBorders>
              <w:bottom w:val="single" w:sz="12" w:space="0" w:color="auto"/>
            </w:tcBorders>
          </w:tcPr>
          <w:p>
            <w:pPr>
              <w:ind w:right="-29"/>
              <w:jc w:val="center"/>
              <w:rPr>
                <w:noProof/>
                <w:sz w:val="18"/>
                <w:szCs w:val="18"/>
              </w:rPr>
            </w:pPr>
            <w:r>
              <w:rPr>
                <w:noProof/>
                <w:sz w:val="18"/>
              </w:rPr>
              <w:t>11,285</w:t>
            </w:r>
          </w:p>
        </w:tc>
        <w:tc>
          <w:tcPr>
            <w:tcW w:w="1486" w:type="dxa"/>
            <w:gridSpan w:val="6"/>
            <w:tcBorders>
              <w:bottom w:val="single" w:sz="12" w:space="0" w:color="auto"/>
            </w:tcBorders>
          </w:tcPr>
          <w:p>
            <w:pPr>
              <w:ind w:right="-29"/>
              <w:jc w:val="center"/>
              <w:rPr>
                <w:noProof/>
                <w:sz w:val="18"/>
                <w:szCs w:val="18"/>
              </w:rPr>
            </w:pPr>
          </w:p>
        </w:tc>
        <w:tc>
          <w:tcPr>
            <w:tcW w:w="1486" w:type="dxa"/>
            <w:gridSpan w:val="6"/>
            <w:tcBorders>
              <w:bottom w:val="single" w:sz="12" w:space="0" w:color="auto"/>
            </w:tcBorders>
          </w:tcPr>
          <w:p>
            <w:pPr>
              <w:ind w:right="-29"/>
              <w:jc w:val="center"/>
              <w:rPr>
                <w:noProof/>
                <w:sz w:val="18"/>
                <w:szCs w:val="18"/>
              </w:rPr>
            </w:pPr>
            <w:r>
              <w:rPr>
                <w:noProof/>
                <w:sz w:val="18"/>
              </w:rPr>
              <w:t>10,185</w:t>
            </w:r>
          </w:p>
        </w:tc>
        <w:tc>
          <w:tcPr>
            <w:tcW w:w="1486" w:type="dxa"/>
            <w:gridSpan w:val="7"/>
            <w:tcBorders>
              <w:bottom w:val="single" w:sz="12" w:space="0" w:color="auto"/>
            </w:tcBorders>
          </w:tcPr>
          <w:p>
            <w:pPr>
              <w:ind w:right="-29"/>
              <w:jc w:val="center"/>
              <w:rPr>
                <w:noProof/>
                <w:sz w:val="18"/>
                <w:szCs w:val="18"/>
              </w:rPr>
            </w:pPr>
          </w:p>
        </w:tc>
        <w:tc>
          <w:tcPr>
            <w:tcW w:w="1491" w:type="dxa"/>
            <w:gridSpan w:val="7"/>
            <w:tcBorders>
              <w:bottom w:val="single" w:sz="12" w:space="0" w:color="auto"/>
            </w:tcBorders>
          </w:tcPr>
          <w:p>
            <w:pPr>
              <w:ind w:right="-29"/>
              <w:jc w:val="center"/>
              <w:rPr>
                <w:noProof/>
                <w:sz w:val="18"/>
                <w:szCs w:val="18"/>
              </w:rPr>
            </w:pPr>
            <w:r>
              <w:rPr>
                <w:noProof/>
                <w:sz w:val="18"/>
              </w:rPr>
              <w:t>21,470</w:t>
            </w:r>
          </w:p>
        </w:tc>
      </w:tr>
      <w:tr>
        <w:trPr>
          <w:gridAfter w:val="3"/>
          <w:wAfter w:w="1104" w:type="dxa"/>
        </w:trPr>
        <w:tc>
          <w:tcPr>
            <w:tcW w:w="3090" w:type="dxa"/>
            <w:gridSpan w:val="3"/>
            <w:vAlign w:val="center"/>
          </w:tcPr>
          <w:p>
            <w:pPr>
              <w:spacing w:before="60" w:after="60"/>
              <w:ind w:right="-29"/>
              <w:jc w:val="center"/>
              <w:rPr>
                <w:noProof/>
                <w:sz w:val="18"/>
                <w:szCs w:val="18"/>
              </w:rPr>
            </w:pPr>
            <w:r>
              <w:rPr>
                <w:noProof/>
                <w:sz w:val="18"/>
              </w:rPr>
              <w:t>CEL SZCZEGÓŁOWY nr 2 ...</w:t>
            </w:r>
          </w:p>
        </w:tc>
        <w:tc>
          <w:tcPr>
            <w:tcW w:w="1454" w:type="dxa"/>
            <w:gridSpan w:val="2"/>
            <w:tcBorders>
              <w:top w:val="nil"/>
              <w:left w:val="nil"/>
              <w:bottom w:val="nil"/>
              <w:right w:val="nil"/>
            </w:tcBorders>
          </w:tcPr>
          <w:p>
            <w:pPr>
              <w:spacing w:before="60" w:after="60"/>
              <w:ind w:right="-29"/>
              <w:jc w:val="center"/>
              <w:rPr>
                <w:noProof/>
                <w:sz w:val="18"/>
                <w:szCs w:val="18"/>
              </w:rPr>
            </w:pPr>
          </w:p>
        </w:tc>
        <w:tc>
          <w:tcPr>
            <w:tcW w:w="725" w:type="dxa"/>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936" w:type="dxa"/>
            <w:gridSpan w:val="2"/>
            <w:tcBorders>
              <w:top w:val="nil"/>
              <w:left w:val="nil"/>
              <w:bottom w:val="nil"/>
              <w:right w:val="nil"/>
            </w:tcBorders>
          </w:tcPr>
          <w:p>
            <w:pPr>
              <w:spacing w:before="60" w:after="60"/>
              <w:ind w:right="-29"/>
              <w:jc w:val="center"/>
              <w:rPr>
                <w:noProof/>
                <w:sz w:val="18"/>
                <w:szCs w:val="18"/>
              </w:rPr>
            </w:pPr>
          </w:p>
        </w:tc>
        <w:tc>
          <w:tcPr>
            <w:tcW w:w="685"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4"/>
            <w:tcBorders>
              <w:top w:val="nil"/>
              <w:left w:val="nil"/>
              <w:bottom w:val="nil"/>
              <w:right w:val="nil"/>
            </w:tcBorders>
          </w:tcPr>
          <w:p>
            <w:pPr>
              <w:spacing w:before="60" w:after="60"/>
              <w:ind w:right="-29"/>
              <w:jc w:val="center"/>
              <w:rPr>
                <w:noProof/>
                <w:sz w:val="18"/>
                <w:szCs w:val="18"/>
              </w:rPr>
            </w:pPr>
          </w:p>
        </w:tc>
        <w:tc>
          <w:tcPr>
            <w:tcW w:w="648" w:type="dxa"/>
            <w:gridSpan w:val="2"/>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254" w:type="dxa"/>
            <w:tcBorders>
              <w:top w:val="nil"/>
              <w:left w:val="nil"/>
              <w:bottom w:val="nil"/>
              <w:right w:val="nil"/>
            </w:tcBorders>
          </w:tcPr>
          <w:p>
            <w:pPr>
              <w:spacing w:before="60" w:after="60"/>
              <w:ind w:right="-29"/>
              <w:jc w:val="center"/>
              <w:rPr>
                <w:noProof/>
                <w:sz w:val="18"/>
                <w:szCs w:val="18"/>
              </w:rPr>
            </w:pPr>
          </w:p>
        </w:tc>
      </w:tr>
      <w:tr>
        <w:trPr>
          <w:gridAfter w:val="8"/>
          <w:wAfter w:w="2556" w:type="dxa"/>
          <w:trHeight w:hRule="exact" w:val="369"/>
        </w:trPr>
        <w:tc>
          <w:tcPr>
            <w:tcW w:w="1405" w:type="dxa"/>
          </w:tcPr>
          <w:p>
            <w:pPr>
              <w:ind w:right="-29"/>
              <w:jc w:val="center"/>
              <w:rPr>
                <w:noProof/>
                <w:sz w:val="18"/>
                <w:szCs w:val="18"/>
              </w:rPr>
            </w:pPr>
            <w:r>
              <w:rPr>
                <w:noProof/>
                <w:sz w:val="18"/>
              </w:rPr>
              <w:t>- Produkt</w:t>
            </w:r>
          </w:p>
        </w:tc>
        <w:tc>
          <w:tcPr>
            <w:tcW w:w="1685" w:type="dxa"/>
            <w:gridSpan w:val="2"/>
          </w:tcPr>
          <w:p>
            <w:pPr>
              <w:ind w:right="-29"/>
              <w:jc w:val="center"/>
              <w:rPr>
                <w:noProof/>
                <w:sz w:val="18"/>
                <w:szCs w:val="18"/>
              </w:rPr>
            </w:pPr>
          </w:p>
        </w:tc>
        <w:tc>
          <w:tcPr>
            <w:tcW w:w="700" w:type="dxa"/>
          </w:tcPr>
          <w:p>
            <w:pPr>
              <w:ind w:right="-29"/>
              <w:jc w:val="center"/>
              <w:rPr>
                <w:noProof/>
                <w:sz w:val="18"/>
                <w:szCs w:val="18"/>
              </w:rPr>
            </w:pPr>
          </w:p>
        </w:tc>
        <w:tc>
          <w:tcPr>
            <w:tcW w:w="1487" w:type="dxa"/>
            <w:gridSpan w:val="3"/>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p>
        </w:tc>
      </w:tr>
      <w:tr>
        <w:trPr>
          <w:gridAfter w:val="9"/>
          <w:wAfter w:w="2627" w:type="dxa"/>
        </w:trPr>
        <w:tc>
          <w:tcPr>
            <w:tcW w:w="3081" w:type="dxa"/>
            <w:gridSpan w:val="2"/>
            <w:tcBorders>
              <w:bottom w:val="single" w:sz="12" w:space="0" w:color="auto"/>
            </w:tcBorders>
            <w:vAlign w:val="center"/>
          </w:tcPr>
          <w:p>
            <w:pPr>
              <w:jc w:val="center"/>
              <w:rPr>
                <w:noProof/>
                <w:sz w:val="18"/>
                <w:szCs w:val="18"/>
              </w:rPr>
            </w:pPr>
            <w:r>
              <w:rPr>
                <w:noProof/>
                <w:sz w:val="18"/>
              </w:rPr>
              <w:t>Cel szczegółowy nr 2 – suma cząstkowa</w:t>
            </w:r>
          </w:p>
        </w:tc>
        <w:tc>
          <w:tcPr>
            <w:tcW w:w="2188" w:type="dxa"/>
            <w:gridSpan w:val="4"/>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5" w:type="dxa"/>
            <w:gridSpan w:val="6"/>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5" w:type="dxa"/>
            <w:gridSpan w:val="8"/>
            <w:tcBorders>
              <w:bottom w:val="single" w:sz="12" w:space="0" w:color="auto"/>
            </w:tcBorders>
          </w:tcPr>
          <w:p>
            <w:pPr>
              <w:ind w:right="-29"/>
              <w:jc w:val="center"/>
              <w:rPr>
                <w:noProof/>
                <w:sz w:val="18"/>
                <w:szCs w:val="18"/>
              </w:rPr>
            </w:pPr>
          </w:p>
        </w:tc>
      </w:tr>
      <w:tr>
        <w:trPr>
          <w:gridAfter w:val="9"/>
          <w:wAfter w:w="2627" w:type="dxa"/>
        </w:trPr>
        <w:tc>
          <w:tcPr>
            <w:tcW w:w="3081" w:type="dxa"/>
            <w:gridSpan w:val="2"/>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KOSZT OGÓŁEM</w:t>
            </w:r>
          </w:p>
        </w:tc>
        <w:tc>
          <w:tcPr>
            <w:tcW w:w="2188" w:type="dxa"/>
            <w:gridSpan w:val="4"/>
            <w:tcBorders>
              <w:top w:val="single" w:sz="12" w:space="0" w:color="auto"/>
              <w:bottom w:val="single" w:sz="12" w:space="0" w:color="auto"/>
            </w:tcBorders>
          </w:tcPr>
          <w:p>
            <w:pPr>
              <w:spacing w:before="180" w:after="180"/>
              <w:ind w:right="-29"/>
              <w:jc w:val="center"/>
              <w:rPr>
                <w:noProof/>
                <w:sz w:val="18"/>
                <w:szCs w:val="18"/>
              </w:rPr>
            </w:pP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11,285</w:t>
            </w: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p>
        </w:tc>
        <w:tc>
          <w:tcPr>
            <w:tcW w:w="1475"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10,185</w:t>
            </w: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p>
        </w:tc>
        <w:tc>
          <w:tcPr>
            <w:tcW w:w="1475" w:type="dxa"/>
            <w:gridSpan w:val="8"/>
            <w:tcBorders>
              <w:top w:val="single" w:sz="12" w:space="0" w:color="auto"/>
              <w:bottom w:val="single" w:sz="12" w:space="0" w:color="auto"/>
            </w:tcBorders>
          </w:tcPr>
          <w:p>
            <w:pPr>
              <w:spacing w:before="180" w:after="180"/>
              <w:ind w:right="-29"/>
              <w:jc w:val="center"/>
              <w:rPr>
                <w:noProof/>
                <w:sz w:val="18"/>
                <w:szCs w:val="18"/>
              </w:rPr>
            </w:pPr>
            <w:r>
              <w:rPr>
                <w:noProof/>
                <w:sz w:val="18"/>
              </w:rPr>
              <w:t>21,470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Szacunkowy wpływ na środki administracyjne</w:t>
      </w:r>
    </w:p>
    <w:p>
      <w:pPr>
        <w:pStyle w:val="ManualHeading4"/>
        <w:rPr>
          <w:noProof/>
        </w:rPr>
      </w:pPr>
      <w:r>
        <w:t>3.2.3.1.</w:t>
      </w:r>
      <w:r>
        <w:tab/>
      </w:r>
      <w:r>
        <w:rPr>
          <w:noProof/>
        </w:rPr>
        <w:t xml:space="preserve">Streszczenie </w:t>
      </w:r>
    </w:p>
    <w:p>
      <w:pPr>
        <w:pStyle w:val="ListDash1"/>
        <w:rPr>
          <w:noProof/>
        </w:rPr>
      </w:pPr>
      <w:r>
        <w:rPr>
          <w:noProof/>
        </w:rPr>
        <w:sym w:font="Wingdings" w:char="F0A8"/>
      </w:r>
      <w:r>
        <w:rPr>
          <w:noProof/>
        </w:rPr>
        <w:tab/>
        <w:t xml:space="preserve">Wniosek/inicjatywa nie wiąże się z koniecznością wykorzystania środków administracyjnych </w:t>
      </w:r>
    </w:p>
    <w:p>
      <w:pPr>
        <w:pStyle w:val="ListDash1"/>
        <w:rPr>
          <w:noProof/>
        </w:rPr>
      </w:pPr>
      <w:r>
        <w:rPr>
          <w:noProof/>
        </w:rPr>
        <w:sym w:font="Wingdings" w:char="F0FD"/>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tcPr>
          <w:p>
            <w:pPr>
              <w:spacing w:before="60" w:after="60" w:line="200" w:lineRule="exact"/>
              <w:rPr>
                <w:noProof/>
                <w:sz w:val="16"/>
                <w:szCs w:val="16"/>
              </w:rPr>
            </w:pPr>
          </w:p>
        </w:tc>
        <w:tc>
          <w:tcPr>
            <w:tcW w:w="2604"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2019</w:t>
            </w:r>
            <w:r>
              <w:rPr>
                <w:rStyle w:val="FootnoteReference"/>
                <w:b/>
                <w:noProof/>
                <w:sz w:val="16"/>
              </w:rPr>
              <w:footnoteReference w:id="38"/>
            </w:r>
          </w:p>
        </w:tc>
        <w:tc>
          <w:tcPr>
            <w:tcW w:w="2604"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2020</w:t>
            </w:r>
          </w:p>
        </w:tc>
        <w:tc>
          <w:tcPr>
            <w:tcW w:w="2604" w:type="dxa"/>
            <w:vAlign w:val="center"/>
          </w:tcPr>
          <w:p>
            <w:pPr>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5</w:t>
            </w:r>
            <w:r>
              <w:rPr>
                <w:noProof/>
                <w:sz w:val="22"/>
              </w:rPr>
              <w:t xml:space="preserve"> </w:t>
            </w:r>
            <w:r>
              <w:rPr>
                <w:b/>
                <w:noProof/>
                <w:sz w:val="16"/>
              </w:rPr>
              <w:t>wieloletnich ram finansowych</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2604" w:type="dxa"/>
            <w:vAlign w:val="center"/>
          </w:tcPr>
          <w:p>
            <w:pPr>
              <w:spacing w:before="60" w:after="60" w:line="200" w:lineRule="exact"/>
              <w:jc w:val="right"/>
              <w:rPr>
                <w:noProof/>
                <w:sz w:val="16"/>
                <w:szCs w:val="16"/>
              </w:rPr>
            </w:pPr>
            <w:r>
              <w:rPr>
                <w:noProof/>
                <w:sz w:val="16"/>
              </w:rPr>
              <w:t>11,850</w:t>
            </w:r>
          </w:p>
        </w:tc>
        <w:tc>
          <w:tcPr>
            <w:tcW w:w="2604" w:type="dxa"/>
            <w:vAlign w:val="center"/>
          </w:tcPr>
          <w:p>
            <w:pPr>
              <w:spacing w:before="60" w:after="60" w:line="200" w:lineRule="exact"/>
              <w:jc w:val="right"/>
              <w:rPr>
                <w:noProof/>
                <w:sz w:val="16"/>
                <w:szCs w:val="16"/>
              </w:rPr>
            </w:pPr>
            <w:r>
              <w:rPr>
                <w:noProof/>
                <w:sz w:val="16"/>
              </w:rPr>
              <w:t>11,883</w:t>
            </w:r>
          </w:p>
        </w:tc>
        <w:tc>
          <w:tcPr>
            <w:tcW w:w="2604" w:type="dxa"/>
            <w:vAlign w:val="center"/>
          </w:tcPr>
          <w:p>
            <w:pPr>
              <w:spacing w:before="60" w:after="60" w:line="200" w:lineRule="exact"/>
              <w:jc w:val="right"/>
              <w:rPr>
                <w:b/>
                <w:noProof/>
                <w:sz w:val="16"/>
                <w:szCs w:val="16"/>
              </w:rPr>
            </w:pPr>
            <w:r>
              <w:rPr>
                <w:b/>
                <w:noProof/>
                <w:sz w:val="16"/>
              </w:rPr>
              <w:t>23,733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administracyjne </w:t>
            </w:r>
          </w:p>
        </w:tc>
        <w:tc>
          <w:tcPr>
            <w:tcW w:w="2604" w:type="dxa"/>
            <w:vAlign w:val="center"/>
          </w:tcPr>
          <w:p>
            <w:pPr>
              <w:spacing w:before="60" w:after="60" w:line="200" w:lineRule="exact"/>
              <w:jc w:val="right"/>
              <w:rPr>
                <w:noProof/>
                <w:sz w:val="16"/>
                <w:szCs w:val="16"/>
              </w:rPr>
            </w:pPr>
            <w:r>
              <w:rPr>
                <w:noProof/>
                <w:sz w:val="16"/>
              </w:rPr>
              <w:t>0,625</w:t>
            </w:r>
          </w:p>
        </w:tc>
        <w:tc>
          <w:tcPr>
            <w:tcW w:w="2604" w:type="dxa"/>
            <w:vAlign w:val="center"/>
          </w:tcPr>
          <w:p>
            <w:pPr>
              <w:spacing w:before="60" w:after="60" w:line="200" w:lineRule="exact"/>
              <w:jc w:val="right"/>
              <w:rPr>
                <w:noProof/>
                <w:sz w:val="16"/>
                <w:szCs w:val="16"/>
              </w:rPr>
            </w:pPr>
            <w:r>
              <w:rPr>
                <w:noProof/>
                <w:sz w:val="16"/>
              </w:rPr>
              <w:t>0,625</w:t>
            </w:r>
          </w:p>
        </w:tc>
        <w:tc>
          <w:tcPr>
            <w:tcW w:w="2604" w:type="dxa"/>
            <w:vAlign w:val="center"/>
          </w:tcPr>
          <w:p>
            <w:pPr>
              <w:spacing w:before="60" w:after="60" w:line="200" w:lineRule="exact"/>
              <w:jc w:val="right"/>
              <w:rPr>
                <w:b/>
                <w:noProof/>
                <w:sz w:val="16"/>
                <w:szCs w:val="16"/>
              </w:rPr>
            </w:pPr>
            <w:r>
              <w:rPr>
                <w:b/>
                <w:noProof/>
                <w:sz w:val="16"/>
              </w:rPr>
              <w:t>1,250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Suma cząstkowa – DZIAŁ 5</w:t>
            </w:r>
            <w:r>
              <w:rPr>
                <w:noProof/>
                <w:sz w:val="22"/>
              </w:rPr>
              <w:t xml:space="preserve"> </w:t>
            </w:r>
            <w:r>
              <w:rPr>
                <w:b/>
                <w:noProof/>
                <w:sz w:val="16"/>
              </w:rPr>
              <w:t xml:space="preserve">wieloletnich ram finansowych </w:t>
            </w:r>
          </w:p>
        </w:tc>
        <w:tc>
          <w:tcPr>
            <w:tcW w:w="2604" w:type="dxa"/>
            <w:vAlign w:val="center"/>
          </w:tcPr>
          <w:p>
            <w:pPr>
              <w:spacing w:before="60" w:after="60" w:line="200" w:lineRule="exact"/>
              <w:jc w:val="right"/>
              <w:rPr>
                <w:noProof/>
                <w:sz w:val="16"/>
                <w:szCs w:val="16"/>
              </w:rPr>
            </w:pPr>
            <w:r>
              <w:rPr>
                <w:noProof/>
                <w:sz w:val="16"/>
              </w:rPr>
              <w:t>12,475</w:t>
            </w:r>
          </w:p>
        </w:tc>
        <w:tc>
          <w:tcPr>
            <w:tcW w:w="2604" w:type="dxa"/>
            <w:vAlign w:val="center"/>
          </w:tcPr>
          <w:p>
            <w:pPr>
              <w:spacing w:before="60" w:after="60" w:line="200" w:lineRule="exact"/>
              <w:jc w:val="right"/>
              <w:rPr>
                <w:noProof/>
                <w:sz w:val="16"/>
                <w:szCs w:val="16"/>
              </w:rPr>
            </w:pPr>
            <w:r>
              <w:rPr>
                <w:noProof/>
                <w:sz w:val="16"/>
              </w:rPr>
              <w:t>12,508</w:t>
            </w:r>
          </w:p>
        </w:tc>
        <w:tc>
          <w:tcPr>
            <w:tcW w:w="2604" w:type="dxa"/>
            <w:vAlign w:val="center"/>
          </w:tcPr>
          <w:p>
            <w:pPr>
              <w:spacing w:before="60" w:after="60" w:line="200" w:lineRule="exact"/>
              <w:jc w:val="right"/>
              <w:rPr>
                <w:b/>
                <w:noProof/>
                <w:sz w:val="16"/>
                <w:szCs w:val="16"/>
              </w:rPr>
            </w:pPr>
            <w:r>
              <w:rPr>
                <w:b/>
                <w:noProof/>
                <w:sz w:val="16"/>
              </w:rPr>
              <w:t>24,983</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Poza DZIAŁEM 5</w:t>
            </w:r>
            <w:r>
              <w:rPr>
                <w:rStyle w:val="FootnoteReference"/>
                <w:b/>
                <w:noProof/>
                <w:sz w:val="16"/>
              </w:rPr>
              <w:footnoteReference w:id="39"/>
            </w:r>
            <w:r>
              <w:rPr>
                <w:noProof/>
                <w:sz w:val="22"/>
              </w:rPr>
              <w:t xml:space="preserve"> </w:t>
            </w:r>
            <w:r>
              <w:rPr>
                <w:b/>
                <w:noProof/>
                <w:sz w:val="16"/>
              </w:rPr>
              <w:t xml:space="preserve">wieloletnich ram finansowych </w:t>
            </w:r>
          </w:p>
          <w:p>
            <w:pPr>
              <w:spacing w:after="0" w:line="200" w:lineRule="exact"/>
              <w:jc w:val="center"/>
              <w:rPr>
                <w:b/>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Pozostałe wydatki</w:t>
            </w:r>
            <w:r>
              <w:rPr>
                <w:noProof/>
                <w:sz w:val="22"/>
              </w:rPr>
              <w:t xml:space="preserve"> </w:t>
            </w:r>
            <w:r>
              <w:rPr>
                <w:noProof/>
                <w:sz w:val="16"/>
              </w:rPr>
              <w:t>administracyjne</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Suma cząstkowa –</w:t>
            </w:r>
            <w:r>
              <w:rPr>
                <w:noProof/>
                <w:sz w:val="22"/>
              </w:rPr>
              <w:t xml:space="preserve"> </w:t>
            </w:r>
            <w:r>
              <w:rPr>
                <w:b/>
                <w:noProof/>
                <w:sz w:val="16"/>
              </w:rPr>
              <w:t>poza DZIAŁEM 5</w:t>
            </w:r>
            <w:r>
              <w:rPr>
                <w:noProof/>
                <w:sz w:val="22"/>
              </w:rPr>
              <w:t xml:space="preserve"> </w:t>
            </w:r>
            <w:r>
              <w:rPr>
                <w:b/>
                <w:noProof/>
                <w:sz w:val="16"/>
              </w:rPr>
              <w:t xml:space="preserve">wieloletnich ram finansowych </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792" w:type="dxa"/>
        <w:tblInd w:w="-612" w:type="dxa"/>
        <w:tblLayout w:type="fixed"/>
        <w:tblLook w:val="01E0" w:firstRow="1" w:lastRow="1" w:firstColumn="1" w:lastColumn="1" w:noHBand="0" w:noVBand="0"/>
      </w:tblPr>
      <w:tblGrid>
        <w:gridCol w:w="1980"/>
        <w:gridCol w:w="2604"/>
        <w:gridCol w:w="2604"/>
        <w:gridCol w:w="26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26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12,475</w:t>
            </w:r>
          </w:p>
        </w:tc>
        <w:tc>
          <w:tcPr>
            <w:tcW w:w="26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12,508</w:t>
            </w:r>
          </w:p>
        </w:tc>
        <w:tc>
          <w:tcPr>
            <w:tcW w:w="2604"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24,983</w:t>
            </w:r>
          </w:p>
        </w:tc>
      </w:tr>
    </w:tbl>
    <w:p>
      <w:pPr>
        <w:rPr>
          <w:noProof/>
          <w:sz w:val="18"/>
        </w:r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Szacowane zapotrzebowanie na zasoby ludzkie</w:t>
      </w:r>
    </w:p>
    <w:p>
      <w:pPr>
        <w:pStyle w:val="ListDash1"/>
        <w:rPr>
          <w:noProof/>
        </w:rPr>
      </w:pPr>
      <w:r>
        <w:rPr>
          <w:noProof/>
        </w:rPr>
        <w:sym w:font="Wingdings" w:char="F0A8"/>
      </w:r>
      <w:r>
        <w:rPr>
          <w:noProof/>
        </w:rPr>
        <w:tab/>
        <w:t xml:space="preserve">Wniosek/inicjatywa nie wiąże się z koniecznością wykorzystania zasobów ludzkich. </w:t>
      </w:r>
    </w:p>
    <w:p>
      <w:pPr>
        <w:pStyle w:val="ListDash1"/>
        <w:rPr>
          <w:noProof/>
        </w:rPr>
      </w:pPr>
      <w:r>
        <w:rPr>
          <w:noProof/>
        </w:rPr>
        <w:sym w:font="Wingdings" w:char="F0FD"/>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3300" w:type="pct"/>
        <w:jc w:val="center"/>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57"/>
        <w:gridCol w:w="1954"/>
        <w:gridCol w:w="1059"/>
        <w:gridCol w:w="1059"/>
      </w:tblGrid>
      <w:tr>
        <w:trPr>
          <w:trHeight w:val="289"/>
          <w:jc w:val="center"/>
        </w:trPr>
        <w:tc>
          <w:tcPr>
            <w:tcW w:w="3272" w:type="pct"/>
            <w:gridSpan w:val="2"/>
            <w:shd w:val="clear" w:color="auto" w:fill="auto"/>
          </w:tcPr>
          <w:p>
            <w:pPr>
              <w:pStyle w:val="Text1"/>
              <w:spacing w:before="40" w:after="40"/>
              <w:jc w:val="center"/>
              <w:rPr>
                <w:i/>
                <w:noProof/>
                <w:sz w:val="16"/>
                <w:szCs w:val="16"/>
              </w:rPr>
            </w:pPr>
          </w:p>
        </w:tc>
        <w:tc>
          <w:tcPr>
            <w:tcW w:w="864"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2019</w:t>
            </w:r>
          </w:p>
        </w:tc>
        <w:tc>
          <w:tcPr>
            <w:tcW w:w="864"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2020</w:t>
            </w:r>
          </w:p>
        </w:tc>
      </w:tr>
      <w:tr>
        <w:trPr>
          <w:trHeight w:val="289"/>
          <w:jc w:val="center"/>
        </w:trPr>
        <w:tc>
          <w:tcPr>
            <w:tcW w:w="5000" w:type="pct"/>
            <w:gridSpan w:val="4"/>
            <w:shd w:val="clear" w:color="auto" w:fill="auto"/>
          </w:tcPr>
          <w:p>
            <w:pPr>
              <w:spacing w:before="20" w:after="20"/>
              <w:rPr>
                <w:noProof/>
                <w:sz w:val="16"/>
                <w:szCs w:val="16"/>
              </w:rPr>
            </w:pPr>
            <w:r>
              <w:rPr>
                <w:b/>
                <w:noProof/>
                <w:sz w:val="16"/>
              </w:rPr>
              <w:sym w:font="Wingdings" w:char="F09F"/>
            </w:r>
            <w:r>
              <w:rPr>
                <w:b/>
                <w:noProof/>
                <w:sz w:val="16"/>
              </w:rPr>
              <w:t xml:space="preserve"> Stanowiska przewidziane w planie zatrudnienia (stanowiska urzędników i pracowników zatrudnionych na czas określony)</w:t>
            </w: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(w centrali i w biurach przedstawicielstw Komisji)</w:t>
            </w:r>
          </w:p>
        </w:tc>
        <w:tc>
          <w:tcPr>
            <w:tcW w:w="864" w:type="pct"/>
            <w:shd w:val="clear" w:color="auto" w:fill="auto"/>
            <w:vAlign w:val="center"/>
          </w:tcPr>
          <w:p>
            <w:pPr>
              <w:spacing w:beforeLines="20" w:before="48" w:afterLines="20" w:after="48"/>
              <w:jc w:val="center"/>
              <w:rPr>
                <w:noProof/>
                <w:sz w:val="16"/>
                <w:szCs w:val="16"/>
              </w:rPr>
            </w:pPr>
            <w:r>
              <w:rPr>
                <w:noProof/>
                <w:sz w:val="16"/>
              </w:rPr>
              <w:t>74,67</w:t>
            </w:r>
          </w:p>
        </w:tc>
        <w:tc>
          <w:tcPr>
            <w:tcW w:w="864" w:type="pct"/>
            <w:shd w:val="clear" w:color="auto" w:fill="auto"/>
            <w:vAlign w:val="center"/>
          </w:tcPr>
          <w:p>
            <w:pPr>
              <w:spacing w:beforeLines="20" w:before="48" w:afterLines="20" w:after="48"/>
              <w:jc w:val="center"/>
              <w:rPr>
                <w:noProof/>
                <w:sz w:val="16"/>
                <w:szCs w:val="16"/>
              </w:rPr>
            </w:pPr>
            <w:r>
              <w:rPr>
                <w:noProof/>
                <w:sz w:val="16"/>
              </w:rPr>
              <w:t>74,92</w:t>
            </w: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(w delegaturach)</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(pośrednie badania naukowe)</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(bezpośrednie badania naukowe)</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4"/>
            <w:shd w:val="clear" w:color="auto" w:fill="auto"/>
            <w:vAlign w:val="center"/>
          </w:tcPr>
          <w:p>
            <w:pPr>
              <w:spacing w:before="20" w:after="20"/>
              <w:rPr>
                <w:b/>
                <w:noProof/>
                <w:sz w:val="16"/>
              </w:rPr>
            </w:pPr>
            <w:r>
              <w:rPr>
                <w:b/>
                <w:noProof/>
                <w:sz w:val="16"/>
              </w:rPr>
              <w:sym w:font="Wingdings" w:char="F09F"/>
            </w:r>
            <w:r>
              <w:rPr>
                <w:b/>
                <w:noProof/>
                <w:sz w:val="16"/>
              </w:rPr>
              <w:t>Personel zewnętrzny (w ekwiwalentach pełnego czasu pracy: EPC)</w:t>
            </w:r>
            <w:r>
              <w:rPr>
                <w:rStyle w:val="FootnoteReference"/>
                <w:noProof/>
              </w:rPr>
              <w:footnoteReference w:id="40"/>
            </w:r>
          </w:p>
          <w:p>
            <w:pPr>
              <w:spacing w:before="20" w:after="20"/>
              <w:rPr>
                <w:b/>
                <w:noProof/>
                <w:sz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29 01 02 01 (AC, END, INT z globalnej koperty finansowej)</w:t>
            </w:r>
          </w:p>
        </w:tc>
        <w:tc>
          <w:tcPr>
            <w:tcW w:w="864" w:type="pct"/>
            <w:shd w:val="clear" w:color="auto" w:fill="auto"/>
            <w:vAlign w:val="center"/>
          </w:tcPr>
          <w:p>
            <w:pPr>
              <w:spacing w:beforeLines="20" w:before="48" w:afterLines="20" w:after="48"/>
              <w:jc w:val="center"/>
              <w:rPr>
                <w:noProof/>
                <w:sz w:val="16"/>
                <w:szCs w:val="16"/>
              </w:rPr>
            </w:pPr>
            <w:r>
              <w:rPr>
                <w:noProof/>
                <w:sz w:val="16"/>
              </w:rPr>
              <w:t>25</w:t>
            </w:r>
          </w:p>
        </w:tc>
        <w:tc>
          <w:tcPr>
            <w:tcW w:w="864" w:type="pct"/>
            <w:shd w:val="clear" w:color="auto" w:fill="auto"/>
            <w:vAlign w:val="center"/>
          </w:tcPr>
          <w:p>
            <w:pPr>
              <w:spacing w:beforeLines="20" w:before="48" w:afterLines="20" w:after="48"/>
              <w:jc w:val="center"/>
              <w:rPr>
                <w:noProof/>
                <w:sz w:val="16"/>
                <w:szCs w:val="16"/>
              </w:rPr>
            </w:pPr>
            <w:r>
              <w:rPr>
                <w:noProof/>
                <w:sz w:val="16"/>
              </w:rPr>
              <w:t>25</w:t>
            </w: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i JED w delegaturach)</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167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 01 04 yy</w:t>
            </w:r>
            <w:r>
              <w:rPr>
                <w:b/>
                <w:i/>
                <w:noProof/>
                <w:sz w:val="16"/>
              </w:rPr>
              <w:t xml:space="preserve"> </w:t>
            </w:r>
            <w:r>
              <w:rPr>
                <w:rStyle w:val="FootnoteReference"/>
                <w:b/>
                <w:i/>
                <w:noProof/>
                <w:sz w:val="16"/>
              </w:rPr>
              <w:footnoteReference w:id="41"/>
            </w:r>
          </w:p>
          <w:p>
            <w:pPr>
              <w:pStyle w:val="Text1"/>
              <w:spacing w:beforeLines="20" w:before="48" w:afterLines="20" w:after="48"/>
              <w:ind w:left="136"/>
              <w:jc w:val="left"/>
              <w:rPr>
                <w:b/>
                <w:noProof/>
                <w:sz w:val="16"/>
                <w:szCs w:val="16"/>
              </w:rPr>
            </w:pPr>
          </w:p>
        </w:tc>
        <w:tc>
          <w:tcPr>
            <w:tcW w:w="1594" w:type="pct"/>
            <w:shd w:val="clear" w:color="auto" w:fill="auto"/>
            <w:vAlign w:val="center"/>
          </w:tcPr>
          <w:p>
            <w:pPr>
              <w:pStyle w:val="Text1"/>
              <w:spacing w:beforeLines="20" w:before="48" w:afterLines="20" w:after="48"/>
              <w:ind w:left="136"/>
              <w:jc w:val="left"/>
              <w:rPr>
                <w:b/>
                <w:noProof/>
                <w:sz w:val="16"/>
                <w:szCs w:val="16"/>
              </w:rPr>
            </w:pPr>
            <w:r>
              <w:rPr>
                <w:noProof/>
                <w:sz w:val="16"/>
              </w:rPr>
              <w:t>- w centrali</w:t>
            </w:r>
          </w:p>
          <w:p>
            <w:pPr>
              <w:pStyle w:val="Text1"/>
              <w:spacing w:beforeLines="20" w:before="48" w:afterLines="20" w:after="48"/>
              <w:ind w:left="136"/>
              <w:jc w:val="left"/>
              <w:rPr>
                <w:b/>
                <w:noProof/>
                <w:sz w:val="16"/>
                <w:szCs w:val="16"/>
              </w:rPr>
            </w:pPr>
          </w:p>
        </w:tc>
        <w:tc>
          <w:tcPr>
            <w:tcW w:w="864" w:type="pct"/>
            <w:shd w:val="clear" w:color="auto" w:fill="auto"/>
            <w:vAlign w:val="center"/>
          </w:tcPr>
          <w:p>
            <w:pPr>
              <w:pStyle w:val="Text1"/>
              <w:spacing w:beforeLines="20" w:before="48" w:afterLines="20" w:after="48"/>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1678" w:type="pct"/>
            <w:vMerge/>
            <w:shd w:val="clear" w:color="auto" w:fill="auto"/>
            <w:vAlign w:val="center"/>
          </w:tcPr>
          <w:p>
            <w:pPr>
              <w:pStyle w:val="Text1"/>
              <w:spacing w:beforeLines="20" w:before="48" w:afterLines="20" w:after="48"/>
              <w:ind w:left="136"/>
              <w:jc w:val="left"/>
              <w:rPr>
                <w:b/>
                <w:noProof/>
                <w:sz w:val="16"/>
                <w:szCs w:val="16"/>
              </w:rPr>
            </w:pPr>
          </w:p>
        </w:tc>
        <w:tc>
          <w:tcPr>
            <w:tcW w:w="1594"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w delegaturach </w:t>
            </w:r>
          </w:p>
        </w:tc>
        <w:tc>
          <w:tcPr>
            <w:tcW w:w="864" w:type="pct"/>
            <w:shd w:val="clear" w:color="auto" w:fill="auto"/>
            <w:vAlign w:val="center"/>
          </w:tcPr>
          <w:p>
            <w:pPr>
              <w:pStyle w:val="Text1"/>
              <w:spacing w:beforeLines="20" w:before="48" w:afterLines="20" w:after="48"/>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pośrednie badania naukowe)</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bezpośrednie badania naukowe)</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Inna linia budżetowa (określić)</w:t>
            </w:r>
          </w:p>
        </w:tc>
        <w:tc>
          <w:tcPr>
            <w:tcW w:w="86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64"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OGÓŁEM</w:t>
            </w:r>
          </w:p>
        </w:tc>
        <w:tc>
          <w:tcPr>
            <w:tcW w:w="86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99,67</w:t>
            </w:r>
          </w:p>
        </w:tc>
        <w:tc>
          <w:tcPr>
            <w:tcW w:w="86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99,92</w:t>
            </w:r>
          </w:p>
        </w:tc>
      </w:tr>
    </w:tbl>
    <w:p>
      <w:pPr>
        <w:pStyle w:val="Text1"/>
        <w:spacing w:before="60" w:after="60"/>
        <w:ind w:left="851"/>
        <w:rPr>
          <w:noProof/>
          <w:sz w:val="18"/>
          <w:szCs w:val="18"/>
        </w:rPr>
      </w:pPr>
      <w:r>
        <w:rPr>
          <w:b/>
          <w:noProof/>
          <w:sz w:val="18"/>
        </w:rPr>
        <w:t>XX</w:t>
      </w:r>
      <w:r>
        <w:rPr>
          <w:noProof/>
          <w:sz w:val="18"/>
        </w:rPr>
        <w:t xml:space="preserve"> oznacza odpowiednią dziedzinę polityki lub odpowiedni tytuł w budżecie.</w:t>
      </w:r>
    </w:p>
    <w:p>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rPr>
                <w:noProof/>
                <w:sz w:val="20"/>
              </w:rPr>
            </w:pPr>
            <w:r>
              <w:rPr>
                <w:noProof/>
                <w:sz w:val="20"/>
              </w:rPr>
              <w:t>Prace metodyczne, w tym również na rzecz badań pilotażowych</w:t>
            </w:r>
          </w:p>
          <w:p>
            <w:pPr>
              <w:rPr>
                <w:noProof/>
                <w:sz w:val="20"/>
              </w:rPr>
            </w:pPr>
            <w:r>
              <w:rPr>
                <w:noProof/>
                <w:sz w:val="20"/>
              </w:rPr>
              <w:t>Prace IT w zakresie odbierania, zatwierdzania i przetwarzania danych</w:t>
            </w:r>
          </w:p>
          <w:p>
            <w:pPr>
              <w:rPr>
                <w:noProof/>
                <w:sz w:val="20"/>
              </w:rPr>
            </w:pPr>
            <w:r>
              <w:rPr>
                <w:noProof/>
                <w:sz w:val="20"/>
              </w:rPr>
              <w:t>Analiza i udostępnianie danych oraz wsparcie użytkowników</w:t>
            </w:r>
          </w:p>
        </w:tc>
      </w:tr>
      <w:tr>
        <w:tc>
          <w:tcPr>
            <w:tcW w:w="3240" w:type="dxa"/>
          </w:tcPr>
          <w:p>
            <w:pPr>
              <w:spacing w:before="60" w:after="60"/>
              <w:rPr>
                <w:noProof/>
                <w:sz w:val="20"/>
              </w:rPr>
            </w:pPr>
            <w:r>
              <w:rPr>
                <w:noProof/>
                <w:sz w:val="20"/>
              </w:rPr>
              <w:t>Personel zewnętrzny</w:t>
            </w:r>
          </w:p>
        </w:tc>
        <w:tc>
          <w:tcPr>
            <w:tcW w:w="7200" w:type="dxa"/>
          </w:tcPr>
          <w:p>
            <w:pPr>
              <w:rPr>
                <w:noProof/>
                <w:sz w:val="20"/>
              </w:rPr>
            </w:pPr>
            <w:r>
              <w:rPr>
                <w:noProof/>
                <w:sz w:val="20"/>
              </w:rPr>
              <w:t>Prace metodyczne, w tym również na rzecz badań pilotażowych</w:t>
            </w:r>
          </w:p>
          <w:p>
            <w:pPr>
              <w:rPr>
                <w:noProof/>
                <w:sz w:val="20"/>
              </w:rPr>
            </w:pPr>
            <w:r>
              <w:rPr>
                <w:noProof/>
                <w:sz w:val="20"/>
              </w:rPr>
              <w:t>Prace IT w zakresie odbierania, zatwierdzania i przetwarzania danych</w:t>
            </w:r>
          </w:p>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Zgodność z obowiązującymi wieloletnimi ramami finansowymi </w:t>
      </w:r>
    </w:p>
    <w:p>
      <w:pPr>
        <w:pStyle w:val="ListDash1"/>
        <w:rPr>
          <w:noProof/>
        </w:rPr>
      </w:pPr>
      <w:r>
        <w:rPr>
          <w:noProof/>
        </w:rPr>
        <w:sym w:font="Wingdings" w:char="F0FD"/>
      </w:r>
      <w:r>
        <w:rPr>
          <w:noProof/>
        </w:rPr>
        <w:tab/>
        <w:t>Wniosek/inicjatywa jest zgodny(-a) z obowiązującymi wieloletnimi ramami finansowymi.</w:t>
      </w:r>
    </w:p>
    <w:p>
      <w:pPr>
        <w:pStyle w:val="ListDash1"/>
        <w:rPr>
          <w:noProof/>
        </w:rPr>
      </w:pPr>
      <w:r>
        <w:rPr>
          <w:noProof/>
        </w:rPr>
        <w:sym w:font="Wingdings" w:char="F0A8"/>
      </w:r>
      <w:r>
        <w:rPr>
          <w:noProof/>
        </w:rPr>
        <w:tab/>
        <w:t>Wniosek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ListDash1"/>
        <w:rPr>
          <w:noProof/>
        </w:rPr>
      </w:pPr>
      <w:r>
        <w:rPr>
          <w:noProof/>
        </w:rPr>
        <w:sym w:font="Wingdings" w:char="F0A8"/>
      </w:r>
      <w:r>
        <w:rPr>
          <w:noProof/>
        </w:rPr>
        <w:tab/>
        <w:t>Wniosek/inicjatywa wymaga zastosowania instrumentu elastyczności lub zmiany wieloletnich ram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 xml:space="preserve">Udział osób trzecich w finansowaniu </w:t>
      </w:r>
    </w:p>
    <w:p>
      <w:pPr>
        <w:pStyle w:val="ListDash1"/>
        <w:rPr>
          <w:noProof/>
        </w:rPr>
      </w:pPr>
      <w:r>
        <w:rPr>
          <w:noProof/>
        </w:rPr>
        <w:t xml:space="preserve">Wniosek/inicjatywa nie przewiduje współfinansowania ze strony osób trzecich </w:t>
      </w:r>
    </w:p>
    <w:p>
      <w:pPr>
        <w:pStyle w:val="ListDash1"/>
        <w:rPr>
          <w:noProof/>
        </w:rPr>
      </w:pPr>
      <w:r>
        <w:rPr>
          <w:noProof/>
        </w:rPr>
        <w:t>Wniosek/inicjatywa przewiduje współfinansowanie szacowane zgodnie z poniższym:</w:t>
      </w:r>
    </w:p>
    <w:p>
      <w:pPr>
        <w:jc w:val="right"/>
        <w:rPr>
          <w:noProof/>
          <w:sz w:val="20"/>
        </w:rPr>
      </w:pPr>
      <w:r>
        <w:rPr>
          <w:noProof/>
          <w:sz w:val="20"/>
        </w:rPr>
        <w:t>Środki w mln EUR (do trzech miejsc po przecinku)</w:t>
      </w:r>
    </w:p>
    <w:tbl>
      <w:tblPr>
        <w:tblW w:w="9754"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2471"/>
        <w:gridCol w:w="2471"/>
        <w:gridCol w:w="2472"/>
      </w:tblGrid>
      <w:tr>
        <w:trPr>
          <w:cantSplit/>
        </w:trPr>
        <w:tc>
          <w:tcPr>
            <w:tcW w:w="2340" w:type="dxa"/>
          </w:tcPr>
          <w:p>
            <w:pPr>
              <w:spacing w:before="60" w:after="60"/>
              <w:rPr>
                <w:noProof/>
                <w:sz w:val="20"/>
              </w:rPr>
            </w:pPr>
          </w:p>
        </w:tc>
        <w:tc>
          <w:tcPr>
            <w:tcW w:w="2471" w:type="dxa"/>
            <w:vAlign w:val="center"/>
          </w:tcPr>
          <w:p>
            <w:pPr>
              <w:jc w:val="center"/>
              <w:rPr>
                <w:noProof/>
                <w:sz w:val="20"/>
              </w:rPr>
            </w:pPr>
            <w:r>
              <w:rPr>
                <w:noProof/>
                <w:sz w:val="20"/>
              </w:rPr>
              <w:t>2019</w:t>
            </w:r>
          </w:p>
        </w:tc>
        <w:tc>
          <w:tcPr>
            <w:tcW w:w="2471" w:type="dxa"/>
            <w:vAlign w:val="center"/>
          </w:tcPr>
          <w:p>
            <w:pPr>
              <w:jc w:val="center"/>
              <w:rPr>
                <w:noProof/>
                <w:sz w:val="20"/>
              </w:rPr>
            </w:pPr>
            <w:r>
              <w:rPr>
                <w:noProof/>
                <w:sz w:val="20"/>
              </w:rPr>
              <w:t>2020</w:t>
            </w:r>
          </w:p>
        </w:tc>
        <w:tc>
          <w:tcPr>
            <w:tcW w:w="2472" w:type="dxa"/>
            <w:vAlign w:val="center"/>
          </w:tcPr>
          <w:p>
            <w:pPr>
              <w:spacing w:before="60" w:after="60"/>
              <w:jc w:val="center"/>
              <w:rPr>
                <w:noProof/>
                <w:sz w:val="20"/>
              </w:rPr>
            </w:pPr>
            <w:r>
              <w:rPr>
                <w:noProof/>
                <w:sz w:val="20"/>
              </w:rPr>
              <w:t>Ogółem</w:t>
            </w:r>
          </w:p>
        </w:tc>
      </w:tr>
      <w:tr>
        <w:trPr>
          <w:cantSplit/>
        </w:trPr>
        <w:tc>
          <w:tcPr>
            <w:tcW w:w="2340" w:type="dxa"/>
          </w:tcPr>
          <w:p>
            <w:pPr>
              <w:rPr>
                <w:noProof/>
              </w:rPr>
            </w:pPr>
            <w:r>
              <w:rPr>
                <w:noProof/>
                <w:sz w:val="20"/>
              </w:rPr>
              <w:t>Określić organ współfinansujący</w:t>
            </w:r>
            <w:r>
              <w:rPr>
                <w:i/>
                <w:noProof/>
                <w:sz w:val="20"/>
              </w:rPr>
              <w:t xml:space="preserve"> </w:t>
            </w:r>
          </w:p>
        </w:tc>
        <w:tc>
          <w:tcPr>
            <w:tcW w:w="2471" w:type="dxa"/>
            <w:vAlign w:val="center"/>
          </w:tcPr>
          <w:p>
            <w:pPr>
              <w:spacing w:before="60" w:after="60"/>
              <w:jc w:val="center"/>
              <w:rPr>
                <w:noProof/>
                <w:sz w:val="20"/>
              </w:rPr>
            </w:pPr>
            <w:r>
              <w:rPr>
                <w:noProof/>
                <w:sz w:val="20"/>
              </w:rPr>
              <w:t>p.m.</w:t>
            </w:r>
          </w:p>
        </w:tc>
        <w:tc>
          <w:tcPr>
            <w:tcW w:w="2471" w:type="dxa"/>
            <w:vAlign w:val="center"/>
          </w:tcPr>
          <w:p>
            <w:pPr>
              <w:spacing w:before="60" w:after="60"/>
              <w:jc w:val="center"/>
              <w:rPr>
                <w:noProof/>
                <w:sz w:val="20"/>
              </w:rPr>
            </w:pPr>
            <w:r>
              <w:rPr>
                <w:noProof/>
                <w:sz w:val="20"/>
              </w:rPr>
              <w:t>p.m.</w:t>
            </w:r>
          </w:p>
        </w:tc>
        <w:tc>
          <w:tcPr>
            <w:tcW w:w="2472" w:type="dxa"/>
            <w:vAlign w:val="center"/>
          </w:tcPr>
          <w:p>
            <w:pPr>
              <w:spacing w:before="60" w:after="60"/>
              <w:jc w:val="center"/>
              <w:rPr>
                <w:noProof/>
                <w:sz w:val="20"/>
              </w:rPr>
            </w:pPr>
            <w:r>
              <w:rPr>
                <w:noProof/>
                <w:sz w:val="20"/>
              </w:rPr>
              <w:t>p.m.</w:t>
            </w:r>
          </w:p>
        </w:tc>
      </w:tr>
      <w:tr>
        <w:trPr>
          <w:cantSplit/>
        </w:trPr>
        <w:tc>
          <w:tcPr>
            <w:tcW w:w="2340" w:type="dxa"/>
          </w:tcPr>
          <w:p>
            <w:pPr>
              <w:spacing w:before="60" w:after="60"/>
              <w:jc w:val="left"/>
              <w:rPr>
                <w:noProof/>
                <w:sz w:val="20"/>
              </w:rPr>
            </w:pPr>
            <w:r>
              <w:rPr>
                <w:noProof/>
                <w:sz w:val="20"/>
              </w:rPr>
              <w:t xml:space="preserve">OGÓŁEM środki objęte współfinansowaniem </w:t>
            </w:r>
          </w:p>
        </w:tc>
        <w:tc>
          <w:tcPr>
            <w:tcW w:w="2471" w:type="dxa"/>
            <w:vAlign w:val="center"/>
          </w:tcPr>
          <w:p>
            <w:pPr>
              <w:spacing w:before="60" w:after="60"/>
              <w:jc w:val="center"/>
              <w:rPr>
                <w:noProof/>
                <w:sz w:val="20"/>
              </w:rPr>
            </w:pPr>
            <w:r>
              <w:rPr>
                <w:noProof/>
                <w:sz w:val="20"/>
              </w:rPr>
              <w:t>p.m.</w:t>
            </w:r>
          </w:p>
        </w:tc>
        <w:tc>
          <w:tcPr>
            <w:tcW w:w="2471" w:type="dxa"/>
            <w:vAlign w:val="center"/>
          </w:tcPr>
          <w:p>
            <w:pPr>
              <w:spacing w:before="60" w:after="60"/>
              <w:jc w:val="center"/>
              <w:rPr>
                <w:noProof/>
                <w:sz w:val="20"/>
              </w:rPr>
            </w:pPr>
            <w:r>
              <w:rPr>
                <w:noProof/>
                <w:sz w:val="20"/>
              </w:rPr>
              <w:t>p.m.</w:t>
            </w:r>
          </w:p>
        </w:tc>
        <w:tc>
          <w:tcPr>
            <w:tcW w:w="2472" w:type="dxa"/>
            <w:vAlign w:val="center"/>
          </w:tcPr>
          <w:p>
            <w:pPr>
              <w:spacing w:before="60" w:after="60"/>
              <w:jc w:val="center"/>
              <w:rPr>
                <w:noProof/>
                <w:sz w:val="20"/>
              </w:rPr>
            </w:pPr>
            <w:r>
              <w:rPr>
                <w:noProof/>
                <w:sz w:val="20"/>
              </w:rPr>
              <w:t>p.m.</w:t>
            </w:r>
          </w:p>
        </w:tc>
      </w:tr>
    </w:tbl>
    <w:p>
      <w:pPr>
        <w:pStyle w:val="Text1"/>
        <w:rPr>
          <w:rStyle w:val="Text2Cha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bCs/>
          <w:lang w:eastAsia="en-GB"/>
        </w:rPr>
      </w:pPr>
      <w:r>
        <w:rPr>
          <w:rStyle w:val="FootnoteReference"/>
        </w:rPr>
        <w:footnoteRef/>
      </w:r>
      <w:r>
        <w:tab/>
        <w:t>ESS jest partnerstwem pomiędzy europejskim organem statystycznym, którym jest Komisja (Eurostat), a krajowymi instytutami statystycznymi i innymi organami krajowymi odpowiedzialnymi w każdym państwie członkowskim za opracowywanie, tworzenie i rozpowszechnianie statystyki europejskiej.</w:t>
      </w:r>
    </w:p>
  </w:footnote>
  <w:footnote w:id="2">
    <w:p>
      <w:pPr>
        <w:pStyle w:val="Footnote"/>
      </w:pPr>
      <w:r>
        <w:rPr>
          <w:rStyle w:val="FootnoteReference"/>
        </w:rPr>
        <w:footnoteRef/>
      </w:r>
      <w:r>
        <w:tab/>
        <w:t>Rozporządzenie Parlamentu Europejskiego i Rady (UE) nr 99/2013 z dnia 15 stycznia 2013 r. w sprawie Europejskiego programu statystycznego 2013–2017 (Dz.U. L 39 z 9.2.2013, s. 12). Proponowane przedłużenie na lata 2018–2020, COM/2016/0557 final – 2016/0265</w:t>
      </w:r>
    </w:p>
    <w:p>
      <w:pPr>
        <w:pStyle w:val="FootnoteText"/>
      </w:pPr>
    </w:p>
  </w:footnote>
  <w:footnote w:id="3">
    <w:p>
      <w:pPr>
        <w:pStyle w:val="FootnoteText"/>
      </w:pPr>
      <w:r>
        <w:rPr>
          <w:rStyle w:val="FootnoteReference"/>
        </w:rPr>
        <w:footnoteRef/>
      </w:r>
      <w:r>
        <w:tab/>
        <w:t xml:space="preserve">Zob. </w:t>
      </w:r>
      <w:hyperlink r:id="rId1">
        <w:r>
          <w:rPr>
            <w:rStyle w:val="Hyperlink"/>
          </w:rPr>
          <w:t>http://ec.europa.eu/eurostat/web/quality/evaluation</w:t>
        </w:r>
      </w:hyperlink>
    </w:p>
  </w:footnote>
  <w:footnote w:id="4">
    <w:p>
      <w:pPr>
        <w:pStyle w:val="FootnoteText"/>
      </w:pPr>
      <w:r>
        <w:rPr>
          <w:rStyle w:val="FootnoteReference"/>
        </w:rPr>
        <w:footnoteRef/>
      </w:r>
      <w:r>
        <w:tab/>
      </w:r>
      <w:hyperlink r:id="rId2">
        <w:r>
          <w:rPr>
            <w:rStyle w:val="Hyperlink"/>
          </w:rPr>
          <w:t>http://ec.europa.eu/eurostat/documents/10186/7142348/ABS-Report.pdf</w:t>
        </w:r>
      </w:hyperlink>
      <w:r>
        <w:t xml:space="preserve">, </w:t>
      </w:r>
      <w:hyperlink r:id="rId3">
        <w:r>
          <w:rPr>
            <w:rStyle w:val="Hyperlink"/>
          </w:rPr>
          <w:t>http://ec.europa.eu/eurostat/documents/10186/6937805/Summary+report+on+the+open+public+consultations/52c01d34-ca85-4e8d-aaae-df4ae84b8dea</w:t>
        </w:r>
      </w:hyperlink>
    </w:p>
  </w:footnote>
  <w:footnote w:id="5">
    <w:p>
      <w:pPr>
        <w:pStyle w:val="FootnoteText"/>
      </w:pPr>
      <w:r>
        <w:rPr>
          <w:rStyle w:val="FootnoteReference"/>
        </w:rPr>
        <w:footnoteRef/>
      </w:r>
      <w:r>
        <w:tab/>
        <w:t>Rozporządzenie (WE) nr 184/2005 Parlamentu Europejskiego i Rady z dnia 12 stycznia 2005 r. w sprawie statystyki Wspólnoty w zakresie bilansu płatniczego, międzynarodowego handlu usługami i zagranicznych inwestycji bezpośrednich, Dz.U. L 35 z 8.2.2005, s. 23–55.</w:t>
      </w:r>
    </w:p>
  </w:footnote>
  <w:footnote w:id="6">
    <w:p>
      <w:pPr>
        <w:pStyle w:val="FootnoteText"/>
      </w:pPr>
      <w:r>
        <w:rPr>
          <w:rStyle w:val="FootnoteReference"/>
        </w:rPr>
        <w:footnoteRef/>
      </w:r>
      <w:r>
        <w:tab/>
        <w:t>Rozporządzenie Parlamentu Europejskiego i Rady (WE) nr 177/2008 z dnia 20 lutego 2008 r. ustanawiające wspólne ramy dla rejestrów przedsiębiorstw do celów statystycznych i uchylające rozporządzenie Rady (EWG) nr 2186/93 (Dz.U. L 61 z 5.3.2008, s. 6).</w:t>
      </w:r>
    </w:p>
  </w:footnote>
  <w:footnote w:id="7">
    <w:p>
      <w:pPr>
        <w:pStyle w:val="FootnoteText"/>
      </w:pPr>
      <w:r>
        <w:rPr>
          <w:rStyle w:val="FootnoteReference"/>
        </w:rPr>
        <w:footnoteRef/>
      </w:r>
      <w:r>
        <w:tab/>
        <w:t>Decyzja nr 1297/2008/WE Parlamentu Europejskiego i Rady z dnia 16 grudnia 2008 r. w sprawie programu modernizacji europejskiej statystyki przedsiębiorstw i handlu (MEETS) (Dz.U. L 340 z 19.12.2008, s. 76).</w:t>
      </w:r>
    </w:p>
  </w:footnote>
  <w:footnote w:id="8">
    <w:p>
      <w:pPr>
        <w:pStyle w:val="FootnoteText"/>
      </w:pPr>
      <w:r>
        <w:rPr>
          <w:rStyle w:val="FootnoteReference"/>
        </w:rPr>
        <w:footnoteRef/>
      </w:r>
      <w:r>
        <w:tab/>
        <w:t>Rozporządzenie Parlamentu Europejskiego i Rady (WE) nr 223/2009 z dnia 11 marca 2009 r. w sprawie statystyki europejskiej oraz uchylające rozporządzenie Parlamentu Europejskiego i Rady (WE, Euratom) nr 1101/2008 w sprawie przekazywania do Urzędu Statystycznego Wspólnot Europejskich danych statystycznych objętych zasadą poufności, rozporządzenie Rady (WE) nr 322/97 w sprawie statystyk Wspólnoty oraz decyzję Rady 89/382/EWG, Euratom w sprawie ustanowienia Komitetu ds. Programów Statystycznych Wspólnot Europejskich (Dz.U. L 87 z 31.3.2009, s. 164).</w:t>
      </w:r>
    </w:p>
  </w:footnote>
  <w:footnote w:id="9">
    <w:p>
      <w:pPr>
        <w:pStyle w:val="FootnoteText"/>
      </w:pPr>
      <w:r>
        <w:rPr>
          <w:rStyle w:val="FootnoteReference"/>
        </w:rPr>
        <w:footnoteRef/>
      </w:r>
      <w:r>
        <w:tab/>
        <w:t>Rozporządzenie Parlamentu Europejskiego i Rady (UE) nr 952/2013 z dnia 9 października 2013 r. ustanawiające unijny kodeks celny (Dz.U. L 269 z 10.10.2013, s. 1).</w:t>
      </w:r>
    </w:p>
  </w:footnote>
  <w:footnote w:id="10">
    <w:p>
      <w:pPr>
        <w:pStyle w:val="FootnoteText"/>
      </w:pPr>
      <w:r>
        <w:rPr>
          <w:rStyle w:val="FootnoteReference"/>
        </w:rPr>
        <w:footnoteRef/>
      </w:r>
      <w:r>
        <w:tab/>
        <w:t>Rozporządzenie Parlamentu Europejskiego i Rady (UE) nr 549/2013 z dnia 21 maja 2013 r. w sprawie europejskiego systemu rachunków narodowych i regionalnych w Unii Europejskiej (Dz.U. L 174 z 26.6.2013, s. 1).</w:t>
      </w:r>
    </w:p>
  </w:footnote>
  <w:footnote w:id="11">
    <w:p>
      <w:pPr>
        <w:pStyle w:val="FootnoteText"/>
      </w:pPr>
      <w:r>
        <w:rPr>
          <w:rStyle w:val="FootnoteReference"/>
        </w:rPr>
        <w:footnoteRef/>
      </w:r>
      <w:r>
        <w:tab/>
        <w:t>Dz.U. L 123 z 12.5.2016, s. 1.</w:t>
      </w:r>
    </w:p>
  </w:footnote>
  <w:footnote w:id="12">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13">
    <w:p>
      <w:pPr>
        <w:pStyle w:val="FootnoteText"/>
      </w:pPr>
      <w:r>
        <w:rPr>
          <w:rStyle w:val="FootnoteReference"/>
        </w:rPr>
        <w:footnoteRef/>
      </w:r>
      <w:r>
        <w:tab/>
        <w:t>Rozporządzenie (WE) nr 184/2005 Parlamentu Europejskiego i Rady z dnia 12 stycznia 2005 r. w sprawie statystyki Wspólnoty w zakresie bilansu płatniczego, międzynarodowego handlu usługami i zagranicznych inwestycji bezpośrednich (Dz.U. L 35 z 8.2.2005, s. 23).</w:t>
      </w:r>
    </w:p>
  </w:footnote>
  <w:footnote w:id="14">
    <w:p>
      <w:pPr>
        <w:pStyle w:val="FootnoteText"/>
      </w:pPr>
      <w:r>
        <w:rPr>
          <w:rStyle w:val="FootnoteReference"/>
        </w:rPr>
        <w:footnoteRef/>
      </w:r>
      <w:r>
        <w:tab/>
        <w:t>Rozporządzenie Rady (EWG) nr 3924/91 z dnia 19 grudnia 1991 r. w sprawie ustanowienia wspólnotowego badania produkcji przemysłowej (Dz.U. L 374 z 31.12.1991, s. 1).</w:t>
      </w:r>
    </w:p>
  </w:footnote>
  <w:footnote w:id="15">
    <w:p>
      <w:pPr>
        <w:pStyle w:val="FootnoteText"/>
      </w:pPr>
      <w:r>
        <w:rPr>
          <w:rStyle w:val="FootnoteReference"/>
        </w:rPr>
        <w:footnoteRef/>
      </w:r>
      <w:r>
        <w:tab/>
        <w:t>Rozporządzenie Rady (WE) nr 1165/98 z dnia 19 maja 1998 r. dotyczące krótkoterminowych statystyk (Dz.U. L 162 z 5.6.1998, s. 1).</w:t>
      </w:r>
    </w:p>
  </w:footnote>
  <w:footnote w:id="16">
    <w:p>
      <w:pPr>
        <w:pStyle w:val="FootnoteText"/>
      </w:pPr>
      <w:r>
        <w:rPr>
          <w:rStyle w:val="FootnoteReference"/>
        </w:rPr>
        <w:footnoteRef/>
      </w:r>
      <w:r>
        <w:tab/>
        <w:t>Decyzja nr 1608/2003/WE Parlamentu Europejskiego i Rady z dnia 22 lipca 2003 r. w sprawie sporządzania i rozwoju statystyk Wspólnoty z zakresu nauki i techniki (Dz.U. L 230 z 16.9.2003, s. 1).</w:t>
      </w:r>
    </w:p>
  </w:footnote>
  <w:footnote w:id="17">
    <w:p>
      <w:pPr>
        <w:pStyle w:val="FootnoteText"/>
      </w:pPr>
      <w:r>
        <w:rPr>
          <w:rStyle w:val="FootnoteReference"/>
        </w:rPr>
        <w:footnoteRef/>
      </w:r>
      <w:r>
        <w:tab/>
        <w:t>Rozporządzenie (WE) nr 48/2004 Parlamentu Europejskiego i Rady z dnia 5 grudnia 2003 r. w sprawie tworzenia rocznych statystyk Wspólnoty dotyczących przemysłu hutniczego w latach 2003–2009 (Dz.U. L 7 z 13.1.2004, s. 1).</w:t>
      </w:r>
    </w:p>
  </w:footnote>
  <w:footnote w:id="18">
    <w:p>
      <w:pPr>
        <w:pStyle w:val="FootnoteText"/>
      </w:pPr>
      <w:r>
        <w:rPr>
          <w:rStyle w:val="FootnoteReference"/>
        </w:rPr>
        <w:footnoteRef/>
      </w:r>
      <w:r>
        <w:tab/>
        <w:t>Rozporządzenie (WE) nr 638/2004 Parlamentu Europejskiego i Rady z dnia 31 marca 2004 r. w sprawie danych statystycznych Wspólnoty odnoszących się do handlu towarami między państwami członkowskimi oraz uchylające rozporządzenie Rady (EWG) nr 3330/91 (Dz.U. L 102 z 7.4.2004, s. 1).</w:t>
      </w:r>
    </w:p>
  </w:footnote>
  <w:footnote w:id="19">
    <w:p>
      <w:pPr>
        <w:pStyle w:val="FootnoteText"/>
      </w:pPr>
      <w:r>
        <w:rPr>
          <w:rStyle w:val="FootnoteReference"/>
        </w:rPr>
        <w:footnoteRef/>
      </w:r>
      <w:r>
        <w:tab/>
        <w:t>Rozporządzenie (WE) nr 808/2004 Parlamentu Europejskiego i Rady z dnia 21 kwietnia 2004 r. dotyczące statystyk Wspólnoty w sprawie społeczeństwa informacyjnego (Dz.U. L 143 z 30.4.2004, s. 49).</w:t>
      </w:r>
    </w:p>
  </w:footnote>
  <w:footnote w:id="20">
    <w:p>
      <w:pPr>
        <w:pStyle w:val="FootnoteText"/>
      </w:pPr>
      <w:r>
        <w:rPr>
          <w:rStyle w:val="FootnoteReference"/>
        </w:rPr>
        <w:footnoteRef/>
      </w:r>
      <w:r>
        <w:tab/>
        <w:t>Rozporządzenie (WE) nr 716/2007 Parlamentu Europejskiego i Rady z dnia 20 czerwca 2007 r. w sprawie statystyki wspólnotowej dotyczącej struktury i działalności zagranicznych podmiotów zależnych (Dz.U. L 171 z 29.6.2007, s. 17).</w:t>
      </w:r>
    </w:p>
  </w:footnote>
  <w:footnote w:id="21">
    <w:p>
      <w:pPr>
        <w:pStyle w:val="FootnoteText"/>
      </w:pPr>
      <w:r>
        <w:rPr>
          <w:rStyle w:val="FootnoteReference"/>
        </w:rPr>
        <w:footnoteRef/>
      </w:r>
      <w:r>
        <w:tab/>
        <w:t>Rozporządzenie Parlamentu Europejskiego i Rady (WE) nr 177/2008 z dnia 20 lutego 2008 r. ustanawiające wspólne ramy dla rejestrów przedsiębiorstw do celów statystycznych i uchylające rozporządzenie Rady (EWG) nr 2186/93 (Dz.U. L 61 z 5.3.2008, s. 6).</w:t>
      </w:r>
    </w:p>
  </w:footnote>
  <w:footnote w:id="22">
    <w:p>
      <w:pPr>
        <w:pStyle w:val="FootnoteText"/>
      </w:pPr>
      <w:r>
        <w:rPr>
          <w:rStyle w:val="FootnoteReference"/>
        </w:rPr>
        <w:footnoteRef/>
      </w:r>
      <w:r>
        <w:tab/>
        <w:t>Rozporządzenie Parlamentu Europejskiego i Rady (WE) nr 295/2008 z dnia 11 marca 2008 r. w sprawie statystyk strukturalnych dotyczących przedsiębiorstw (przekształcenie) (Dz.U. L 97 z 9.4.2008, s. 13)</w:t>
      </w:r>
    </w:p>
  </w:footnote>
  <w:footnote w:id="23">
    <w:p>
      <w:pPr>
        <w:pStyle w:val="FootnoteText"/>
      </w:pPr>
      <w:r>
        <w:rPr>
          <w:rStyle w:val="FootnoteReference"/>
        </w:rPr>
        <w:footnoteRef/>
      </w:r>
      <w:r>
        <w:tab/>
        <w:t>Rozporządzenie Parlamentu Europejskiego i Rady (WE) nr 471/2009 z dnia 6 maja 2009 r. w sprawie statystyk Wspólnoty dotyczących handlu zagranicznego z państwami trzecimi, uchylające rozporządzenie Rady (WE) nr 1172/95 (Dz.U. L 152 z 16.6.2009, s. 23).</w:t>
      </w:r>
    </w:p>
  </w:footnote>
  <w:footnote w:id="24">
    <w:p>
      <w:pPr>
        <w:pStyle w:val="FootnoteText"/>
      </w:pPr>
      <w:r>
        <w:rPr>
          <w:rStyle w:val="FootnoteReference"/>
        </w:rPr>
        <w:footnoteRef/>
      </w:r>
      <w:r>
        <w:tab/>
        <w:t>Rozporządzenie Rady (EWG) nr 696/93 z dnia 15 marca 1993 r. w sprawie jednostek statystycznych do celów obserwacji i analizy systemu produkcyjnego we Wspólnocie (Dz.U. L 76 z 30.3.1993, s. 1).</w:t>
      </w:r>
    </w:p>
  </w:footnote>
  <w:footnote w:id="25">
    <w:p>
      <w:pPr>
        <w:pStyle w:val="FootnoteText"/>
      </w:pPr>
      <w:r>
        <w:rPr>
          <w:rStyle w:val="FootnoteReference"/>
        </w:rPr>
        <w:footnoteRef/>
      </w:r>
      <w:r>
        <w:tab/>
        <w:t>Dyrektywa Rady 2006/112/WE z dnia 28 listopada 2006 r. w sprawie wspólnego systemu podatku od wartości dodanej (Dz.U. L 347 z 11.12.2006, s. 1).</w:t>
      </w:r>
    </w:p>
  </w:footnote>
  <w:footnote w:id="26">
    <w:p>
      <w:pPr>
        <w:pStyle w:val="FootnoteText"/>
      </w:pPr>
      <w:r>
        <w:rPr>
          <w:rStyle w:val="FootnoteReference"/>
        </w:rPr>
        <w:footnoteRef/>
      </w:r>
      <w:r>
        <w:tab/>
        <w:t xml:space="preserve">Rozporządzenie (WE) nr 1893/2006 Parlamentu Europejskiego i Rady w </w:t>
      </w:r>
      <w:r>
        <w:rPr>
          <w:rStyle w:val="Strong"/>
          <w:b w:val="0"/>
          <w:bCs w:val="0"/>
          <w:color w:val="000000"/>
        </w:rPr>
        <w:t xml:space="preserve">sprawie statystycznej klasyfikacji działalności gospodarczej NACE Rev. 2 i zmieniające rozporządzenie Rady (EWG) nr 3037/90 oraz niektóre rozporządzenia WE w sprawie określonych dziedzin statystycznych </w:t>
      </w:r>
      <w:r>
        <w:t>(Dz.U. L 393 z 30.12.2006, s. 1).</w:t>
      </w:r>
    </w:p>
  </w:footnote>
  <w:footnote w:id="27">
    <w:p>
      <w:pPr>
        <w:pStyle w:val="FootnoteText"/>
      </w:pPr>
      <w:r>
        <w:rPr>
          <w:rStyle w:val="FootnoteReference"/>
        </w:rPr>
        <w:footnoteRef/>
      </w:r>
      <w:r>
        <w:tab/>
        <w:t>Dyrektywa Rady 2006/112/WE z dnia 28 listopada 2006 r. w sprawie wspólnego systemu podatku od wartości dodanej</w:t>
      </w:r>
    </w:p>
    <w:p>
      <w:pPr>
        <w:pStyle w:val="FootnoteText"/>
        <w:ind w:firstLine="0"/>
      </w:pPr>
      <w:r>
        <w:t>(Dz.U. L 347 z 11.12.2006, s. 1).</w:t>
      </w:r>
    </w:p>
  </w:footnote>
  <w:footnote w:id="28">
    <w:p>
      <w:pPr>
        <w:pStyle w:val="FootnoteText"/>
        <w:rPr>
          <w:szCs w:val="24"/>
        </w:rPr>
      </w:pPr>
      <w:r>
        <w:rPr>
          <w:rStyle w:val="FootnoteReference"/>
        </w:rPr>
        <w:footnoteRef/>
      </w:r>
      <w:r>
        <w:tab/>
        <w:t>ABM: activity-based management: zarządzanie kosztami działań; ABB: activity-based budgeting: budżet zadaniowy.</w:t>
      </w:r>
    </w:p>
  </w:footnote>
  <w:footnote w:id="29">
    <w:p>
      <w:pPr>
        <w:pStyle w:val="FootnoteText"/>
        <w:rPr>
          <w:szCs w:val="24"/>
        </w:rPr>
      </w:pPr>
      <w:r>
        <w:rPr>
          <w:rStyle w:val="FootnoteReference"/>
        </w:rPr>
        <w:footnoteRef/>
      </w:r>
      <w:r>
        <w:tab/>
        <w:t>O którym mowa w art. 54 ust. 2 lit. a) lub b) rozporządzenia finansowego.</w:t>
      </w:r>
    </w:p>
  </w:footnote>
  <w:footnote w:id="30">
    <w:p>
      <w:pPr>
        <w:pStyle w:val="FootnoteText"/>
        <w:jc w:val="left"/>
        <w:rPr>
          <w:szCs w:val="24"/>
        </w:rPr>
      </w:pPr>
      <w:r>
        <w:rPr>
          <w:rStyle w:val="FootnoteReference"/>
        </w:rPr>
        <w:footnoteRef/>
      </w:r>
      <w:r>
        <w:tab/>
        <w:t xml:space="preserve">Wyjaśnienia dotyczące trybów zarządzania oraz odniesienia do rozporządzenia finansowego znajdują się na następującej stronie: </w:t>
      </w:r>
      <w:hyperlink r:id="rId4">
        <w:r>
          <w:rPr>
            <w:rStyle w:val="Hyperlink"/>
          </w:rPr>
          <w:t>https://myintracomm.ec.europa.eu/budgweb/EN/man/budgmanag/Pages/budgmanag.aspx</w:t>
        </w:r>
      </w:hyperlink>
      <w:r>
        <w:t xml:space="preserve"> </w:t>
      </w:r>
    </w:p>
  </w:footnote>
  <w:footnote w:id="31">
    <w:p>
      <w:pPr>
        <w:pStyle w:val="FootnoteText"/>
        <w:rPr>
          <w:szCs w:val="24"/>
        </w:rPr>
      </w:pPr>
      <w:r>
        <w:rPr>
          <w:rStyle w:val="FootnoteReference"/>
        </w:rPr>
        <w:footnoteRef/>
      </w:r>
      <w:r>
        <w:tab/>
        <w:t>Środki zróżnicowane/środki niezróżnicowane</w:t>
      </w:r>
    </w:p>
  </w:footnote>
  <w:footnote w:id="32">
    <w:p>
      <w:pPr>
        <w:pStyle w:val="FootnoteText"/>
        <w:rPr>
          <w:szCs w:val="24"/>
        </w:rPr>
      </w:pPr>
      <w:r>
        <w:rPr>
          <w:rStyle w:val="FootnoteReference"/>
        </w:rPr>
        <w:footnoteRef/>
      </w:r>
      <w:r>
        <w:tab/>
        <w:t xml:space="preserve">EFTA: Europejskie Stowarzyszenie Wolnego Handlu </w:t>
      </w:r>
    </w:p>
  </w:footnote>
  <w:footnote w:id="33">
    <w:p>
      <w:pPr>
        <w:pStyle w:val="FootnoteText"/>
        <w:rPr>
          <w:szCs w:val="24"/>
        </w:rPr>
      </w:pPr>
      <w:r>
        <w:rPr>
          <w:rStyle w:val="FootnoteReference"/>
        </w:rPr>
        <w:footnoteRef/>
      </w:r>
      <w:r>
        <w:tab/>
        <w:t>Kraje kandydujące oraz, w stosownych przypadkach, potencjalne kraje kandydujące Bałkanów Zachodnich.</w:t>
      </w:r>
    </w:p>
  </w:footnote>
  <w:footnote w:id="34">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35">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36">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37">
    <w:p>
      <w:pPr>
        <w:pStyle w:val="FootnoteText"/>
        <w:rPr>
          <w:szCs w:val="24"/>
        </w:rPr>
      </w:pPr>
      <w:r>
        <w:rPr>
          <w:rStyle w:val="FootnoteReference"/>
        </w:rPr>
        <w:footnoteRef/>
      </w:r>
      <w:r>
        <w:tab/>
        <w:t xml:space="preserve">Zgodnie z opisem w pkt. 1.4.2. „Cele szczegółowe …” </w:t>
      </w:r>
    </w:p>
  </w:footnote>
  <w:footnote w:id="38">
    <w:p>
      <w:pPr>
        <w:pStyle w:val="FootnoteText"/>
        <w:rPr>
          <w:szCs w:val="24"/>
        </w:rPr>
      </w:pPr>
      <w:r>
        <w:rPr>
          <w:rStyle w:val="FootnoteReference"/>
        </w:rPr>
        <w:footnoteRef/>
      </w:r>
      <w:r>
        <w:tab/>
        <w:t>Rok N jest rokiem, w którym rozpoczyna się wprowadzanie w życie wniosku/inicjatywy.</w:t>
      </w:r>
    </w:p>
  </w:footnote>
  <w:footnote w:id="39">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40">
    <w:p>
      <w:pPr>
        <w:pStyle w:val="FootnoteText"/>
        <w:rPr>
          <w:szCs w:val="24"/>
        </w:rPr>
      </w:pPr>
      <w:r>
        <w:rPr>
          <w:rStyle w:val="FootnoteReference"/>
        </w:rPr>
        <w:footnoteRef/>
      </w:r>
      <w:r>
        <w:tab/>
        <w:t xml:space="preserve">AC = personel kontraktowy; AL = personel miejscowy; END = oddelegowany ekspert krajowy; INT = personel tymczasowy; JED = młodszy oddelegowany ekspert. </w:t>
      </w:r>
    </w:p>
  </w:footnote>
  <w:footnote w:id="41">
    <w:p>
      <w:pPr>
        <w:pStyle w:val="FootnoteText"/>
        <w:rPr>
          <w:szCs w:val="24"/>
        </w:rPr>
      </w:pPr>
      <w:r>
        <w:rPr>
          <w:rStyle w:val="FootnoteReference"/>
        </w:rPr>
        <w:footnoteRef/>
      </w:r>
      <w:r>
        <w:tab/>
        <w:t>W ramach podpułapu na personel zewnętrzny ze środków operacyjnych (dawne linie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A4DE08"/>
    <w:lvl w:ilvl="0">
      <w:start w:val="1"/>
      <w:numFmt w:val="decimal"/>
      <w:pStyle w:val="TableofFigures"/>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80"/>
    <w:multiLevelType w:val="singleLevel"/>
    <w:tmpl w:val="1FA45650"/>
    <w:lvl w:ilvl="0">
      <w:start w:val="1"/>
      <w:numFmt w:val="bullet"/>
      <w:pStyle w:val="List"/>
      <w:lvlText w:val=""/>
      <w:lvlJc w:val="left"/>
      <w:pPr>
        <w:tabs>
          <w:tab w:val="num" w:pos="1492"/>
        </w:tabs>
        <w:ind w:left="1492" w:hanging="360"/>
      </w:pPr>
      <w:rPr>
        <w:rFonts w:ascii="Symbol" w:hAnsi="Symbol" w:hint="default"/>
      </w:rPr>
    </w:lvl>
  </w:abstractNum>
  <w:abstractNum w:abstractNumId="3">
    <w:nsid w:val="FFFFFF81"/>
    <w:multiLevelType w:val="singleLevel"/>
    <w:tmpl w:val="2FF650A6"/>
    <w:lvl w:ilvl="0">
      <w:start w:val="1"/>
      <w:numFmt w:val="bullet"/>
      <w:pStyle w:val="ListNumber1Level4"/>
      <w:lvlText w:val=""/>
      <w:lvlJc w:val="left"/>
      <w:pPr>
        <w:tabs>
          <w:tab w:val="num" w:pos="1209"/>
        </w:tabs>
        <w:ind w:left="1209" w:hanging="360"/>
      </w:pPr>
      <w:rPr>
        <w:rFonts w:ascii="Symbol" w:hAnsi="Symbol" w:hint="default"/>
      </w:rPr>
    </w:lvl>
  </w:abstractNum>
  <w:abstractNum w:abstractNumId="4">
    <w:nsid w:val="FFFFFF82"/>
    <w:multiLevelType w:val="singleLevel"/>
    <w:tmpl w:val="4F9EF0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65D172F"/>
    <w:multiLevelType w:val="multilevel"/>
    <w:tmpl w:val="6AEE9BA4"/>
    <w:lvl w:ilvl="0">
      <w:start w:val="1"/>
      <w:numFmt w:val="decimal"/>
      <w:pStyle w:val="TOAHeading"/>
      <w:lvlText w:val="(%1)"/>
      <w:lvlJc w:val="left"/>
      <w:pPr>
        <w:tabs>
          <w:tab w:val="num" w:pos="1911"/>
        </w:tabs>
        <w:ind w:left="1911" w:hanging="709"/>
      </w:pPr>
    </w:lvl>
    <w:lvl w:ilvl="1">
      <w:start w:val="1"/>
      <w:numFmt w:val="lowerLetter"/>
      <w:pStyle w:val="YReferences"/>
      <w:lvlText w:val="(%2)"/>
      <w:lvlJc w:val="left"/>
      <w:pPr>
        <w:tabs>
          <w:tab w:val="num" w:pos="2619"/>
        </w:tabs>
        <w:ind w:left="2619" w:hanging="708"/>
      </w:pPr>
    </w:lvl>
    <w:lvl w:ilvl="2">
      <w:start w:val="1"/>
      <w:numFmt w:val="bullet"/>
      <w:pStyle w:val="ListDash"/>
      <w:lvlText w:val="–"/>
      <w:lvlJc w:val="left"/>
      <w:pPr>
        <w:tabs>
          <w:tab w:val="num" w:pos="3328"/>
        </w:tabs>
        <w:ind w:left="3328" w:hanging="709"/>
      </w:pPr>
      <w:rPr>
        <w:rFonts w:ascii="Times New Roman" w:hAnsi="Times New Roman"/>
      </w:rPr>
    </w:lvl>
    <w:lvl w:ilvl="3">
      <w:start w:val="1"/>
      <w:numFmt w:val="bullet"/>
      <w:pStyle w:val="ListDash3"/>
      <w:lvlText w:val=""/>
      <w:lvlJc w:val="left"/>
      <w:pPr>
        <w:tabs>
          <w:tab w:val="num" w:pos="4037"/>
        </w:tabs>
        <w:ind w:left="4037"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2B5C67"/>
    <w:multiLevelType w:val="singleLevel"/>
    <w:tmpl w:val="40D2097A"/>
    <w:lvl w:ilvl="0">
      <w:start w:val="1"/>
      <w:numFmt w:val="bullet"/>
      <w:pStyle w:val="TableofAuthorities"/>
      <w:lvlText w:val="–"/>
      <w:lvlJc w:val="left"/>
      <w:pPr>
        <w:tabs>
          <w:tab w:val="num" w:pos="283"/>
        </w:tabs>
        <w:ind w:left="283" w:hanging="283"/>
      </w:pPr>
      <w:rPr>
        <w:rFonts w:ascii="Times New Roman" w:hAnsi="Times New Roman"/>
      </w:r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91103A0"/>
    <w:multiLevelType w:val="singleLevel"/>
    <w:tmpl w:val="39A25962"/>
    <w:lvl w:ilvl="0">
      <w:start w:val="1"/>
      <w:numFmt w:val="bullet"/>
      <w:lvlRestart w:val="0"/>
      <w:pStyle w:val="CommentSubject"/>
      <w:lvlText w:val="–"/>
      <w:lvlJc w:val="left"/>
      <w:pPr>
        <w:tabs>
          <w:tab w:val="num" w:pos="850"/>
        </w:tabs>
        <w:ind w:left="850" w:hanging="850"/>
      </w:pPr>
    </w:lvl>
  </w:abstractNum>
  <w:abstractNum w:abstractNumId="25">
    <w:nsid w:val="6DD14640"/>
    <w:multiLevelType w:val="singleLevel"/>
    <w:tmpl w:val="6886582C"/>
    <w:lvl w:ilvl="0">
      <w:start w:val="1"/>
      <w:numFmt w:val="decimal"/>
      <w:lvlRestart w:val="0"/>
      <w:pStyle w:val="ListNumber2"/>
      <w:lvlText w:val="(%1)"/>
      <w:lvlJc w:val="left"/>
      <w:pPr>
        <w:tabs>
          <w:tab w:val="num" w:pos="709"/>
        </w:tabs>
        <w:ind w:left="709" w:hanging="709"/>
      </w:pPr>
    </w:lvl>
  </w:abstractNum>
  <w:abstractNum w:abstractNumId="26">
    <w:nsid w:val="6E5C21E3"/>
    <w:multiLevelType w:val="singleLevel"/>
    <w:tmpl w:val="91AE4CCA"/>
    <w:lvl w:ilvl="0">
      <w:start w:val="1"/>
      <w:numFmt w:val="bullet"/>
      <w:pStyle w:val="Title"/>
      <w:lvlText w:val="–"/>
      <w:lvlJc w:val="left"/>
      <w:pPr>
        <w:tabs>
          <w:tab w:val="num" w:pos="2199"/>
        </w:tabs>
        <w:ind w:left="2199" w:hanging="283"/>
      </w:pPr>
      <w:rPr>
        <w:rFonts w:ascii="Times New Roman" w:hAnsi="Times New Roman"/>
      </w:r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5"/>
  </w:num>
  <w:num w:numId="3">
    <w:abstractNumId w:val="15"/>
  </w:num>
  <w:num w:numId="4">
    <w:abstractNumId w:val="14"/>
  </w:num>
  <w:num w:numId="5">
    <w:abstractNumId w:val="27"/>
  </w:num>
  <w:num w:numId="6">
    <w:abstractNumId w:val="20"/>
  </w:num>
  <w:num w:numId="7">
    <w:abstractNumId w:val="2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2"/>
    <w:lvlOverride w:ilvl="0">
      <w:startOverride w:val="1"/>
    </w:lvlOverride>
  </w:num>
  <w:num w:numId="12">
    <w:abstractNumId w:val="1"/>
  </w:num>
  <w:num w:numId="13">
    <w:abstractNumId w:val="0"/>
  </w:num>
  <w:num w:numId="14">
    <w:abstractNumId w:val="2"/>
  </w:num>
  <w:num w:numId="15">
    <w:abstractNumId w:val="22"/>
  </w:num>
  <w:num w:numId="16">
    <w:abstractNumId w:val="26"/>
  </w:num>
  <w:num w:numId="17">
    <w:abstractNumId w:val="13"/>
  </w:num>
  <w:num w:numId="18">
    <w:abstractNumId w:val="29"/>
    <w:lvlOverride w:ilvl="0">
      <w:startOverride w:val="1"/>
    </w:lvlOverride>
  </w:num>
  <w:num w:numId="19">
    <w:abstractNumId w:val="2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0"/>
  </w:num>
  <w:num w:numId="44">
    <w:abstractNumId w:val="23"/>
  </w:num>
  <w:num w:numId="45">
    <w:abstractNumId w:val="9"/>
  </w:num>
  <w:num w:numId="46">
    <w:abstractNumId w:val="11"/>
  </w:num>
  <w:num w:numId="47">
    <w:abstractNumId w:val="7"/>
  </w:num>
  <w:num w:numId="48">
    <w:abstractNumId w:val="21"/>
  </w:num>
  <w:num w:numId="49">
    <w:abstractNumId w:val="6"/>
  </w:num>
  <w:num w:numId="50">
    <w:abstractNumId w:val="12"/>
  </w:num>
  <w:num w:numId="51">
    <w:abstractNumId w:val="17"/>
  </w:num>
  <w:num w:numId="52">
    <w:abstractNumId w:val="18"/>
  </w:num>
  <w:num w:numId="53">
    <w:abstractNumId w:val="8"/>
  </w:num>
  <w:num w:numId="54">
    <w:abstractNumId w:val="16"/>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7 10:51:1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5"/>
    <w:docVar w:name="DQCStatus" w:val="Yellow"/>
    <w:docVar w:name="DQCVersion" w:val="3"/>
    <w:docVar w:name="DQCWithWarnings" w:val="0"/>
    <w:docVar w:name="LW_CONFIDENCE" w:val=" "/>
    <w:docVar w:name="LW_CONST_RESTREINT_UE" w:val="RESTREINT UE"/>
    <w:docVar w:name="LW_CORRIGENDUM" w:val="&lt;UNUSED&gt;"/>
    <w:docVar w:name="LW_COVERPAGE_GUID" w:val="28FCEE94F63548EDB872EA4E73B8209E"/>
    <w:docVar w:name="LW_CROSSREFERENCE" w:val="{SWD(2017) 98 final}_x000b_{SWD(2017) 99 final}"/>
    <w:docVar w:name="LW_DocType" w:val="COM"/>
    <w:docVar w:name="LW_EMISSION" w:val="6.3.2017"/>
    <w:docVar w:name="LW_EMISSION_ISODATE" w:val="2017-03-06"/>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 (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048"/>
    <w:docVar w:name="LW_REF.II.NEW.CP_YEAR" w:val="2017"/>
    <w:docVar w:name="LW_REF.INST.NEW" w:val="COM"/>
    <w:docVar w:name="LW_REF.INST.NEW_ADOPTED" w:val="final"/>
    <w:docVar w:name="LW_REF.INST.NEW_TEXT" w:val="(2017) 114"/>
    <w:docVar w:name="LW_REF.INTERNE" w:val="&lt;UNUSED&gt;"/>
    <w:docVar w:name="LW_SOUS.TITRE.OBJ.CP" w:val="&lt;UNUSED&gt;"/>
    <w:docVar w:name="LW_STATUT.CP" w:val="Wniosek"/>
    <w:docVar w:name="LW_SUPERTITRE" w:val="&lt;UNUSED&gt;"/>
    <w:docVar w:name="LW_TITRE.OBJ.CP" w:val="w sprawie europejskiej statystyki gospodarczej_x000b_zmieniaj\u261?ce rozporz\u261?dzenie (WE) nr 184/2005 i uchylaj\u261?ce 10 aktów prawnych w dziedzinie statystyki gospodarczej"/>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index heading" w:uiPriority="0"/>
    <w:lsdException w:name="caption" w:uiPriority="35"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nhideWhenUsed/>
    <w:pPr>
      <w:tabs>
        <w:tab w:val="num" w:pos="1209"/>
      </w:tabs>
      <w:ind w:left="1209" w:hanging="360"/>
      <w:contextualSpacing/>
    </w:pPr>
  </w:style>
  <w:style w:type="character" w:styleId="CommentReference">
    <w:name w:val="annotation reference"/>
    <w:uiPriority w:val="99"/>
    <w:rPr>
      <w:rFonts w:cs="Times New Roman"/>
      <w:sz w:val="16"/>
      <w:szCs w:val="16"/>
      <w:lang w:val="pl-PL" w:eastAsia="pl-PL"/>
    </w:rPr>
  </w:style>
  <w:style w:type="character" w:customStyle="1" w:styleId="Heading5Char">
    <w:name w:val="Heading 5 Char"/>
    <w:basedOn w:val="DefaultParagraphFont"/>
    <w:link w:val="Heading5"/>
    <w:rPr>
      <w:rFonts w:ascii="Arial" w:eastAsia="Times New Roman" w:hAnsi="Arial" w:cs="Times New Roman"/>
      <w:szCs w:val="20"/>
      <w:lang w:val="pl-PL"/>
    </w:rPr>
  </w:style>
  <w:style w:type="character" w:customStyle="1" w:styleId="Heading6Char">
    <w:name w:val="Heading 6 Char"/>
    <w:basedOn w:val="DefaultParagraphFont"/>
    <w:link w:val="Heading6"/>
    <w:rPr>
      <w:rFonts w:ascii="Arial" w:eastAsia="Times New Roman" w:hAnsi="Arial" w:cs="Times New Roman"/>
      <w:i/>
      <w:szCs w:val="20"/>
      <w:lang w:val="pl-PL"/>
    </w:rPr>
  </w:style>
  <w:style w:type="character" w:customStyle="1" w:styleId="Heading7Char">
    <w:name w:val="Heading 7 Char"/>
    <w:basedOn w:val="DefaultParagraphFont"/>
    <w:link w:val="Heading7"/>
    <w:rPr>
      <w:rFonts w:ascii="Arial" w:eastAsia="Times New Roman" w:hAnsi="Arial" w:cs="Times New Roman"/>
      <w:sz w:val="20"/>
      <w:szCs w:val="20"/>
      <w:lang w:val="pl-PL"/>
    </w:rPr>
  </w:style>
  <w:style w:type="character" w:customStyle="1" w:styleId="Heading8Char">
    <w:name w:val="Heading 8 Char"/>
    <w:basedOn w:val="DefaultParagraphFont"/>
    <w:link w:val="Heading8"/>
    <w:rPr>
      <w:rFonts w:ascii="Arial" w:eastAsia="Times New Roman" w:hAnsi="Arial" w:cs="Times New Roman"/>
      <w:i/>
      <w:sz w:val="20"/>
      <w:szCs w:val="20"/>
      <w:lang w:val="pl-PL"/>
    </w:rPr>
  </w:style>
  <w:style w:type="character" w:customStyle="1" w:styleId="Heading9Char">
    <w:name w:val="Heading 9 Char"/>
    <w:basedOn w:val="DefaultParagraphFont"/>
    <w:link w:val="Heading9"/>
    <w:rPr>
      <w:rFonts w:ascii="Arial" w:eastAsia="Times New Roman" w:hAnsi="Arial" w:cs="Times New Roman"/>
      <w:i/>
      <w:sz w:val="18"/>
      <w:szCs w:val="20"/>
      <w:lang w:val="pl-PL"/>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pl-PL" w:eastAsia="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unhideWhenUsed/>
    <w:qFormat/>
    <w:pPr>
      <w:numPr>
        <w:numId w:val="12"/>
      </w:numPr>
      <w:tabs>
        <w:tab w:val="clear" w:pos="926"/>
      </w:tabs>
      <w:spacing w:before="0" w:after="200"/>
      <w:ind w:left="0" w:firstLine="0"/>
    </w:pPr>
    <w:rPr>
      <w:b/>
      <w:bCs/>
      <w:color w:val="4F81BD" w:themeColor="accent1"/>
      <w:sz w:val="18"/>
      <w:szCs w:val="18"/>
    </w:rPr>
  </w:style>
  <w:style w:type="paragraph" w:styleId="TableofFigures">
    <w:name w:val="table of figures"/>
    <w:basedOn w:val="Normal"/>
    <w:next w:val="Normal"/>
    <w:uiPriority w:val="99"/>
    <w:semiHidden/>
    <w:unhideWhenUsed/>
    <w:pPr>
      <w:numPr>
        <w:numId w:val="13"/>
      </w:numPr>
      <w:tabs>
        <w:tab w:val="clear" w:pos="1209"/>
      </w:tabs>
      <w:spacing w:after="0"/>
      <w:ind w:left="0" w:firstLine="0"/>
    </w:pPr>
  </w:style>
  <w:style w:type="paragraph" w:styleId="ListNumber2">
    <w:name w:val="List Number 2"/>
    <w:basedOn w:val="Normal"/>
    <w:unhideWhenUsed/>
    <w:pPr>
      <w:numPr>
        <w:numId w:val="1"/>
      </w:numPr>
      <w:contextualSpacing/>
    </w:pPr>
  </w:style>
  <w:style w:type="paragraph" w:styleId="ListNumber3">
    <w:name w:val="List Number 3"/>
    <w:basedOn w:val="Normal"/>
    <w:uiPriority w:val="99"/>
    <w:unhideWhenUsed/>
    <w:pPr>
      <w:tabs>
        <w:tab w:val="num" w:pos="1134"/>
      </w:tabs>
      <w:ind w:left="1134" w:hanging="283"/>
      <w:contextualSpacing/>
    </w:pPr>
  </w:style>
  <w:style w:type="paragraph" w:styleId="ListNumber4">
    <w:name w:val="List Number 4"/>
    <w:basedOn w:val="Normal"/>
    <w:uiPriority w:val="99"/>
    <w:unhideWhenUsed/>
    <w:pPr>
      <w:tabs>
        <w:tab w:val="num" w:pos="1134"/>
      </w:tabs>
      <w:ind w:left="1134" w:hanging="283"/>
      <w:contextualSpacing/>
    </w:pPr>
  </w:style>
  <w:style w:type="paragraph" w:styleId="CommentSubject">
    <w:name w:val="annotation subject"/>
    <w:basedOn w:val="CommentText"/>
    <w:next w:val="CommentText"/>
    <w:link w:val="CommentSubjectChar"/>
    <w:unhideWhenUsed/>
    <w:pPr>
      <w:numPr>
        <w:numId w:val="19"/>
      </w:numPr>
      <w:tabs>
        <w:tab w:val="clear" w:pos="850"/>
      </w:tabs>
      <w:ind w:left="0" w:firstLine="0"/>
    </w:pPr>
    <w:rPr>
      <w:b/>
      <w:bCs/>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pl-PL"/>
    </w:rPr>
  </w:style>
  <w:style w:type="character" w:customStyle="1" w:styleId="Text2Char">
    <w:name w:val="Text 2 Char"/>
    <w:rPr>
      <w:rFonts w:ascii="Times New Roman" w:hAnsi="Times New Roman" w:cs="Times New Roman"/>
      <w:sz w:val="24"/>
      <w:lang w:val="pl-PL"/>
    </w:rPr>
  </w:style>
  <w:style w:type="character" w:customStyle="1" w:styleId="NumPar1Char">
    <w:name w:val="NumPar 1 Char"/>
    <w:rPr>
      <w:rFonts w:ascii="Times New Roman" w:hAnsi="Times New Roman" w:cs="Times New Roman"/>
      <w:sz w:val="24"/>
      <w:lang w:val="pl-PL"/>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l-PL"/>
    </w:rPr>
  </w:style>
  <w:style w:type="paragraph" w:styleId="BodyText2">
    <w:name w:val="Body Text 2"/>
    <w:basedOn w:val="Normal"/>
    <w:link w:val="BodyText2Char"/>
    <w:pPr>
      <w:tabs>
        <w:tab w:val="num" w:pos="850"/>
      </w:tabs>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pl-PL"/>
    </w:rPr>
  </w:style>
  <w:style w:type="paragraph" w:styleId="BodyText3">
    <w:name w:val="Body Text 3"/>
    <w:basedOn w:val="Normal"/>
    <w:link w:val="BodyText3Char"/>
    <w:pPr>
      <w:tabs>
        <w:tab w:val="num" w:pos="850"/>
      </w:tabs>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pl-PL"/>
    </w:rPr>
  </w:style>
  <w:style w:type="paragraph" w:styleId="BodyTextFirstIndent">
    <w:name w:val="Body Text First Indent"/>
    <w:basedOn w:val="BodyText"/>
    <w:link w:val="BodyTextFirstIndentChar"/>
    <w:pPr>
      <w:tabs>
        <w:tab w:val="num" w:pos="850"/>
      </w:tabs>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BodyTextIndent">
    <w:name w:val="Body Text Indent"/>
    <w:basedOn w:val="Normal"/>
    <w:link w:val="BodyTextIndentChar"/>
    <w:pPr>
      <w:tabs>
        <w:tab w:val="num" w:pos="850"/>
      </w:tabs>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pl-P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pl-PL"/>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pl-PL"/>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pl-PL"/>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l-PL"/>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l-PL"/>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42"/>
      </w:tabs>
      <w:spacing w:before="480" w:after="0"/>
      <w:ind w:left="1792" w:hanging="1792"/>
      <w:jc w:val="left"/>
    </w:pPr>
    <w:rPr>
      <w:rFonts w:eastAsia="Times New Roman"/>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pl-PL"/>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pl-PL"/>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l-PL"/>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numPr>
        <w:numId w:val="14"/>
      </w:numPr>
      <w:tabs>
        <w:tab w:val="clear" w:pos="1492"/>
      </w:tabs>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709"/>
      </w:tabs>
      <w:spacing w:before="0" w:after="240"/>
      <w:ind w:left="709" w:hanging="709"/>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283"/>
      </w:tabs>
      <w:spacing w:before="0" w:after="240"/>
      <w:ind w:left="283" w:hanging="283"/>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l-P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pl-PL"/>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pl-PL"/>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pl-PL"/>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pl-PL"/>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pl-PL"/>
    </w:rPr>
  </w:style>
  <w:style w:type="paragraph" w:styleId="TableofAuthorities">
    <w:name w:val="table of authorities"/>
    <w:basedOn w:val="Normal"/>
    <w:next w:val="Normal"/>
    <w:semiHidden/>
    <w:pPr>
      <w:numPr>
        <w:numId w:val="15"/>
      </w:numPr>
      <w:tabs>
        <w:tab w:val="clear" w:pos="283"/>
        <w:tab w:val="num" w:pos="850"/>
      </w:tabs>
      <w:spacing w:before="0" w:after="240"/>
      <w:ind w:left="850" w:hanging="850"/>
    </w:pPr>
    <w:rPr>
      <w:rFonts w:eastAsia="Times New Roman"/>
      <w:szCs w:val="20"/>
    </w:rPr>
  </w:style>
  <w:style w:type="paragraph" w:styleId="Title">
    <w:name w:val="Title"/>
    <w:basedOn w:val="Normal"/>
    <w:link w:val="TitleChar"/>
    <w:uiPriority w:val="99"/>
    <w:qFormat/>
    <w:pPr>
      <w:numPr>
        <w:numId w:val="16"/>
      </w:numPr>
      <w:tabs>
        <w:tab w:val="clear" w:pos="2199"/>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TOAHeading">
    <w:name w:val="toa heading"/>
    <w:basedOn w:val="Normal"/>
    <w:next w:val="Normal"/>
    <w:semiHidden/>
    <w:pPr>
      <w:numPr>
        <w:numId w:val="17"/>
      </w:numPr>
      <w:tabs>
        <w:tab w:val="clear" w:pos="1911"/>
      </w:tabs>
      <w:spacing w:after="240"/>
      <w:ind w:left="0" w:firstLine="0"/>
    </w:pPr>
    <w:rPr>
      <w:rFonts w:ascii="Arial" w:eastAsia="Times New Roman" w:hAnsi="Arial"/>
      <w:b/>
      <w:szCs w:val="20"/>
    </w:rPr>
  </w:style>
  <w:style w:type="paragraph" w:customStyle="1" w:styleId="YReferences">
    <w:name w:val="YReferences"/>
    <w:basedOn w:val="Normal"/>
    <w:next w:val="Normal"/>
    <w:pPr>
      <w:numPr>
        <w:ilvl w:val="1"/>
        <w:numId w:val="17"/>
      </w:numPr>
      <w:tabs>
        <w:tab w:val="clear" w:pos="2619"/>
      </w:tabs>
      <w:spacing w:before="0" w:after="480"/>
      <w:ind w:left="1191" w:hanging="1191"/>
    </w:pPr>
    <w:rPr>
      <w:rFonts w:eastAsia="Times New Roman"/>
      <w:szCs w:val="20"/>
    </w:rPr>
  </w:style>
  <w:style w:type="paragraph" w:customStyle="1" w:styleId="ListDash">
    <w:name w:val="List Dash"/>
    <w:basedOn w:val="Normal"/>
    <w:pPr>
      <w:numPr>
        <w:ilvl w:val="2"/>
        <w:numId w:val="17"/>
      </w:numPr>
      <w:tabs>
        <w:tab w:val="clear" w:pos="3328"/>
        <w:tab w:val="num" w:pos="283"/>
      </w:tabs>
      <w:spacing w:before="0" w:after="240"/>
      <w:ind w:left="283" w:hanging="283"/>
    </w:pPr>
    <w:rPr>
      <w:rFonts w:eastAsia="Times New Roman"/>
      <w:szCs w:val="20"/>
    </w:rPr>
  </w:style>
  <w:style w:type="paragraph" w:customStyle="1" w:styleId="ListDash3">
    <w:name w:val="List Dash 3"/>
    <w:basedOn w:val="Text3"/>
    <w:pPr>
      <w:numPr>
        <w:ilvl w:val="3"/>
        <w:numId w:val="17"/>
      </w:numPr>
      <w:tabs>
        <w:tab w:val="clear" w:pos="4037"/>
        <w:tab w:val="num" w:pos="2199"/>
      </w:tabs>
      <w:spacing w:before="0" w:after="240"/>
      <w:ind w:left="2199" w:hanging="283"/>
    </w:pPr>
    <w:rPr>
      <w:rFonts w:eastAsia="Times New Roman"/>
      <w:szCs w:val="20"/>
    </w:rPr>
  </w:style>
  <w:style w:type="paragraph" w:customStyle="1" w:styleId="ListDash4">
    <w:name w:val="List Dash 4"/>
    <w:basedOn w:val="Text4"/>
    <w:pPr>
      <w:tabs>
        <w:tab w:val="num" w:pos="926"/>
      </w:tabs>
      <w:spacing w:before="0" w:after="240"/>
      <w:ind w:left="926" w:hanging="360"/>
    </w:pPr>
    <w:rPr>
      <w:rFonts w:eastAsia="Times New Roman"/>
      <w:szCs w:val="20"/>
    </w:rPr>
  </w:style>
  <w:style w:type="paragraph" w:customStyle="1" w:styleId="ListNumber1">
    <w:name w:val="List Number 1"/>
    <w:basedOn w:val="Text1"/>
    <w:pPr>
      <w:tabs>
        <w:tab w:val="num" w:pos="1209"/>
      </w:tabs>
      <w:spacing w:before="0" w:after="240"/>
      <w:ind w:left="1209" w:hanging="360"/>
    </w:pPr>
    <w:rPr>
      <w:rFonts w:eastAsia="Times New Roman"/>
      <w:szCs w:val="20"/>
    </w:rPr>
  </w:style>
  <w:style w:type="paragraph" w:customStyle="1" w:styleId="ListNumber1Level2">
    <w:name w:val="List Number 1 (Level 2)"/>
    <w:basedOn w:val="Text1"/>
    <w:pPr>
      <w:numPr>
        <w:ilvl w:val="1"/>
        <w:numId w:val="10"/>
      </w:numPr>
      <w:spacing w:before="0" w:after="240"/>
    </w:pPr>
    <w:rPr>
      <w:rFonts w:eastAsia="Times New Roman"/>
      <w:szCs w:val="20"/>
    </w:rPr>
  </w:style>
  <w:style w:type="paragraph" w:customStyle="1" w:styleId="ListNumber1Level3">
    <w:name w:val="List Number 1 (Level 3)"/>
    <w:basedOn w:val="Text1"/>
    <w:pPr>
      <w:numPr>
        <w:ilvl w:val="2"/>
        <w:numId w:val="10"/>
      </w:numPr>
      <w:spacing w:before="0" w:after="240"/>
    </w:pPr>
    <w:rPr>
      <w:rFonts w:eastAsia="Times New Roman"/>
      <w:szCs w:val="20"/>
    </w:rPr>
  </w:style>
  <w:style w:type="paragraph" w:customStyle="1" w:styleId="ListNumber1Level4">
    <w:name w:val="List Number 1 (Level 4)"/>
    <w:basedOn w:val="Text1"/>
    <w:pPr>
      <w:numPr>
        <w:ilvl w:val="3"/>
        <w:numId w:val="10"/>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b/>
      <w:smallCaps/>
      <w:sz w:val="20"/>
      <w:szCs w:val="20"/>
      <w:u w:val="single"/>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StyleNumPar2NotBold">
    <w:name w:val="Style NumPar 2 + Not Bold"/>
    <w:basedOn w:val="NumPar2"/>
    <w:pPr>
      <w:numPr>
        <w:ilvl w:val="0"/>
        <w:numId w:val="0"/>
      </w:numPr>
      <w:tabs>
        <w:tab w:val="num" w:pos="850"/>
      </w:tabs>
      <w:ind w:left="850" w:hanging="850"/>
    </w:pPr>
  </w:style>
  <w:style w:type="paragraph" w:customStyle="1" w:styleId="StyleNumPar1NotBold">
    <w:name w:val="Style NumPar 1 + Not Bold"/>
    <w:basedOn w:val="NumPar1"/>
    <w:link w:val="StyleNumPar1NotBoldChar"/>
    <w:pPr>
      <w:numPr>
        <w:numId w:val="0"/>
      </w:numPr>
      <w:tabs>
        <w:tab w:val="num" w:pos="850"/>
        <w:tab w:val="num" w:pos="1134"/>
      </w:tabs>
      <w:spacing w:before="240" w:after="0"/>
      <w:ind w:left="482" w:hanging="482"/>
    </w:pPr>
    <w:rPr>
      <w:rFonts w:ascii="Times New Roman Bold" w:eastAsia="Times New Roman" w:hAnsi="Times New Roman Bold"/>
      <w:b/>
      <w:smallCaps/>
      <w:szCs w:val="24"/>
    </w:rPr>
  </w:style>
  <w:style w:type="character" w:customStyle="1" w:styleId="StyleNumPar1NotBoldChar">
    <w:name w:val="Style NumPar 1 + Not Bold Char"/>
    <w:link w:val="StyleNumPar1NotBold"/>
    <w:rPr>
      <w:rFonts w:ascii="Times New Roman Bold" w:eastAsia="Times New Roman" w:hAnsi="Times New Roman Bold" w:cs="Times New Roman"/>
      <w:b/>
      <w:smallCaps/>
      <w:sz w:val="24"/>
      <w:szCs w:val="24"/>
      <w:lang w:val="pl-PL"/>
    </w:rPr>
  </w:style>
  <w:style w:type="paragraph" w:styleId="NormalWeb">
    <w:name w:val="Normal (Web)"/>
    <w:basedOn w:val="Normal"/>
    <w:pPr>
      <w:spacing w:before="100" w:beforeAutospacing="1" w:after="100" w:afterAutospacing="1"/>
    </w:pPr>
    <w:rPr>
      <w:rFonts w:ascii="Arial" w:eastAsia="Times New Roman" w:hAnsi="Arial" w:cs="Arial"/>
      <w:sz w:val="20"/>
      <w:szCs w:val="20"/>
    </w:rPr>
  </w:style>
  <w:style w:type="paragraph" w:customStyle="1" w:styleId="bodytext0">
    <w:name w:val="bodytext"/>
    <w:basedOn w:val="Normal"/>
    <w:pPr>
      <w:spacing w:before="100" w:beforeAutospacing="1" w:after="100" w:afterAutospacing="1"/>
    </w:pPr>
    <w:rPr>
      <w:rFonts w:ascii="Arial" w:eastAsia="Times New Roman" w:hAnsi="Arial" w:cs="Arial"/>
      <w:sz w:val="20"/>
      <w:szCs w:val="20"/>
    </w:rPr>
  </w:style>
  <w:style w:type="paragraph" w:customStyle="1" w:styleId="titre3">
    <w:name w:val="titre3"/>
    <w:basedOn w:val="Normal"/>
    <w:pPr>
      <w:spacing w:before="100" w:beforeAutospacing="1" w:after="100" w:afterAutospacing="1"/>
    </w:pPr>
    <w:rPr>
      <w:rFonts w:ascii="Arial" w:eastAsia="Times New Roman" w:hAnsi="Arial" w:cs="Arial"/>
      <w:b/>
      <w:bCs/>
      <w:sz w:val="20"/>
      <w:szCs w:val="20"/>
    </w:rPr>
  </w:style>
  <w:style w:type="character" w:customStyle="1" w:styleId="titre41">
    <w:name w:val="titre41"/>
    <w:rPr>
      <w:rFonts w:ascii="Arial" w:hAnsi="Arial" w:cs="Arial" w:hint="default"/>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ext">
    <w:name w:val="Text"/>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tw4winMark">
    <w:name w:val="tw4winMark"/>
    <w:rPr>
      <w:rFonts w:ascii="Times New Roman" w:hAnsi="Times New Roman"/>
      <w:vanish/>
      <w:color w:val="800080"/>
      <w:sz w:val="24"/>
      <w:vertAlign w:val="subscript"/>
      <w:lang w:val="pl-PL" w:eastAsia="pl-PL"/>
    </w:rPr>
  </w:style>
  <w:style w:type="character" w:customStyle="1" w:styleId="tw4winError">
    <w:name w:val="tw4winError"/>
    <w:rPr>
      <w:color w:val="00FF00"/>
      <w:sz w:val="40"/>
      <w:lang w:val="pl-PL" w:eastAsia="pl-PL"/>
    </w:rPr>
  </w:style>
  <w:style w:type="character" w:customStyle="1" w:styleId="tw4winTerm">
    <w:name w:val="tw4winTerm"/>
    <w:rPr>
      <w:color w:val="0000FF"/>
      <w:lang w:val="pl-PL" w:eastAsia="pl-PL"/>
    </w:rPr>
  </w:style>
  <w:style w:type="character" w:customStyle="1" w:styleId="tw4winPopup">
    <w:name w:val="tw4winPopup"/>
    <w:rPr>
      <w:noProof/>
      <w:color w:val="008000"/>
      <w:lang w:val="pl-PL" w:eastAsia="pl-PL"/>
    </w:rPr>
  </w:style>
  <w:style w:type="character" w:customStyle="1" w:styleId="tw4winJump">
    <w:name w:val="tw4winJump"/>
    <w:rPr>
      <w:noProof/>
      <w:color w:val="008080"/>
      <w:lang w:val="pl-PL" w:eastAsia="pl-PL"/>
    </w:rPr>
  </w:style>
  <w:style w:type="character" w:customStyle="1" w:styleId="tw4winExternal">
    <w:name w:val="tw4winExternal"/>
    <w:rPr>
      <w:noProof/>
      <w:color w:val="808080"/>
      <w:lang w:val="pl-PL" w:eastAsia="pl-PL"/>
    </w:rPr>
  </w:style>
  <w:style w:type="character" w:customStyle="1" w:styleId="tw4winInternal">
    <w:name w:val="tw4winInternal"/>
    <w:rPr>
      <w:noProof/>
      <w:color w:val="FF0000"/>
      <w:lang w:val="pl-PL" w:eastAsia="pl-PL"/>
    </w:rPr>
  </w:style>
  <w:style w:type="character" w:customStyle="1" w:styleId="DONOTTRANSLATE">
    <w:name w:val="DO_NOT_TRANSLATE"/>
    <w:rPr>
      <w:noProof/>
      <w:color w:val="800000"/>
      <w:lang w:val="pl-PL" w:eastAsia="pl-PL"/>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bCs/>
      <w:szCs w:val="28"/>
    </w:rPr>
  </w:style>
  <w:style w:type="character" w:customStyle="1" w:styleId="FooterCoverPageChar">
    <w:name w:val="Footer Cover Page Char"/>
    <w:link w:val="FooterCoverPage"/>
    <w:rPr>
      <w:rFonts w:ascii="Times New Roman" w:eastAsia="Times New Roman" w:hAnsi="Times New Roman" w:cs="Times New Roman"/>
      <w:bCs/>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imes New Roman"/>
      <w:bCs/>
      <w:szCs w:val="28"/>
    </w:rPr>
  </w:style>
  <w:style w:type="character" w:customStyle="1" w:styleId="HeaderCoverPageChar">
    <w:name w:val="Header Cover Page Char"/>
    <w:link w:val="HeaderCoverPage"/>
    <w:rPr>
      <w:rFonts w:ascii="Times New Roman" w:eastAsia="Times New Roman" w:hAnsi="Times New Roman" w:cs="Times New Roman"/>
      <w:bCs/>
      <w:sz w:val="24"/>
      <w:szCs w:val="28"/>
    </w:rPr>
  </w:style>
  <w:style w:type="paragraph" w:customStyle="1" w:styleId="SubTitle1">
    <w:name w:val="SubTitle 1"/>
    <w:basedOn w:val="Normal"/>
    <w:next w:val="Normal"/>
    <w:uiPriority w:val="99"/>
    <w:pPr>
      <w:spacing w:before="0" w:after="0"/>
      <w:ind w:left="851"/>
      <w:jc w:val="center"/>
    </w:pPr>
    <w:rPr>
      <w:rFonts w:ascii="Arial" w:eastAsia="Times New Roman" w:hAnsi="Arial"/>
      <w:iCs/>
      <w:sz w:val="32"/>
      <w:szCs w:val="24"/>
    </w:rPr>
  </w:style>
  <w:style w:type="character" w:customStyle="1" w:styleId="s7">
    <w:name w:val="s7"/>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stitle-article-norm2">
    <w:name w:val="stitle-article-norm2"/>
    <w:basedOn w:val="Normal"/>
    <w:pPr>
      <w:spacing w:before="240" w:line="312" w:lineRule="atLeast"/>
      <w:jc w:val="center"/>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Normal"/>
    <w:pPr>
      <w:autoSpaceDE w:val="0"/>
      <w:autoSpaceDN w:val="0"/>
      <w:adjustRightInd w:val="0"/>
      <w:spacing w:after="0"/>
      <w:ind w:left="720" w:hanging="720"/>
    </w:pPr>
    <w:rPr>
      <w:bCs/>
      <w:sz w:val="20"/>
      <w:szCs w:val="20"/>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index heading" w:uiPriority="0"/>
    <w:lsdException w:name="caption" w:uiPriority="35"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nhideWhenUsed/>
    <w:pPr>
      <w:tabs>
        <w:tab w:val="num" w:pos="1209"/>
      </w:tabs>
      <w:ind w:left="1209" w:hanging="360"/>
      <w:contextualSpacing/>
    </w:pPr>
  </w:style>
  <w:style w:type="character" w:styleId="CommentReference">
    <w:name w:val="annotation reference"/>
    <w:uiPriority w:val="99"/>
    <w:rPr>
      <w:rFonts w:cs="Times New Roman"/>
      <w:sz w:val="16"/>
      <w:szCs w:val="16"/>
      <w:lang w:val="pl-PL" w:eastAsia="pl-PL"/>
    </w:rPr>
  </w:style>
  <w:style w:type="character" w:customStyle="1" w:styleId="Heading5Char">
    <w:name w:val="Heading 5 Char"/>
    <w:basedOn w:val="DefaultParagraphFont"/>
    <w:link w:val="Heading5"/>
    <w:rPr>
      <w:rFonts w:ascii="Arial" w:eastAsia="Times New Roman" w:hAnsi="Arial" w:cs="Times New Roman"/>
      <w:szCs w:val="20"/>
      <w:lang w:val="pl-PL"/>
    </w:rPr>
  </w:style>
  <w:style w:type="character" w:customStyle="1" w:styleId="Heading6Char">
    <w:name w:val="Heading 6 Char"/>
    <w:basedOn w:val="DefaultParagraphFont"/>
    <w:link w:val="Heading6"/>
    <w:rPr>
      <w:rFonts w:ascii="Arial" w:eastAsia="Times New Roman" w:hAnsi="Arial" w:cs="Times New Roman"/>
      <w:i/>
      <w:szCs w:val="20"/>
      <w:lang w:val="pl-PL"/>
    </w:rPr>
  </w:style>
  <w:style w:type="character" w:customStyle="1" w:styleId="Heading7Char">
    <w:name w:val="Heading 7 Char"/>
    <w:basedOn w:val="DefaultParagraphFont"/>
    <w:link w:val="Heading7"/>
    <w:rPr>
      <w:rFonts w:ascii="Arial" w:eastAsia="Times New Roman" w:hAnsi="Arial" w:cs="Times New Roman"/>
      <w:sz w:val="20"/>
      <w:szCs w:val="20"/>
      <w:lang w:val="pl-PL"/>
    </w:rPr>
  </w:style>
  <w:style w:type="character" w:customStyle="1" w:styleId="Heading8Char">
    <w:name w:val="Heading 8 Char"/>
    <w:basedOn w:val="DefaultParagraphFont"/>
    <w:link w:val="Heading8"/>
    <w:rPr>
      <w:rFonts w:ascii="Arial" w:eastAsia="Times New Roman" w:hAnsi="Arial" w:cs="Times New Roman"/>
      <w:i/>
      <w:sz w:val="20"/>
      <w:szCs w:val="20"/>
      <w:lang w:val="pl-PL"/>
    </w:rPr>
  </w:style>
  <w:style w:type="character" w:customStyle="1" w:styleId="Heading9Char">
    <w:name w:val="Heading 9 Char"/>
    <w:basedOn w:val="DefaultParagraphFont"/>
    <w:link w:val="Heading9"/>
    <w:rPr>
      <w:rFonts w:ascii="Arial" w:eastAsia="Times New Roman" w:hAnsi="Arial" w:cs="Times New Roman"/>
      <w:i/>
      <w:sz w:val="18"/>
      <w:szCs w:val="20"/>
      <w:lang w:val="pl-PL"/>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pl-PL" w:eastAsia="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unhideWhenUsed/>
    <w:qFormat/>
    <w:pPr>
      <w:numPr>
        <w:numId w:val="12"/>
      </w:numPr>
      <w:tabs>
        <w:tab w:val="clear" w:pos="926"/>
      </w:tabs>
      <w:spacing w:before="0" w:after="200"/>
      <w:ind w:left="0" w:firstLine="0"/>
    </w:pPr>
    <w:rPr>
      <w:b/>
      <w:bCs/>
      <w:color w:val="4F81BD" w:themeColor="accent1"/>
      <w:sz w:val="18"/>
      <w:szCs w:val="18"/>
    </w:rPr>
  </w:style>
  <w:style w:type="paragraph" w:styleId="TableofFigures">
    <w:name w:val="table of figures"/>
    <w:basedOn w:val="Normal"/>
    <w:next w:val="Normal"/>
    <w:uiPriority w:val="99"/>
    <w:semiHidden/>
    <w:unhideWhenUsed/>
    <w:pPr>
      <w:numPr>
        <w:numId w:val="13"/>
      </w:numPr>
      <w:tabs>
        <w:tab w:val="clear" w:pos="1209"/>
      </w:tabs>
      <w:spacing w:after="0"/>
      <w:ind w:left="0" w:firstLine="0"/>
    </w:pPr>
  </w:style>
  <w:style w:type="paragraph" w:styleId="ListNumber2">
    <w:name w:val="List Number 2"/>
    <w:basedOn w:val="Normal"/>
    <w:unhideWhenUsed/>
    <w:pPr>
      <w:numPr>
        <w:numId w:val="1"/>
      </w:numPr>
      <w:contextualSpacing/>
    </w:pPr>
  </w:style>
  <w:style w:type="paragraph" w:styleId="ListNumber3">
    <w:name w:val="List Number 3"/>
    <w:basedOn w:val="Normal"/>
    <w:uiPriority w:val="99"/>
    <w:unhideWhenUsed/>
    <w:pPr>
      <w:tabs>
        <w:tab w:val="num" w:pos="1134"/>
      </w:tabs>
      <w:ind w:left="1134" w:hanging="283"/>
      <w:contextualSpacing/>
    </w:pPr>
  </w:style>
  <w:style w:type="paragraph" w:styleId="ListNumber4">
    <w:name w:val="List Number 4"/>
    <w:basedOn w:val="Normal"/>
    <w:uiPriority w:val="99"/>
    <w:unhideWhenUsed/>
    <w:pPr>
      <w:tabs>
        <w:tab w:val="num" w:pos="1134"/>
      </w:tabs>
      <w:ind w:left="1134" w:hanging="283"/>
      <w:contextualSpacing/>
    </w:pPr>
  </w:style>
  <w:style w:type="paragraph" w:styleId="CommentSubject">
    <w:name w:val="annotation subject"/>
    <w:basedOn w:val="CommentText"/>
    <w:next w:val="CommentText"/>
    <w:link w:val="CommentSubjectChar"/>
    <w:unhideWhenUsed/>
    <w:pPr>
      <w:numPr>
        <w:numId w:val="19"/>
      </w:numPr>
      <w:tabs>
        <w:tab w:val="clear" w:pos="850"/>
      </w:tabs>
      <w:ind w:left="0" w:firstLine="0"/>
    </w:pPr>
    <w:rPr>
      <w:b/>
      <w:bCs/>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pl-PL"/>
    </w:rPr>
  </w:style>
  <w:style w:type="character" w:customStyle="1" w:styleId="Text2Char">
    <w:name w:val="Text 2 Char"/>
    <w:rPr>
      <w:rFonts w:ascii="Times New Roman" w:hAnsi="Times New Roman" w:cs="Times New Roman"/>
      <w:sz w:val="24"/>
      <w:lang w:val="pl-PL"/>
    </w:rPr>
  </w:style>
  <w:style w:type="character" w:customStyle="1" w:styleId="NumPar1Char">
    <w:name w:val="NumPar 1 Char"/>
    <w:rPr>
      <w:rFonts w:ascii="Times New Roman" w:hAnsi="Times New Roman" w:cs="Times New Roman"/>
      <w:sz w:val="24"/>
      <w:lang w:val="pl-PL"/>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l-PL"/>
    </w:rPr>
  </w:style>
  <w:style w:type="paragraph" w:styleId="BodyText2">
    <w:name w:val="Body Text 2"/>
    <w:basedOn w:val="Normal"/>
    <w:link w:val="BodyText2Char"/>
    <w:pPr>
      <w:tabs>
        <w:tab w:val="num" w:pos="850"/>
      </w:tabs>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pl-PL"/>
    </w:rPr>
  </w:style>
  <w:style w:type="paragraph" w:styleId="BodyText3">
    <w:name w:val="Body Text 3"/>
    <w:basedOn w:val="Normal"/>
    <w:link w:val="BodyText3Char"/>
    <w:pPr>
      <w:tabs>
        <w:tab w:val="num" w:pos="850"/>
      </w:tabs>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pl-PL"/>
    </w:rPr>
  </w:style>
  <w:style w:type="paragraph" w:styleId="BodyTextFirstIndent">
    <w:name w:val="Body Text First Indent"/>
    <w:basedOn w:val="BodyText"/>
    <w:link w:val="BodyTextFirstIndentChar"/>
    <w:pPr>
      <w:tabs>
        <w:tab w:val="num" w:pos="850"/>
      </w:tabs>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BodyTextIndent">
    <w:name w:val="Body Text Indent"/>
    <w:basedOn w:val="Normal"/>
    <w:link w:val="BodyTextIndentChar"/>
    <w:pPr>
      <w:tabs>
        <w:tab w:val="num" w:pos="850"/>
      </w:tabs>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pl-P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pl-PL"/>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pl-PL"/>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pl-PL"/>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l-PL"/>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l-PL"/>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42"/>
      </w:tabs>
      <w:spacing w:before="480" w:after="0"/>
      <w:ind w:left="1792" w:hanging="1792"/>
      <w:jc w:val="left"/>
    </w:pPr>
    <w:rPr>
      <w:rFonts w:eastAsia="Times New Roman"/>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pl-PL"/>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pl-PL"/>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l-PL"/>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numPr>
        <w:numId w:val="14"/>
      </w:numPr>
      <w:tabs>
        <w:tab w:val="clear" w:pos="1492"/>
      </w:tabs>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709"/>
      </w:tabs>
      <w:spacing w:before="0" w:after="240"/>
      <w:ind w:left="709" w:hanging="709"/>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283"/>
      </w:tabs>
      <w:spacing w:before="0" w:after="240"/>
      <w:ind w:left="283" w:hanging="283"/>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l-P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pl-PL"/>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pl-PL"/>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pl-PL"/>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pl-PL"/>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pl-PL"/>
    </w:rPr>
  </w:style>
  <w:style w:type="paragraph" w:styleId="TableofAuthorities">
    <w:name w:val="table of authorities"/>
    <w:basedOn w:val="Normal"/>
    <w:next w:val="Normal"/>
    <w:semiHidden/>
    <w:pPr>
      <w:numPr>
        <w:numId w:val="15"/>
      </w:numPr>
      <w:tabs>
        <w:tab w:val="clear" w:pos="283"/>
        <w:tab w:val="num" w:pos="850"/>
      </w:tabs>
      <w:spacing w:before="0" w:after="240"/>
      <w:ind w:left="850" w:hanging="850"/>
    </w:pPr>
    <w:rPr>
      <w:rFonts w:eastAsia="Times New Roman"/>
      <w:szCs w:val="20"/>
    </w:rPr>
  </w:style>
  <w:style w:type="paragraph" w:styleId="Title">
    <w:name w:val="Title"/>
    <w:basedOn w:val="Normal"/>
    <w:link w:val="TitleChar"/>
    <w:uiPriority w:val="99"/>
    <w:qFormat/>
    <w:pPr>
      <w:numPr>
        <w:numId w:val="16"/>
      </w:numPr>
      <w:tabs>
        <w:tab w:val="clear" w:pos="2199"/>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TOAHeading">
    <w:name w:val="toa heading"/>
    <w:basedOn w:val="Normal"/>
    <w:next w:val="Normal"/>
    <w:semiHidden/>
    <w:pPr>
      <w:numPr>
        <w:numId w:val="17"/>
      </w:numPr>
      <w:tabs>
        <w:tab w:val="clear" w:pos="1911"/>
      </w:tabs>
      <w:spacing w:after="240"/>
      <w:ind w:left="0" w:firstLine="0"/>
    </w:pPr>
    <w:rPr>
      <w:rFonts w:ascii="Arial" w:eastAsia="Times New Roman" w:hAnsi="Arial"/>
      <w:b/>
      <w:szCs w:val="20"/>
    </w:rPr>
  </w:style>
  <w:style w:type="paragraph" w:customStyle="1" w:styleId="YReferences">
    <w:name w:val="YReferences"/>
    <w:basedOn w:val="Normal"/>
    <w:next w:val="Normal"/>
    <w:pPr>
      <w:numPr>
        <w:ilvl w:val="1"/>
        <w:numId w:val="17"/>
      </w:numPr>
      <w:tabs>
        <w:tab w:val="clear" w:pos="2619"/>
      </w:tabs>
      <w:spacing w:before="0" w:after="480"/>
      <w:ind w:left="1191" w:hanging="1191"/>
    </w:pPr>
    <w:rPr>
      <w:rFonts w:eastAsia="Times New Roman"/>
      <w:szCs w:val="20"/>
    </w:rPr>
  </w:style>
  <w:style w:type="paragraph" w:customStyle="1" w:styleId="ListDash">
    <w:name w:val="List Dash"/>
    <w:basedOn w:val="Normal"/>
    <w:pPr>
      <w:numPr>
        <w:ilvl w:val="2"/>
        <w:numId w:val="17"/>
      </w:numPr>
      <w:tabs>
        <w:tab w:val="clear" w:pos="3328"/>
        <w:tab w:val="num" w:pos="283"/>
      </w:tabs>
      <w:spacing w:before="0" w:after="240"/>
      <w:ind w:left="283" w:hanging="283"/>
    </w:pPr>
    <w:rPr>
      <w:rFonts w:eastAsia="Times New Roman"/>
      <w:szCs w:val="20"/>
    </w:rPr>
  </w:style>
  <w:style w:type="paragraph" w:customStyle="1" w:styleId="ListDash3">
    <w:name w:val="List Dash 3"/>
    <w:basedOn w:val="Text3"/>
    <w:pPr>
      <w:numPr>
        <w:ilvl w:val="3"/>
        <w:numId w:val="17"/>
      </w:numPr>
      <w:tabs>
        <w:tab w:val="clear" w:pos="4037"/>
        <w:tab w:val="num" w:pos="2199"/>
      </w:tabs>
      <w:spacing w:before="0" w:after="240"/>
      <w:ind w:left="2199" w:hanging="283"/>
    </w:pPr>
    <w:rPr>
      <w:rFonts w:eastAsia="Times New Roman"/>
      <w:szCs w:val="20"/>
    </w:rPr>
  </w:style>
  <w:style w:type="paragraph" w:customStyle="1" w:styleId="ListDash4">
    <w:name w:val="List Dash 4"/>
    <w:basedOn w:val="Text4"/>
    <w:pPr>
      <w:tabs>
        <w:tab w:val="num" w:pos="926"/>
      </w:tabs>
      <w:spacing w:before="0" w:after="240"/>
      <w:ind w:left="926" w:hanging="360"/>
    </w:pPr>
    <w:rPr>
      <w:rFonts w:eastAsia="Times New Roman"/>
      <w:szCs w:val="20"/>
    </w:rPr>
  </w:style>
  <w:style w:type="paragraph" w:customStyle="1" w:styleId="ListNumber1">
    <w:name w:val="List Number 1"/>
    <w:basedOn w:val="Text1"/>
    <w:pPr>
      <w:tabs>
        <w:tab w:val="num" w:pos="1209"/>
      </w:tabs>
      <w:spacing w:before="0" w:after="240"/>
      <w:ind w:left="1209" w:hanging="360"/>
    </w:pPr>
    <w:rPr>
      <w:rFonts w:eastAsia="Times New Roman"/>
      <w:szCs w:val="20"/>
    </w:rPr>
  </w:style>
  <w:style w:type="paragraph" w:customStyle="1" w:styleId="ListNumber1Level2">
    <w:name w:val="List Number 1 (Level 2)"/>
    <w:basedOn w:val="Text1"/>
    <w:pPr>
      <w:numPr>
        <w:ilvl w:val="1"/>
        <w:numId w:val="10"/>
      </w:numPr>
      <w:spacing w:before="0" w:after="240"/>
    </w:pPr>
    <w:rPr>
      <w:rFonts w:eastAsia="Times New Roman"/>
      <w:szCs w:val="20"/>
    </w:rPr>
  </w:style>
  <w:style w:type="paragraph" w:customStyle="1" w:styleId="ListNumber1Level3">
    <w:name w:val="List Number 1 (Level 3)"/>
    <w:basedOn w:val="Text1"/>
    <w:pPr>
      <w:numPr>
        <w:ilvl w:val="2"/>
        <w:numId w:val="10"/>
      </w:numPr>
      <w:spacing w:before="0" w:after="240"/>
    </w:pPr>
    <w:rPr>
      <w:rFonts w:eastAsia="Times New Roman"/>
      <w:szCs w:val="20"/>
    </w:rPr>
  </w:style>
  <w:style w:type="paragraph" w:customStyle="1" w:styleId="ListNumber1Level4">
    <w:name w:val="List Number 1 (Level 4)"/>
    <w:basedOn w:val="Text1"/>
    <w:pPr>
      <w:numPr>
        <w:ilvl w:val="3"/>
        <w:numId w:val="10"/>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b/>
      <w:smallCaps/>
      <w:sz w:val="20"/>
      <w:szCs w:val="20"/>
      <w:u w:val="single"/>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StyleNumPar2NotBold">
    <w:name w:val="Style NumPar 2 + Not Bold"/>
    <w:basedOn w:val="NumPar2"/>
    <w:pPr>
      <w:numPr>
        <w:ilvl w:val="0"/>
        <w:numId w:val="0"/>
      </w:numPr>
      <w:tabs>
        <w:tab w:val="num" w:pos="850"/>
      </w:tabs>
      <w:ind w:left="850" w:hanging="850"/>
    </w:pPr>
  </w:style>
  <w:style w:type="paragraph" w:customStyle="1" w:styleId="StyleNumPar1NotBold">
    <w:name w:val="Style NumPar 1 + Not Bold"/>
    <w:basedOn w:val="NumPar1"/>
    <w:link w:val="StyleNumPar1NotBoldChar"/>
    <w:pPr>
      <w:numPr>
        <w:numId w:val="0"/>
      </w:numPr>
      <w:tabs>
        <w:tab w:val="num" w:pos="850"/>
        <w:tab w:val="num" w:pos="1134"/>
      </w:tabs>
      <w:spacing w:before="240" w:after="0"/>
      <w:ind w:left="482" w:hanging="482"/>
    </w:pPr>
    <w:rPr>
      <w:rFonts w:ascii="Times New Roman Bold" w:eastAsia="Times New Roman" w:hAnsi="Times New Roman Bold"/>
      <w:b/>
      <w:smallCaps/>
      <w:szCs w:val="24"/>
    </w:rPr>
  </w:style>
  <w:style w:type="character" w:customStyle="1" w:styleId="StyleNumPar1NotBoldChar">
    <w:name w:val="Style NumPar 1 + Not Bold Char"/>
    <w:link w:val="StyleNumPar1NotBold"/>
    <w:rPr>
      <w:rFonts w:ascii="Times New Roman Bold" w:eastAsia="Times New Roman" w:hAnsi="Times New Roman Bold" w:cs="Times New Roman"/>
      <w:b/>
      <w:smallCaps/>
      <w:sz w:val="24"/>
      <w:szCs w:val="24"/>
      <w:lang w:val="pl-PL"/>
    </w:rPr>
  </w:style>
  <w:style w:type="paragraph" w:styleId="NormalWeb">
    <w:name w:val="Normal (Web)"/>
    <w:basedOn w:val="Normal"/>
    <w:pPr>
      <w:spacing w:before="100" w:beforeAutospacing="1" w:after="100" w:afterAutospacing="1"/>
    </w:pPr>
    <w:rPr>
      <w:rFonts w:ascii="Arial" w:eastAsia="Times New Roman" w:hAnsi="Arial" w:cs="Arial"/>
      <w:sz w:val="20"/>
      <w:szCs w:val="20"/>
    </w:rPr>
  </w:style>
  <w:style w:type="paragraph" w:customStyle="1" w:styleId="bodytext0">
    <w:name w:val="bodytext"/>
    <w:basedOn w:val="Normal"/>
    <w:pPr>
      <w:spacing w:before="100" w:beforeAutospacing="1" w:after="100" w:afterAutospacing="1"/>
    </w:pPr>
    <w:rPr>
      <w:rFonts w:ascii="Arial" w:eastAsia="Times New Roman" w:hAnsi="Arial" w:cs="Arial"/>
      <w:sz w:val="20"/>
      <w:szCs w:val="20"/>
    </w:rPr>
  </w:style>
  <w:style w:type="paragraph" w:customStyle="1" w:styleId="titre3">
    <w:name w:val="titre3"/>
    <w:basedOn w:val="Normal"/>
    <w:pPr>
      <w:spacing w:before="100" w:beforeAutospacing="1" w:after="100" w:afterAutospacing="1"/>
    </w:pPr>
    <w:rPr>
      <w:rFonts w:ascii="Arial" w:eastAsia="Times New Roman" w:hAnsi="Arial" w:cs="Arial"/>
      <w:b/>
      <w:bCs/>
      <w:sz w:val="20"/>
      <w:szCs w:val="20"/>
    </w:rPr>
  </w:style>
  <w:style w:type="character" w:customStyle="1" w:styleId="titre41">
    <w:name w:val="titre41"/>
    <w:rPr>
      <w:rFonts w:ascii="Arial" w:hAnsi="Arial" w:cs="Arial" w:hint="default"/>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ext">
    <w:name w:val="Text"/>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tw4winMark">
    <w:name w:val="tw4winMark"/>
    <w:rPr>
      <w:rFonts w:ascii="Times New Roman" w:hAnsi="Times New Roman"/>
      <w:vanish/>
      <w:color w:val="800080"/>
      <w:sz w:val="24"/>
      <w:vertAlign w:val="subscript"/>
      <w:lang w:val="pl-PL" w:eastAsia="pl-PL"/>
    </w:rPr>
  </w:style>
  <w:style w:type="character" w:customStyle="1" w:styleId="tw4winError">
    <w:name w:val="tw4winError"/>
    <w:rPr>
      <w:color w:val="00FF00"/>
      <w:sz w:val="40"/>
      <w:lang w:val="pl-PL" w:eastAsia="pl-PL"/>
    </w:rPr>
  </w:style>
  <w:style w:type="character" w:customStyle="1" w:styleId="tw4winTerm">
    <w:name w:val="tw4winTerm"/>
    <w:rPr>
      <w:color w:val="0000FF"/>
      <w:lang w:val="pl-PL" w:eastAsia="pl-PL"/>
    </w:rPr>
  </w:style>
  <w:style w:type="character" w:customStyle="1" w:styleId="tw4winPopup">
    <w:name w:val="tw4winPopup"/>
    <w:rPr>
      <w:noProof/>
      <w:color w:val="008000"/>
      <w:lang w:val="pl-PL" w:eastAsia="pl-PL"/>
    </w:rPr>
  </w:style>
  <w:style w:type="character" w:customStyle="1" w:styleId="tw4winJump">
    <w:name w:val="tw4winJump"/>
    <w:rPr>
      <w:noProof/>
      <w:color w:val="008080"/>
      <w:lang w:val="pl-PL" w:eastAsia="pl-PL"/>
    </w:rPr>
  </w:style>
  <w:style w:type="character" w:customStyle="1" w:styleId="tw4winExternal">
    <w:name w:val="tw4winExternal"/>
    <w:rPr>
      <w:noProof/>
      <w:color w:val="808080"/>
      <w:lang w:val="pl-PL" w:eastAsia="pl-PL"/>
    </w:rPr>
  </w:style>
  <w:style w:type="character" w:customStyle="1" w:styleId="tw4winInternal">
    <w:name w:val="tw4winInternal"/>
    <w:rPr>
      <w:noProof/>
      <w:color w:val="FF0000"/>
      <w:lang w:val="pl-PL" w:eastAsia="pl-PL"/>
    </w:rPr>
  </w:style>
  <w:style w:type="character" w:customStyle="1" w:styleId="DONOTTRANSLATE">
    <w:name w:val="DO_NOT_TRANSLATE"/>
    <w:rPr>
      <w:noProof/>
      <w:color w:val="800000"/>
      <w:lang w:val="pl-PL" w:eastAsia="pl-PL"/>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bCs/>
      <w:szCs w:val="28"/>
    </w:rPr>
  </w:style>
  <w:style w:type="character" w:customStyle="1" w:styleId="FooterCoverPageChar">
    <w:name w:val="Footer Cover Page Char"/>
    <w:link w:val="FooterCoverPage"/>
    <w:rPr>
      <w:rFonts w:ascii="Times New Roman" w:eastAsia="Times New Roman" w:hAnsi="Times New Roman" w:cs="Times New Roman"/>
      <w:bCs/>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imes New Roman"/>
      <w:bCs/>
      <w:szCs w:val="28"/>
    </w:rPr>
  </w:style>
  <w:style w:type="character" w:customStyle="1" w:styleId="HeaderCoverPageChar">
    <w:name w:val="Header Cover Page Char"/>
    <w:link w:val="HeaderCoverPage"/>
    <w:rPr>
      <w:rFonts w:ascii="Times New Roman" w:eastAsia="Times New Roman" w:hAnsi="Times New Roman" w:cs="Times New Roman"/>
      <w:bCs/>
      <w:sz w:val="24"/>
      <w:szCs w:val="28"/>
    </w:rPr>
  </w:style>
  <w:style w:type="paragraph" w:customStyle="1" w:styleId="SubTitle1">
    <w:name w:val="SubTitle 1"/>
    <w:basedOn w:val="Normal"/>
    <w:next w:val="Normal"/>
    <w:uiPriority w:val="99"/>
    <w:pPr>
      <w:spacing w:before="0" w:after="0"/>
      <w:ind w:left="851"/>
      <w:jc w:val="center"/>
    </w:pPr>
    <w:rPr>
      <w:rFonts w:ascii="Arial" w:eastAsia="Times New Roman" w:hAnsi="Arial"/>
      <w:iCs/>
      <w:sz w:val="32"/>
      <w:szCs w:val="24"/>
    </w:rPr>
  </w:style>
  <w:style w:type="character" w:customStyle="1" w:styleId="s7">
    <w:name w:val="s7"/>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stitle-article-norm2">
    <w:name w:val="stitle-article-norm2"/>
    <w:basedOn w:val="Normal"/>
    <w:pPr>
      <w:spacing w:before="240" w:line="312" w:lineRule="atLeast"/>
      <w:jc w:val="center"/>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Normal"/>
    <w:pPr>
      <w:autoSpaceDE w:val="0"/>
      <w:autoSpaceDN w:val="0"/>
      <w:adjustRightInd w:val="0"/>
      <w:spacing w:after="0"/>
      <w:ind w:left="720" w:hanging="720"/>
    </w:pPr>
    <w:rPr>
      <w:bCs/>
      <w:sz w:val="20"/>
      <w:szCs w:val="20"/>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mart-regulation/impact/ia_carried_out/cia_2016_en.ht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10186/6937805/Summary+report+on+the+open+public+consultations/52c01d34-ca85-4e8d-aaae-df4ae84b8dea" TargetMode="External"/><Relationship Id="rId2" Type="http://schemas.openxmlformats.org/officeDocument/2006/relationships/hyperlink" Target="http://ec.europa.eu/eurostat/documents/10186/7142348/ABS-Report.pdf" TargetMode="External"/><Relationship Id="rId1" Type="http://schemas.openxmlformats.org/officeDocument/2006/relationships/hyperlink" Target="http://ec.europa.eu/eurostat/web/quality/evaluation"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F777-2175-48B5-A47D-96FCF972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56</Pages>
  <Words>14355</Words>
  <Characters>99630</Characters>
  <Application>Microsoft Office Word</Application>
  <DocSecurity>0</DocSecurity>
  <Lines>2264</Lines>
  <Paragraphs>965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dcterms:created xsi:type="dcterms:W3CDTF">2017-02-27T09:50:00Z</dcterms:created>
  <dcterms:modified xsi:type="dcterms:W3CDTF">2017-02-27T13:07:00Z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