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E376E5F35C445968E44C8DD2B77F2CD" style="width:450.8pt;height:393.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outlineLvl w:val="0"/>
        <w:rPr>
          <w:b/>
          <w:noProof/>
        </w:rPr>
      </w:pPr>
      <w:bookmarkStart w:id="0" w:name="_GoBack"/>
      <w:bookmarkEnd w:id="0"/>
    </w:p>
    <w:p>
      <w:pPr>
        <w:keepNext/>
        <w:jc w:val="center"/>
        <w:outlineLvl w:val="0"/>
        <w:rPr>
          <w:b/>
          <w:noProof/>
          <w:u w:val="single"/>
        </w:rPr>
      </w:pPr>
      <w:r>
        <w:rPr>
          <w:b/>
          <w:noProof/>
          <w:u w:val="single"/>
        </w:rPr>
        <w:t xml:space="preserve">Bilaga I </w:t>
      </w:r>
    </w:p>
    <w:p>
      <w:pPr>
        <w:keepNext/>
        <w:jc w:val="center"/>
        <w:outlineLvl w:val="0"/>
        <w:rPr>
          <w:b/>
          <w:noProof/>
        </w:rPr>
      </w:pPr>
      <w:r>
        <w:rPr>
          <w:b/>
          <w:noProof/>
        </w:rPr>
        <w:t xml:space="preserve">Ämnen som ska omfattas </w:t>
      </w:r>
    </w:p>
    <w:tbl>
      <w:tblPr>
        <w:tblW w:w="8662" w:type="dxa"/>
        <w:tblInd w:w="93" w:type="dxa"/>
        <w:tblLook w:val="04A0" w:firstRow="1" w:lastRow="0" w:firstColumn="1" w:lastColumn="0" w:noHBand="0" w:noVBand="1"/>
      </w:tblPr>
      <w:tblGrid>
        <w:gridCol w:w="2709"/>
        <w:gridCol w:w="5953"/>
      </w:tblGrid>
      <w:tr>
        <w:trPr>
          <w:trHeight w:val="300"/>
        </w:trPr>
        <w:tc>
          <w:tcPr>
            <w:tcW w:w="8662" w:type="dxa"/>
            <w:gridSpan w:val="2"/>
            <w:tcBorders>
              <w:bottom w:val="single" w:sz="4" w:space="0" w:color="auto"/>
              <w:right w:val="nil"/>
            </w:tcBorders>
            <w:shd w:val="clear" w:color="auto" w:fill="auto"/>
            <w:noWrap/>
            <w:hideMark/>
          </w:tcPr>
          <w:p>
            <w:pPr>
              <w:rPr>
                <w:b/>
                <w:bCs/>
                <w:noProof/>
                <w:sz w:val="22"/>
              </w:rPr>
            </w:pPr>
            <w:r>
              <w:rPr>
                <w:b/>
                <w:noProof/>
                <w:sz w:val="22"/>
              </w:rPr>
              <w:t>Ämnesområde 1. Konjunkturstatistik över företag</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Ämnen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Specifika ämnen</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Företagspopulation</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Företagsdemografiska händelser (konkurser och registreringar)</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Sysselsättning</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Utförda arbetstimmar </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Arbetskraftskostnader</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Priser</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Importpriser </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Producentpriser</w:t>
            </w:r>
          </w:p>
        </w:tc>
      </w:tr>
      <w:tr>
        <w:tc>
          <w:tcPr>
            <w:tcW w:w="2709" w:type="dxa"/>
            <w:vMerge w:val="restart"/>
            <w:tcBorders>
              <w:top w:val="nil"/>
              <w:left w:val="single" w:sz="4" w:space="0" w:color="auto"/>
              <w:bottom w:val="nil"/>
              <w:right w:val="single" w:sz="4" w:space="0" w:color="auto"/>
            </w:tcBorders>
            <w:shd w:val="clear" w:color="auto" w:fill="auto"/>
            <w:hideMark/>
          </w:tcPr>
          <w:p>
            <w:pPr>
              <w:rPr>
                <w:noProof/>
                <w:sz w:val="22"/>
              </w:rPr>
            </w:pPr>
            <w:r>
              <w:rPr>
                <w:noProof/>
                <w:sz w:val="22"/>
              </w:rPr>
              <w:t>Prestationer och resultat</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Produktion</w:t>
            </w:r>
          </w:p>
        </w:tc>
      </w:tr>
      <w:tr>
        <w:tc>
          <w:tcPr>
            <w:tcW w:w="2709" w:type="dxa"/>
            <w:vMerge/>
            <w:tcBorders>
              <w:top w:val="nil"/>
              <w:left w:val="single" w:sz="4" w:space="0" w:color="auto"/>
              <w:bottom w:val="nil"/>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Försäljningsvolym</w:t>
            </w:r>
          </w:p>
        </w:tc>
      </w:tr>
      <w:tr>
        <w:tc>
          <w:tcPr>
            <w:tcW w:w="2709" w:type="dxa"/>
            <w:vMerge/>
            <w:tcBorders>
              <w:top w:val="nil"/>
              <w:left w:val="single" w:sz="4" w:space="0" w:color="auto"/>
              <w:bottom w:val="nil"/>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Nettoomsättning</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Tillstånd</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Bygglov</w:t>
            </w:r>
          </w:p>
        </w:tc>
      </w:tr>
      <w:tr>
        <w:trPr>
          <w:trHeight w:val="300"/>
        </w:trPr>
        <w:tc>
          <w:tcPr>
            <w:tcW w:w="2709" w:type="dxa"/>
            <w:tcBorders>
              <w:top w:val="single" w:sz="4" w:space="0" w:color="auto"/>
              <w:left w:val="nil"/>
              <w:right w:val="nil"/>
            </w:tcBorders>
            <w:shd w:val="clear" w:color="auto" w:fill="auto"/>
            <w:hideMark/>
          </w:tcPr>
          <w:p>
            <w:pPr>
              <w:rPr>
                <w:noProof/>
                <w:sz w:val="22"/>
              </w:rPr>
            </w:pPr>
            <w:r>
              <w:rPr>
                <w:noProof/>
                <w:sz w:val="22"/>
              </w:rPr>
              <w:t> </w:t>
            </w:r>
          </w:p>
        </w:tc>
        <w:tc>
          <w:tcPr>
            <w:tcW w:w="5953" w:type="dxa"/>
            <w:tcBorders>
              <w:top w:val="single" w:sz="4" w:space="0" w:color="auto"/>
              <w:left w:val="nil"/>
              <w:right w:val="nil"/>
            </w:tcBorders>
            <w:shd w:val="clear" w:color="auto" w:fill="auto"/>
            <w:hideMark/>
          </w:tcPr>
          <w:p>
            <w:pPr>
              <w:rPr>
                <w:noProof/>
                <w:sz w:val="22"/>
              </w:rPr>
            </w:pPr>
            <w:r>
              <w:rPr>
                <w:noProof/>
                <w:sz w:val="22"/>
              </w:rPr>
              <w:t> </w:t>
            </w:r>
          </w:p>
        </w:tc>
      </w:tr>
      <w:tr>
        <w:trPr>
          <w:trHeight w:val="300"/>
        </w:trPr>
        <w:tc>
          <w:tcPr>
            <w:tcW w:w="8662" w:type="dxa"/>
            <w:gridSpan w:val="2"/>
            <w:tcBorders>
              <w:top w:val="nil"/>
              <w:bottom w:val="nil"/>
              <w:right w:val="nil"/>
            </w:tcBorders>
            <w:shd w:val="clear" w:color="auto" w:fill="auto"/>
            <w:noWrap/>
            <w:hideMark/>
          </w:tcPr>
          <w:p>
            <w:pPr>
              <w:rPr>
                <w:b/>
                <w:bCs/>
                <w:noProof/>
                <w:sz w:val="22"/>
              </w:rPr>
            </w:pPr>
            <w:r>
              <w:rPr>
                <w:b/>
                <w:noProof/>
                <w:sz w:val="22"/>
              </w:rPr>
              <w:t>Ämnesområde 2. Företagsstatistik på landsnivå</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Ämnen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Specifika ämnen</w:t>
            </w:r>
          </w:p>
        </w:tc>
      </w:tr>
      <w:tr>
        <w:tc>
          <w:tcPr>
            <w:tcW w:w="2709" w:type="dxa"/>
            <w:vMerge w:val="restart"/>
            <w:tcBorders>
              <w:top w:val="single" w:sz="4" w:space="0" w:color="auto"/>
              <w:left w:val="single" w:sz="4" w:space="0" w:color="auto"/>
              <w:right w:val="single" w:sz="4" w:space="0" w:color="auto"/>
            </w:tcBorders>
            <w:shd w:val="clear" w:color="auto" w:fill="auto"/>
            <w:hideMark/>
          </w:tcPr>
          <w:p>
            <w:pPr>
              <w:rPr>
                <w:noProof/>
                <w:sz w:val="22"/>
              </w:rPr>
            </w:pPr>
            <w:r>
              <w:rPr>
                <w:noProof/>
                <w:sz w:val="22"/>
              </w:rPr>
              <w:t>Företagspopulation</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Population av aktiva företag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Företagsdemografiska händelser (födelse, död, överlevnad)</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Utlandskontrollerade företag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nil"/>
              <w:right w:val="single" w:sz="4" w:space="0" w:color="auto"/>
            </w:tcBorders>
            <w:shd w:val="clear" w:color="auto" w:fill="auto"/>
          </w:tcPr>
          <w:p>
            <w:pPr>
              <w:rPr>
                <w:noProof/>
                <w:sz w:val="22"/>
              </w:rPr>
            </w:pPr>
            <w:r>
              <w:rPr>
                <w:noProof/>
                <w:sz w:val="22"/>
              </w:rPr>
              <w:t>Utländska kontrollerande företag (yttersta kontrollerande institutionella enhet) och inhemska dotterbolag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Population av företag som bedriver internationell handel</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Sysselsättning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Sysselsättning kopplad till företagsdemografiska händelser (födelse, död, överlevnad)</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Sysselsättning i utlandskontrollerade företag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Sysselsättning i utländska kontrollerande företag (yttersta kontrollerande institutionella enhet) och inhemska dotterbolag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Utförda arbetstimmar</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Arbetskraftskostnader</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Arbetskraftskostnader i utlandskontrollerade företag</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FoU-insatser</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FoU-utgifter</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FoU-sysselsättning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FoU-utgifter i utlandskontrollerade företag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FoU-sysselsättning i utlandskontrollerade företag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Offentligt finansierad FoU</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Inköp</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Inköp av varor och tjänster</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Förändring i varulager </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Inköp av varor och tjänster i utlandskontrollerade företag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Företagens import</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Prestationer och resultat</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Nettoomsättning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Bruttomarginal för handelsvaror</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Produktionsvärde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Förädlingsvärde</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Bruttodriftsöverskott</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Nettoomsättning i utlandskontrollerade företag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Produktionsvärde i utlandskontrollerade företag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 xml:space="preserve">Förädlingsvärde i utlandskontrollerade företag </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Nettoomsättning i utländska kontrollerande företag (yttersta kontrollerande institutionella enhet) och inhemska dotterbolag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Industriproduktion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Företagens export</w:t>
            </w:r>
          </w:p>
        </w:tc>
      </w:tr>
      <w:tr>
        <w:tc>
          <w:tcPr>
            <w:tcW w:w="2709" w:type="dxa"/>
            <w:vMerge w:val="restart"/>
            <w:tcBorders>
              <w:top w:val="single" w:sz="4" w:space="0" w:color="000000"/>
              <w:left w:val="single" w:sz="4" w:space="0" w:color="auto"/>
              <w:bottom w:val="nil"/>
              <w:right w:val="single" w:sz="4" w:space="0" w:color="auto"/>
            </w:tcBorders>
            <w:shd w:val="clear" w:color="auto" w:fill="auto"/>
            <w:hideMark/>
          </w:tcPr>
          <w:p>
            <w:pPr>
              <w:rPr>
                <w:noProof/>
                <w:sz w:val="22"/>
              </w:rPr>
            </w:pPr>
            <w:r>
              <w:rPr>
                <w:noProof/>
                <w:sz w:val="22"/>
              </w:rPr>
              <w:t>Investeringar</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 xml:space="preserve">Bruttoinvestering </w:t>
            </w:r>
          </w:p>
        </w:tc>
      </w:tr>
      <w:tr>
        <w:tc>
          <w:tcPr>
            <w:tcW w:w="2709" w:type="dxa"/>
            <w:vMerge/>
            <w:tcBorders>
              <w:top w:val="single" w:sz="4" w:space="0" w:color="000000"/>
              <w:left w:val="single" w:sz="4" w:space="0" w:color="auto"/>
              <w:bottom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Bruttoinvestering av utlandskontrollerade företag</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Innovation</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Innovation</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IKT-användning och e-handel</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IKT-användning och e-handel</w:t>
            </w:r>
          </w:p>
        </w:tc>
      </w:tr>
      <w:tr>
        <w:trPr>
          <w:trHeight w:val="300"/>
        </w:trPr>
        <w:tc>
          <w:tcPr>
            <w:tcW w:w="8662" w:type="dxa"/>
            <w:gridSpan w:val="2"/>
            <w:tcBorders>
              <w:top w:val="nil"/>
              <w:left w:val="nil"/>
              <w:bottom w:val="nil"/>
              <w:right w:val="nil"/>
            </w:tcBorders>
            <w:shd w:val="clear" w:color="auto" w:fill="auto"/>
            <w:hideMark/>
          </w:tcPr>
          <w:p>
            <w:pPr>
              <w:rPr>
                <w:b/>
                <w:bCs/>
                <w:noProof/>
                <w:sz w:val="22"/>
              </w:rPr>
            </w:pPr>
          </w:p>
          <w:p>
            <w:pPr>
              <w:rPr>
                <w:b/>
                <w:bCs/>
                <w:noProof/>
                <w:sz w:val="22"/>
              </w:rPr>
            </w:pPr>
            <w:r>
              <w:rPr>
                <w:b/>
                <w:noProof/>
                <w:sz w:val="22"/>
              </w:rPr>
              <w:t>Ämnesområde 3. Regional företagsstatistik</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Ämnen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Specifika ämnen</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Företagspopulation</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Population per region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Företagsdemografiska händelser (födelse, död, överlevnad)</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Sysselsättning per region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Sysselsättning kopplad till företagsdemografiska händelser (födelse, död, överlevnad)</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Arbetskraftskostnader per region</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FoU-insatser</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FoU-utgifter per region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FoU-sysselsättning per region</w:t>
            </w:r>
          </w:p>
        </w:tc>
      </w:tr>
      <w:tr>
        <w:trPr>
          <w:trHeight w:val="300"/>
        </w:trPr>
        <w:tc>
          <w:tcPr>
            <w:tcW w:w="2709" w:type="dxa"/>
            <w:tcBorders>
              <w:top w:val="nil"/>
              <w:left w:val="nil"/>
              <w:right w:val="nil"/>
            </w:tcBorders>
            <w:shd w:val="clear" w:color="auto" w:fill="auto"/>
            <w:hideMark/>
          </w:tcPr>
          <w:p>
            <w:pPr>
              <w:rPr>
                <w:noProof/>
                <w:sz w:val="22"/>
              </w:rPr>
            </w:pPr>
          </w:p>
        </w:tc>
        <w:tc>
          <w:tcPr>
            <w:tcW w:w="5953" w:type="dxa"/>
            <w:tcBorders>
              <w:top w:val="nil"/>
              <w:left w:val="nil"/>
              <w:right w:val="nil"/>
            </w:tcBorders>
            <w:shd w:val="clear" w:color="auto" w:fill="auto"/>
            <w:hideMark/>
          </w:tcPr>
          <w:p>
            <w:pPr>
              <w:rPr>
                <w:noProof/>
                <w:sz w:val="22"/>
              </w:rPr>
            </w:pPr>
          </w:p>
        </w:tc>
      </w:tr>
      <w:tr>
        <w:trPr>
          <w:trHeight w:val="300"/>
        </w:trPr>
        <w:tc>
          <w:tcPr>
            <w:tcW w:w="8662" w:type="dxa"/>
            <w:gridSpan w:val="2"/>
            <w:tcBorders>
              <w:top w:val="nil"/>
              <w:bottom w:val="nil"/>
              <w:right w:val="nil"/>
            </w:tcBorders>
            <w:shd w:val="clear" w:color="auto" w:fill="auto"/>
            <w:hideMark/>
          </w:tcPr>
          <w:p>
            <w:pPr>
              <w:rPr>
                <w:b/>
                <w:bCs/>
                <w:noProof/>
                <w:sz w:val="22"/>
              </w:rPr>
            </w:pPr>
            <w:r>
              <w:rPr>
                <w:b/>
                <w:noProof/>
                <w:sz w:val="22"/>
              </w:rPr>
              <w:t>Ämnesområde 4. Statistik om internationell verksamhet</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Ämnen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Specifika ämnen</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Företagspopulation</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Population av företag utomlands som ytterst kontrolleras av institutionella enheter i det rapporterande landet</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Arbetskraftsinsatser</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Sysselsättning i företag utomlands som ytterst kontrolleras av institutionella enheter i det rapporterande landet</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Arbetskraftskostnader i företag utomlands som ytterst kontrolleras av institutionella enheter i det rapporterande landet</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Investeringar</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Bruttoinvesteringar av företag utomlands som ytterst kontrolleras av institutionella enheter i det rapporterande landet</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Prestationer och resultat</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Nettoomsättning i företag utomlands som ytterst kontrolleras av institutionella enheter i det rapporterande landet</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Internationell handel med varor</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Varuhandel inom EU</w:t>
            </w:r>
          </w:p>
        </w:tc>
      </w:tr>
      <w:tr>
        <w:tc>
          <w:tcPr>
            <w:tcW w:w="2709" w:type="dxa"/>
            <w:tcBorders>
              <w:top w:val="nil"/>
              <w:left w:val="single" w:sz="4" w:space="0" w:color="auto"/>
              <w:bottom w:val="nil"/>
              <w:right w:val="single" w:sz="4" w:space="0" w:color="auto"/>
            </w:tcBorders>
            <w:shd w:val="clear" w:color="auto" w:fill="auto"/>
            <w:hideMark/>
          </w:tcPr>
          <w:p>
            <w:pPr>
              <w:rPr>
                <w:noProof/>
                <w:sz w:val="22"/>
              </w:rPr>
            </w:pPr>
            <w:r>
              <w:rPr>
                <w:noProof/>
                <w:sz w:val="22"/>
              </w:rPr>
              <w:t> </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Varuhandel utanför EU </w:t>
            </w:r>
          </w:p>
        </w:tc>
      </w:tr>
      <w:tr>
        <w:tc>
          <w:tcPr>
            <w:tcW w:w="2709" w:type="dxa"/>
            <w:vMerge w:val="restart"/>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Internationell handel med tjänster</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Import av tjänster (debet)</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Export av tjänster (kredit)</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Netto av tjänster som omfattas av ramförordningen om integrerad företagsstatistik (saldo)</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Globala värdekedjor</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Globala värdekedjor</w:t>
            </w:r>
          </w:p>
        </w:tc>
      </w:tr>
    </w:tbl>
    <w:p>
      <w:pPr>
        <w:keepNext/>
        <w:jc w:val="center"/>
        <w:outlineLvl w:val="0"/>
        <w:rPr>
          <w:b/>
          <w:noProof/>
          <w:u w:val="single"/>
        </w:rPr>
      </w:pPr>
      <w:r>
        <w:rPr>
          <w:noProof/>
        </w:rPr>
        <w:br w:type="page"/>
      </w:r>
      <w:r>
        <w:rPr>
          <w:b/>
          <w:noProof/>
          <w:u w:val="single"/>
        </w:rPr>
        <w:t xml:space="preserve">Bilaga II </w:t>
      </w:r>
    </w:p>
    <w:p>
      <w:pPr>
        <w:keepNext/>
        <w:jc w:val="center"/>
        <w:outlineLvl w:val="0"/>
        <w:rPr>
          <w:b/>
          <w:noProof/>
        </w:rPr>
      </w:pPr>
      <w:r>
        <w:rPr>
          <w:b/>
          <w:noProof/>
        </w:rPr>
        <w:t xml:space="preserve">Ämnenas periodicitet </w:t>
      </w:r>
    </w:p>
    <w:tbl>
      <w:tblPr>
        <w:tblW w:w="8662"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09"/>
        <w:gridCol w:w="5953"/>
      </w:tblGrid>
      <w:tr>
        <w:trPr>
          <w:trHeight w:val="300"/>
        </w:trPr>
        <w:tc>
          <w:tcPr>
            <w:tcW w:w="8662" w:type="dxa"/>
            <w:gridSpan w:val="2"/>
            <w:tcBorders>
              <w:top w:val="nil"/>
              <w:left w:val="nil"/>
              <w:bottom w:val="single" w:sz="4" w:space="0" w:color="auto"/>
              <w:right w:val="nil"/>
            </w:tcBorders>
            <w:shd w:val="clear" w:color="auto" w:fill="auto"/>
          </w:tcPr>
          <w:p>
            <w:pPr>
              <w:rPr>
                <w:b/>
                <w:bCs/>
                <w:noProof/>
                <w:sz w:val="22"/>
              </w:rPr>
            </w:pPr>
            <w:r>
              <w:rPr>
                <w:b/>
                <w:noProof/>
                <w:sz w:val="22"/>
              </w:rPr>
              <w:t>Ämnesområde 1. Konjunkturstatistik över företag</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Ämnen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Periodicitet</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Företagspopulation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kvartalsvis</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kvartalsvis</w:t>
            </w:r>
          </w:p>
        </w:tc>
      </w:tr>
      <w:tr>
        <w:trPr>
          <w:trHeight w:val="544"/>
        </w:trPr>
        <w:tc>
          <w:tcPr>
            <w:tcW w:w="2709" w:type="dxa"/>
            <w:tcBorders>
              <w:top w:val="single" w:sz="4" w:space="0" w:color="auto"/>
              <w:bottom w:val="single" w:sz="4" w:space="0" w:color="auto"/>
            </w:tcBorders>
            <w:shd w:val="clear" w:color="auto" w:fill="auto"/>
            <w:hideMark/>
          </w:tcPr>
          <w:p>
            <w:pPr>
              <w:rPr>
                <w:noProof/>
                <w:sz w:val="22"/>
              </w:rPr>
            </w:pPr>
            <w:r>
              <w:rPr>
                <w:noProof/>
                <w:sz w:val="22"/>
              </w:rPr>
              <w:t>Priser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månadsvis; kvartalsvis för tjänsteproducentprisindex och producentprisindex för nya bostadshus</w:t>
            </w:r>
          </w:p>
        </w:tc>
      </w:tr>
      <w:tr>
        <w:trPr>
          <w:trHeight w:val="242"/>
        </w:trPr>
        <w:tc>
          <w:tcPr>
            <w:tcW w:w="2709" w:type="dxa"/>
            <w:tcBorders>
              <w:top w:val="single" w:sz="4" w:space="0" w:color="auto"/>
              <w:bottom w:val="single" w:sz="4" w:space="0" w:color="auto"/>
            </w:tcBorders>
            <w:shd w:val="clear" w:color="auto" w:fill="auto"/>
            <w:hideMark/>
          </w:tcPr>
          <w:p>
            <w:pPr>
              <w:rPr>
                <w:noProof/>
                <w:sz w:val="22"/>
              </w:rPr>
            </w:pPr>
            <w:r>
              <w:rPr>
                <w:noProof/>
                <w:sz w:val="22"/>
              </w:rPr>
              <w:t>Prestationer och resultat</w:t>
            </w:r>
          </w:p>
        </w:tc>
        <w:tc>
          <w:tcPr>
            <w:tcW w:w="5953" w:type="dxa"/>
            <w:tcBorders>
              <w:top w:val="single" w:sz="4" w:space="0" w:color="auto"/>
              <w:bottom w:val="single" w:sz="4" w:space="0" w:color="auto"/>
            </w:tcBorders>
            <w:shd w:val="clear" w:color="auto" w:fill="auto"/>
            <w:hideMark/>
          </w:tcPr>
          <w:p>
            <w:pPr>
              <w:rPr>
                <w:noProof/>
                <w:sz w:val="22"/>
              </w:rPr>
            </w:pPr>
            <w:r>
              <w:rPr>
                <w:noProof/>
                <w:sz w:val="22"/>
              </w:rPr>
              <w:t>månadsvis; kvartalsvis för små länder för avdelning F i Nace</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Tillstånd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kvartalsvis</w:t>
            </w:r>
          </w:p>
        </w:tc>
      </w:tr>
      <w:tr>
        <w:trPr>
          <w:trHeight w:val="300"/>
        </w:trPr>
        <w:tc>
          <w:tcPr>
            <w:tcW w:w="8662" w:type="dxa"/>
            <w:gridSpan w:val="2"/>
            <w:tcBorders>
              <w:top w:val="single" w:sz="4" w:space="0" w:color="auto"/>
              <w:left w:val="nil"/>
              <w:bottom w:val="single" w:sz="4" w:space="0" w:color="auto"/>
              <w:right w:val="nil"/>
            </w:tcBorders>
            <w:shd w:val="clear" w:color="auto" w:fill="auto"/>
          </w:tcPr>
          <w:p>
            <w:pPr>
              <w:rPr>
                <w:b/>
                <w:noProof/>
                <w:sz w:val="22"/>
              </w:rPr>
            </w:pPr>
          </w:p>
          <w:p>
            <w:pPr>
              <w:rPr>
                <w:b/>
                <w:noProof/>
                <w:sz w:val="22"/>
              </w:rPr>
            </w:pPr>
            <w:r>
              <w:rPr>
                <w:b/>
                <w:noProof/>
                <w:sz w:val="22"/>
              </w:rPr>
              <w:t>Ämnesområde 2. Företagsstatistik på landsnivå</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Ämnen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Företagspopulation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FoU-insatser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vartannat år; årligen för uppdelning per resultatsektor av interna FoU-utgifter och antal forskare, för statliga budgetanslag eller utgifter för FoU samt för nationell offentlig finansiering av FoU som samordnas internationellt</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Inköp</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 vart tredje år för betalningar till underleverantörer</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Prestationer och resultat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årligen; vartannat år för uppdelning av nettoomsättning per produkt och kundens hemland för Nace 69.1, 69.2, 70.2, 71.1, 71.2 och 73.2; vart femte år för nettoomsättning från jordbruk, skogsbruk, fiske och industriell verksamhet, nettoomsättning från industriell verksamhet, nettoomsättning från industriell verksamhet utom byggverksamhet, nettoomsättning från byggverksamhet, nettoomsättning från tjänsteverksamhet, nettoomsättning från parti- och detaljhandel och från förmedlingstjänster, nettoomsättning från uppförande av hus och andra byggnadsverk samt nettoomsättning från väg- och vattenbyggnad; vart tredje år för intäkter från underentreprenader </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Investeringar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 vart tredje år för investeringar i immateriella tillgångar</w:t>
            </w:r>
          </w:p>
        </w:tc>
      </w:tr>
      <w:tr>
        <w:tc>
          <w:tcPr>
            <w:tcW w:w="2709" w:type="dxa"/>
            <w:tcBorders>
              <w:top w:val="single" w:sz="4" w:space="0" w:color="auto"/>
              <w:bottom w:val="single" w:sz="4" w:space="0" w:color="auto"/>
            </w:tcBorders>
            <w:shd w:val="clear" w:color="auto" w:fill="auto"/>
          </w:tcPr>
          <w:p>
            <w:pPr>
              <w:spacing w:line="360" w:lineRule="auto"/>
              <w:rPr>
                <w:noProof/>
                <w:sz w:val="22"/>
              </w:rPr>
            </w:pPr>
            <w:r>
              <w:rPr>
                <w:noProof/>
                <w:sz w:val="22"/>
              </w:rPr>
              <w:t>Innovation</w:t>
            </w:r>
            <w:r>
              <w:rPr>
                <w:noProof/>
              </w:rPr>
              <w:tab/>
            </w:r>
          </w:p>
        </w:tc>
        <w:tc>
          <w:tcPr>
            <w:tcW w:w="5953" w:type="dxa"/>
            <w:tcBorders>
              <w:top w:val="single" w:sz="4" w:space="0" w:color="auto"/>
              <w:bottom w:val="single" w:sz="4" w:space="0" w:color="auto"/>
            </w:tcBorders>
            <w:shd w:val="clear" w:color="auto" w:fill="auto"/>
          </w:tcPr>
          <w:p>
            <w:pPr>
              <w:spacing w:line="360" w:lineRule="auto"/>
              <w:rPr>
                <w:noProof/>
                <w:sz w:val="22"/>
              </w:rPr>
            </w:pPr>
            <w:r>
              <w:rPr>
                <w:noProof/>
                <w:sz w:val="22"/>
              </w:rPr>
              <w:t>vartannat år</w:t>
            </w:r>
          </w:p>
        </w:tc>
      </w:tr>
      <w:tr>
        <w:tc>
          <w:tcPr>
            <w:tcW w:w="2709" w:type="dxa"/>
            <w:tcBorders>
              <w:top w:val="single" w:sz="4" w:space="0" w:color="auto"/>
              <w:bottom w:val="single" w:sz="4" w:space="0" w:color="auto"/>
            </w:tcBorders>
            <w:shd w:val="clear" w:color="auto" w:fill="auto"/>
          </w:tcPr>
          <w:p>
            <w:pPr>
              <w:rPr>
                <w:noProof/>
                <w:sz w:val="22"/>
              </w:rPr>
            </w:pPr>
            <w:r>
              <w:rPr>
                <w:noProof/>
                <w:sz w:val="22"/>
              </w:rPr>
              <w:t>IKT-användning och e-handel</w:t>
            </w:r>
          </w:p>
        </w:tc>
        <w:tc>
          <w:tcPr>
            <w:tcW w:w="5953" w:type="dxa"/>
            <w:tcBorders>
              <w:top w:val="single" w:sz="4" w:space="0" w:color="auto"/>
              <w:bottom w:val="single" w:sz="4" w:space="0" w:color="auto"/>
            </w:tcBorders>
            <w:shd w:val="clear" w:color="auto" w:fill="auto"/>
          </w:tcPr>
          <w:p>
            <w:pPr>
              <w:rPr>
                <w:noProof/>
                <w:sz w:val="22"/>
              </w:rPr>
            </w:pPr>
            <w:r>
              <w:rPr>
                <w:noProof/>
                <w:sz w:val="22"/>
              </w:rPr>
              <w:t>årligen</w:t>
            </w:r>
          </w:p>
        </w:tc>
      </w:tr>
      <w:tr>
        <w:trPr>
          <w:trHeight w:val="300"/>
        </w:trPr>
        <w:tc>
          <w:tcPr>
            <w:tcW w:w="8662" w:type="dxa"/>
            <w:gridSpan w:val="2"/>
            <w:tcBorders>
              <w:top w:val="nil"/>
              <w:left w:val="nil"/>
              <w:bottom w:val="single" w:sz="4" w:space="0" w:color="auto"/>
              <w:right w:val="nil"/>
            </w:tcBorders>
            <w:shd w:val="clear" w:color="auto" w:fill="auto"/>
          </w:tcPr>
          <w:p>
            <w:pPr>
              <w:rPr>
                <w:b/>
                <w:noProof/>
                <w:sz w:val="22"/>
              </w:rPr>
            </w:pPr>
            <w:r>
              <w:rPr>
                <w:noProof/>
              </w:rPr>
              <w:br w:type="page"/>
            </w:r>
            <w:r>
              <w:rPr>
                <w:b/>
                <w:noProof/>
                <w:sz w:val="22"/>
              </w:rPr>
              <w:t>Ämnesområde 3. Regional företagsstatistik</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Ämnen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Periodicitet</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Företagspopulation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Arbetskraftsinsatser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FoU-insatser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vartannat år</w:t>
            </w:r>
          </w:p>
        </w:tc>
      </w:tr>
      <w:tr>
        <w:trPr>
          <w:trHeight w:val="315"/>
        </w:trPr>
        <w:tc>
          <w:tcPr>
            <w:tcW w:w="8662" w:type="dxa"/>
            <w:gridSpan w:val="2"/>
            <w:tcBorders>
              <w:top w:val="single" w:sz="4" w:space="0" w:color="auto"/>
              <w:left w:val="nil"/>
              <w:bottom w:val="nil"/>
              <w:right w:val="nil"/>
            </w:tcBorders>
            <w:shd w:val="clear" w:color="auto" w:fill="auto"/>
          </w:tcPr>
          <w:p>
            <w:pPr>
              <w:rPr>
                <w:b/>
                <w:noProof/>
                <w:sz w:val="22"/>
              </w:rPr>
            </w:pPr>
          </w:p>
          <w:p>
            <w:pPr>
              <w:rPr>
                <w:b/>
                <w:noProof/>
                <w:sz w:val="22"/>
              </w:rPr>
            </w:pPr>
            <w:r>
              <w:rPr>
                <w:b/>
                <w:noProof/>
                <w:sz w:val="22"/>
              </w:rPr>
              <w:t>Ämnesområde 4. Statistik om internationell verksamhet</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Ämnen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Periodicitet</w:t>
            </w:r>
          </w:p>
        </w:tc>
      </w:tr>
      <w:tr>
        <w:trPr>
          <w:trHeight w:val="315"/>
        </w:trPr>
        <w:tc>
          <w:tcPr>
            <w:tcW w:w="2709" w:type="dxa"/>
            <w:tcBorders>
              <w:top w:val="single" w:sz="4" w:space="0" w:color="auto"/>
              <w:bottom w:val="single" w:sz="4" w:space="0" w:color="auto"/>
            </w:tcBorders>
            <w:shd w:val="clear" w:color="auto" w:fill="auto"/>
            <w:hideMark/>
          </w:tcPr>
          <w:p>
            <w:pPr>
              <w:rPr>
                <w:noProof/>
                <w:sz w:val="22"/>
              </w:rPr>
            </w:pPr>
            <w:r>
              <w:rPr>
                <w:noProof/>
                <w:sz w:val="22"/>
              </w:rPr>
              <w:t>Företagspopulation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Arbetskraftsinsatser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Investeringar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Prestationer och resultat</w:t>
            </w:r>
          </w:p>
        </w:tc>
        <w:tc>
          <w:tcPr>
            <w:tcW w:w="5953" w:type="dxa"/>
            <w:tcBorders>
              <w:top w:val="single" w:sz="4" w:space="0" w:color="auto"/>
              <w:bottom w:val="single" w:sz="4" w:space="0" w:color="auto"/>
            </w:tcBorders>
            <w:shd w:val="clear" w:color="auto" w:fill="auto"/>
            <w:hideMark/>
          </w:tcPr>
          <w:p>
            <w:pPr>
              <w:rPr>
                <w:noProof/>
                <w:sz w:val="22"/>
              </w:rPr>
            </w:pPr>
            <w:r>
              <w:rPr>
                <w:noProof/>
                <w:sz w:val="22"/>
              </w:rPr>
              <w:t>årligen</w:t>
            </w:r>
          </w:p>
        </w:tc>
      </w:tr>
      <w:tr>
        <w:trPr>
          <w:trHeight w:val="568"/>
        </w:trPr>
        <w:tc>
          <w:tcPr>
            <w:tcW w:w="2709" w:type="dxa"/>
            <w:tcBorders>
              <w:top w:val="single" w:sz="4" w:space="0" w:color="auto"/>
              <w:bottom w:val="single" w:sz="4" w:space="0" w:color="auto"/>
            </w:tcBorders>
            <w:shd w:val="clear" w:color="auto" w:fill="auto"/>
            <w:hideMark/>
          </w:tcPr>
          <w:p>
            <w:pPr>
              <w:rPr>
                <w:noProof/>
                <w:sz w:val="22"/>
              </w:rPr>
            </w:pPr>
            <w:r>
              <w:rPr>
                <w:noProof/>
                <w:sz w:val="22"/>
              </w:rPr>
              <w:t>Internationell handel med varor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månadsvis; vartannat år för en kombination av uppdelning per produkt och fakturavaluta för import och export av varor till och från länder utanför EU </w:t>
            </w:r>
          </w:p>
        </w:tc>
      </w:tr>
      <w:tr>
        <w:trPr>
          <w:trHeight w:val="300"/>
        </w:trPr>
        <w:tc>
          <w:tcPr>
            <w:tcW w:w="2709" w:type="dxa"/>
            <w:tcBorders>
              <w:top w:val="single" w:sz="4" w:space="0" w:color="auto"/>
              <w:bottom w:val="single" w:sz="4" w:space="0" w:color="auto"/>
            </w:tcBorders>
            <w:shd w:val="clear" w:color="auto" w:fill="auto"/>
          </w:tcPr>
          <w:p>
            <w:pPr>
              <w:rPr>
                <w:noProof/>
                <w:sz w:val="22"/>
              </w:rPr>
            </w:pPr>
            <w:r>
              <w:rPr>
                <w:noProof/>
                <w:sz w:val="22"/>
              </w:rPr>
              <w:t>Internationell handel med tjänster</w:t>
            </w:r>
          </w:p>
        </w:tc>
        <w:tc>
          <w:tcPr>
            <w:tcW w:w="5953" w:type="dxa"/>
            <w:tcBorders>
              <w:top w:val="single" w:sz="4" w:space="0" w:color="auto"/>
              <w:bottom w:val="single" w:sz="4" w:space="0" w:color="auto"/>
            </w:tcBorders>
            <w:shd w:val="clear" w:color="auto" w:fill="auto"/>
          </w:tcPr>
          <w:p>
            <w:pPr>
              <w:rPr>
                <w:noProof/>
                <w:sz w:val="22"/>
              </w:rPr>
            </w:pPr>
            <w:r>
              <w:rPr>
                <w:noProof/>
                <w:sz w:val="22"/>
              </w:rPr>
              <w:t>årligen; kvartalsvis för uppdelning av tjänster på första nivån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Globala värdekedjor</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vart tredje år</w:t>
            </w:r>
          </w:p>
        </w:tc>
      </w:tr>
    </w:tbl>
    <w:p>
      <w:pPr>
        <w:rPr>
          <w:b/>
          <w:noProof/>
        </w:rPr>
      </w:pPr>
      <w:r>
        <w:rPr>
          <w:b/>
          <w:noProof/>
        </w:rPr>
        <w:t xml:space="preserve"> </w:t>
      </w:r>
    </w:p>
    <w:p>
      <w:pPr>
        <w:keepNext/>
        <w:jc w:val="center"/>
        <w:outlineLvl w:val="0"/>
        <w:rPr>
          <w:noProof/>
          <w:szCs w:val="24"/>
        </w:rPr>
      </w:pPr>
    </w:p>
    <w:p>
      <w:pPr>
        <w:keepNext/>
        <w:jc w:val="center"/>
        <w:outlineLvl w:val="0"/>
        <w:rPr>
          <w:b/>
          <w:noProof/>
          <w:szCs w:val="24"/>
          <w:u w:val="single"/>
        </w:rPr>
      </w:pPr>
      <w:r>
        <w:rPr>
          <w:noProof/>
        </w:rPr>
        <w:br w:type="page"/>
      </w:r>
      <w:r>
        <w:rPr>
          <w:b/>
          <w:noProof/>
          <w:u w:val="single"/>
        </w:rPr>
        <w:t xml:space="preserve">Bilaga III </w:t>
      </w:r>
    </w:p>
    <w:p>
      <w:pPr>
        <w:keepNext/>
        <w:jc w:val="center"/>
        <w:outlineLvl w:val="0"/>
        <w:rPr>
          <w:b/>
          <w:noProof/>
          <w:szCs w:val="24"/>
        </w:rPr>
      </w:pPr>
      <w:r>
        <w:rPr>
          <w:b/>
          <w:noProof/>
        </w:rPr>
        <w:t>Element i det europeiska nätverket för företagsstatistikregister</w:t>
      </w:r>
    </w:p>
    <w:p>
      <w:pPr>
        <w:keepNext/>
        <w:ind w:left="2268"/>
        <w:outlineLvl w:val="0"/>
        <w:rPr>
          <w:b/>
          <w:bCs/>
          <w:noProof/>
          <w:szCs w:val="24"/>
        </w:rPr>
      </w:pPr>
      <w:r>
        <w:rPr>
          <w:b/>
          <w:noProof/>
        </w:rPr>
        <w:t>Del A: Registrets specifika ämnen och unika identifierare</w:t>
      </w:r>
    </w:p>
    <w:p>
      <w:pPr>
        <w:keepNext/>
        <w:outlineLvl w:val="0"/>
        <w:rPr>
          <w:noProof/>
          <w:szCs w:val="24"/>
          <w:highlight w:val="cyan"/>
        </w:rPr>
      </w:pPr>
    </w:p>
    <w:p>
      <w:pPr>
        <w:pStyle w:val="NumPar1"/>
        <w:numPr>
          <w:ilvl w:val="0"/>
          <w:numId w:val="9"/>
        </w:numPr>
        <w:rPr>
          <w:noProof/>
        </w:rPr>
      </w:pPr>
      <w:r>
        <w:rPr>
          <w:noProof/>
        </w:rPr>
        <w:t>De enheter som förtecknas i de nationella företagsstatistikregistren</w:t>
      </w:r>
      <w:r>
        <w:rPr>
          <w:b/>
          <w:noProof/>
        </w:rPr>
        <w:t xml:space="preserve"> </w:t>
      </w:r>
      <w:r>
        <w:rPr>
          <w:noProof/>
        </w:rPr>
        <w:t xml:space="preserve">och i EuroGroups-registret i enlighet med artikel 3 i denna förordning ska kännetecknas av ett id-nummer och de specifika ämnen i registret som anges i del C. </w:t>
      </w:r>
    </w:p>
    <w:p>
      <w:pPr>
        <w:pStyle w:val="NumPar1"/>
        <w:rPr>
          <w:noProof/>
        </w:rPr>
      </w:pPr>
      <w:r>
        <w:rPr>
          <w:noProof/>
        </w:rPr>
        <w:t>De enheter som förtecknas i de nationella företagsstatistikregistren</w:t>
      </w:r>
      <w:r>
        <w:rPr>
          <w:b/>
          <w:noProof/>
        </w:rPr>
        <w:t xml:space="preserve"> </w:t>
      </w:r>
      <w:r>
        <w:rPr>
          <w:noProof/>
        </w:rPr>
        <w:t>och i EuroGroups-registret ska identifieras entydigt med ett id-nummer så att de europeiska företagsstatistikregistren</w:t>
      </w:r>
      <w:r>
        <w:rPr>
          <w:b/>
          <w:noProof/>
        </w:rPr>
        <w:t xml:space="preserve"> </w:t>
      </w:r>
      <w:r>
        <w:rPr>
          <w:noProof/>
        </w:rPr>
        <w:t xml:space="preserve">ska kunna fungera som infrastruktur. Id-numren kommer att tillhandahållas av de nationella statistikmyndigheterna. Id-numren för rättsliga enheter och för multinationella företagsgrupper som är relevanta för EuroGroups-registret kommer att tillhandahållas av kommissionen (Eurostat). För nationella ändamål kan de nationella statistikmyndigheterna använda ytterligare id-nummer i de nationella företagsstatistikregistren. </w:t>
      </w:r>
    </w:p>
    <w:p>
      <w:pPr>
        <w:keepNext/>
        <w:outlineLvl w:val="0"/>
        <w:rPr>
          <w:noProof/>
          <w:szCs w:val="24"/>
          <w:highlight w:val="cyan"/>
        </w:rPr>
      </w:pPr>
    </w:p>
    <w:p>
      <w:pPr>
        <w:keepNext/>
        <w:ind w:left="2835"/>
        <w:outlineLvl w:val="0"/>
        <w:rPr>
          <w:b/>
          <w:bCs/>
          <w:noProof/>
          <w:szCs w:val="24"/>
        </w:rPr>
      </w:pPr>
      <w:r>
        <w:rPr>
          <w:b/>
          <w:noProof/>
        </w:rPr>
        <w:t xml:space="preserve">Del B: Tidsreferens och periodicitet </w:t>
      </w:r>
    </w:p>
    <w:p>
      <w:pPr>
        <w:keepNext/>
        <w:outlineLvl w:val="0"/>
        <w:rPr>
          <w:noProof/>
          <w:szCs w:val="24"/>
        </w:rPr>
      </w:pPr>
    </w:p>
    <w:p>
      <w:pPr>
        <w:pStyle w:val="NumPar1"/>
        <w:numPr>
          <w:ilvl w:val="0"/>
          <w:numId w:val="9"/>
        </w:numPr>
        <w:rPr>
          <w:noProof/>
        </w:rPr>
      </w:pPr>
      <w:r>
        <w:rPr>
          <w:noProof/>
        </w:rPr>
        <w:t>Registreringar och strykningar i de nationella företagsstatistikregistren</w:t>
      </w:r>
      <w:r>
        <w:rPr>
          <w:b/>
          <w:noProof/>
        </w:rPr>
        <w:t xml:space="preserve"> </w:t>
      </w:r>
      <w:r>
        <w:rPr>
          <w:noProof/>
        </w:rPr>
        <w:t xml:space="preserve">och EuroGroups-registret ska ske minst en gång om året. </w:t>
      </w:r>
    </w:p>
    <w:p>
      <w:pPr>
        <w:pStyle w:val="NumPar1"/>
        <w:rPr>
          <w:noProof/>
        </w:rPr>
      </w:pPr>
      <w:r>
        <w:rPr>
          <w:noProof/>
        </w:rPr>
        <w:t xml:space="preserve">Uppdateringsfrekvensen ska vara kopplad till typ av enhet, variabel, enhetens storlek och den källa som vanligen används vid uppdateringen. </w:t>
      </w:r>
    </w:p>
    <w:p>
      <w:pPr>
        <w:pStyle w:val="NumPar1"/>
        <w:rPr>
          <w:noProof/>
        </w:rPr>
      </w:pPr>
      <w:r>
        <w:rPr>
          <w:noProof/>
        </w:rPr>
        <w:t xml:space="preserve">Medlemsstaterna ska varje år göra en kopia av de nationella företagsstatistikregistren i den form de har vid årets slut och bevara denna kopia i minst 30 år för analysbehov. Kommissionen (Eurostat) ska varje år göra en kopia av EuroGroups-registret i den form det har vid årets slut och bevara denna kopia i minst 30 år för analysbehov. </w:t>
      </w:r>
    </w:p>
    <w:p>
      <w:pPr>
        <w:rPr>
          <w:b/>
          <w:noProof/>
          <w:szCs w:val="24"/>
        </w:rPr>
      </w:pPr>
    </w:p>
    <w:p>
      <w:pPr>
        <w:rPr>
          <w:b/>
          <w:noProof/>
          <w:szCs w:val="24"/>
        </w:rPr>
      </w:pPr>
    </w:p>
    <w:p>
      <w:pPr>
        <w:jc w:val="center"/>
        <w:rPr>
          <w:b/>
          <w:noProof/>
          <w:szCs w:val="24"/>
        </w:rPr>
      </w:pPr>
      <w:r>
        <w:rPr>
          <w:b/>
          <w:noProof/>
        </w:rPr>
        <w:t>Del C: Specifika ämnen för företagsregister</w:t>
      </w:r>
    </w:p>
    <w:p>
      <w:pPr>
        <w:jc w:val="center"/>
        <w:rPr>
          <w:b/>
          <w:noProof/>
          <w:szCs w:val="24"/>
        </w:rPr>
      </w:pPr>
    </w:p>
    <w:p>
      <w:pPr>
        <w:rPr>
          <w:noProof/>
          <w:szCs w:val="24"/>
        </w:rPr>
      </w:pPr>
      <w:r>
        <w:rPr>
          <w:noProof/>
        </w:rPr>
        <w:t>De nationella företagsstatistikregistren</w:t>
      </w:r>
      <w:r>
        <w:rPr>
          <w:b/>
          <w:noProof/>
        </w:rPr>
        <w:t xml:space="preserve"> </w:t>
      </w:r>
      <w:r>
        <w:rPr>
          <w:noProof/>
        </w:rPr>
        <w:t>och EuroGroups-registret ska, för de enheter som fastställs i artikel 3 i denna förordning, innehålla följande specifika ämnen per enhet.</w:t>
      </w:r>
    </w:p>
    <w:p>
      <w:pPr>
        <w:spacing w:after="200" w:line="276" w:lineRule="auto"/>
        <w:rPr>
          <w:noProof/>
          <w:szCs w:val="24"/>
        </w:rPr>
      </w:pPr>
      <w:r>
        <w:rPr>
          <w:noProof/>
        </w:rPr>
        <w:br w:type="page"/>
      </w:r>
    </w:p>
    <w:p>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c>
          <w:tcPr>
            <w:tcW w:w="4621" w:type="dxa"/>
            <w:tcBorders>
              <w:bottom w:val="nil"/>
            </w:tcBorders>
            <w:shd w:val="clear" w:color="auto" w:fill="auto"/>
          </w:tcPr>
          <w:p>
            <w:pPr>
              <w:rPr>
                <w:b/>
                <w:noProof/>
                <w:szCs w:val="24"/>
              </w:rPr>
            </w:pPr>
            <w:r>
              <w:rPr>
                <w:b/>
                <w:noProof/>
              </w:rPr>
              <w:t>ENHETER</w:t>
            </w:r>
          </w:p>
        </w:tc>
        <w:tc>
          <w:tcPr>
            <w:tcW w:w="4621" w:type="dxa"/>
            <w:shd w:val="clear" w:color="auto" w:fill="auto"/>
          </w:tcPr>
          <w:p>
            <w:pPr>
              <w:rPr>
                <w:b/>
                <w:noProof/>
                <w:szCs w:val="24"/>
              </w:rPr>
            </w:pPr>
            <w:r>
              <w:rPr>
                <w:b/>
                <w:noProof/>
              </w:rPr>
              <w:t>Specifika ämnen</w:t>
            </w:r>
          </w:p>
        </w:tc>
      </w:tr>
      <w:tr>
        <w:tc>
          <w:tcPr>
            <w:tcW w:w="4621" w:type="dxa"/>
            <w:tcBorders>
              <w:bottom w:val="nil"/>
            </w:tcBorders>
            <w:shd w:val="clear" w:color="auto" w:fill="auto"/>
          </w:tcPr>
          <w:p>
            <w:pPr>
              <w:rPr>
                <w:noProof/>
                <w:szCs w:val="24"/>
              </w:rPr>
            </w:pPr>
            <w:r>
              <w:rPr>
                <w:noProof/>
              </w:rPr>
              <w:t>1. RÄTTSLIGA ENHETER</w:t>
            </w:r>
          </w:p>
        </w:tc>
        <w:tc>
          <w:tcPr>
            <w:tcW w:w="4621" w:type="dxa"/>
            <w:shd w:val="clear" w:color="auto" w:fill="auto"/>
          </w:tcPr>
          <w:p>
            <w:pPr>
              <w:rPr>
                <w:noProof/>
                <w:szCs w:val="24"/>
              </w:rPr>
            </w:pPr>
            <w:r>
              <w:rPr>
                <w:noProof/>
              </w:rPr>
              <w:t>Identifikationsparametrar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Demografiska 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Ekonomiska parametrar/Stratifieringsparametrar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Kopplingar till företag</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Kopplingar till andra register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Anknytning till företagsgrupp</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Kontroll av enheter</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Ägandeförhållanden</w:t>
            </w:r>
          </w:p>
        </w:tc>
      </w:tr>
      <w:tr>
        <w:tc>
          <w:tcPr>
            <w:tcW w:w="4621" w:type="dxa"/>
            <w:tcBorders>
              <w:bottom w:val="nil"/>
            </w:tcBorders>
            <w:shd w:val="clear" w:color="auto" w:fill="auto"/>
          </w:tcPr>
          <w:p>
            <w:pPr>
              <w:rPr>
                <w:noProof/>
                <w:szCs w:val="24"/>
              </w:rPr>
            </w:pPr>
            <w:r>
              <w:rPr>
                <w:noProof/>
              </w:rPr>
              <w:t>2. FÖRETAGSGRUPP</w:t>
            </w:r>
          </w:p>
        </w:tc>
        <w:tc>
          <w:tcPr>
            <w:tcW w:w="4621" w:type="dxa"/>
            <w:shd w:val="clear" w:color="auto" w:fill="auto"/>
          </w:tcPr>
          <w:p>
            <w:pPr>
              <w:rPr>
                <w:noProof/>
                <w:szCs w:val="24"/>
              </w:rPr>
            </w:pPr>
            <w:r>
              <w:rPr>
                <w:noProof/>
              </w:rPr>
              <w:t>Identifikationsparametrar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Demografiska parametrar</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Ekonomiska parametrar/Stratifieringsparametrar</w:t>
            </w:r>
          </w:p>
        </w:tc>
      </w:tr>
      <w:tr>
        <w:tc>
          <w:tcPr>
            <w:tcW w:w="4621" w:type="dxa"/>
            <w:tcBorders>
              <w:bottom w:val="nil"/>
            </w:tcBorders>
            <w:shd w:val="clear" w:color="auto" w:fill="auto"/>
          </w:tcPr>
          <w:p>
            <w:pPr>
              <w:rPr>
                <w:noProof/>
                <w:szCs w:val="24"/>
              </w:rPr>
            </w:pPr>
            <w:r>
              <w:rPr>
                <w:noProof/>
              </w:rPr>
              <w:t>3. FÖRETAG</w:t>
            </w:r>
          </w:p>
        </w:tc>
        <w:tc>
          <w:tcPr>
            <w:tcW w:w="4621" w:type="dxa"/>
            <w:shd w:val="clear" w:color="auto" w:fill="auto"/>
          </w:tcPr>
          <w:p>
            <w:pPr>
              <w:rPr>
                <w:noProof/>
                <w:szCs w:val="24"/>
              </w:rPr>
            </w:pPr>
            <w:r>
              <w:rPr>
                <w:noProof/>
              </w:rPr>
              <w:t>Identifikationsparametrar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Kopplingar till andra enheter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Demografiska parametrar</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Ekonomiska parametrar/Stratifieringsparametrar</w:t>
            </w:r>
          </w:p>
        </w:tc>
      </w:tr>
      <w:tr>
        <w:tc>
          <w:tcPr>
            <w:tcW w:w="4621" w:type="dxa"/>
            <w:tcBorders>
              <w:bottom w:val="nil"/>
            </w:tcBorders>
            <w:shd w:val="clear" w:color="auto" w:fill="auto"/>
          </w:tcPr>
          <w:p>
            <w:pPr>
              <w:rPr>
                <w:noProof/>
                <w:szCs w:val="24"/>
              </w:rPr>
            </w:pPr>
            <w:r>
              <w:rPr>
                <w:noProof/>
              </w:rPr>
              <w:t>4. LOKAL ENHET</w:t>
            </w:r>
          </w:p>
        </w:tc>
        <w:tc>
          <w:tcPr>
            <w:tcW w:w="4621" w:type="dxa"/>
            <w:shd w:val="clear" w:color="auto" w:fill="auto"/>
          </w:tcPr>
          <w:p>
            <w:pPr>
              <w:rPr>
                <w:noProof/>
                <w:szCs w:val="24"/>
              </w:rPr>
            </w:pPr>
            <w:r>
              <w:rPr>
                <w:noProof/>
              </w:rPr>
              <w:t>Identifikationsparametrar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Demografiska parametrar</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Ekonomiska parametrar/Stratifieringsparametrar</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Kopplingar till andra enheter och register</w:t>
            </w:r>
          </w:p>
        </w:tc>
      </w:tr>
      <w:tr>
        <w:tc>
          <w:tcPr>
            <w:tcW w:w="4621" w:type="dxa"/>
            <w:tcBorders>
              <w:bottom w:val="nil"/>
            </w:tcBorders>
            <w:shd w:val="clear" w:color="auto" w:fill="auto"/>
          </w:tcPr>
          <w:p>
            <w:pPr>
              <w:rPr>
                <w:noProof/>
                <w:szCs w:val="24"/>
              </w:rPr>
            </w:pPr>
            <w:r>
              <w:rPr>
                <w:noProof/>
              </w:rPr>
              <w:t>5. VERKSAMHETSENHET</w:t>
            </w:r>
          </w:p>
        </w:tc>
        <w:tc>
          <w:tcPr>
            <w:tcW w:w="4621" w:type="dxa"/>
            <w:shd w:val="clear" w:color="auto" w:fill="auto"/>
          </w:tcPr>
          <w:p>
            <w:pPr>
              <w:rPr>
                <w:noProof/>
                <w:szCs w:val="24"/>
              </w:rPr>
            </w:pPr>
            <w:r>
              <w:rPr>
                <w:noProof/>
              </w:rPr>
              <w:t>Identifikationsparametrar</w:t>
            </w:r>
          </w:p>
        </w:tc>
      </w:tr>
      <w:tr>
        <w:tc>
          <w:tcPr>
            <w:tcW w:w="4621" w:type="dxa"/>
            <w:vMerge w:val="restart"/>
            <w:tcBorders>
              <w:top w:val="nil"/>
            </w:tcBorders>
            <w:shd w:val="clear" w:color="auto" w:fill="auto"/>
          </w:tcPr>
          <w:p>
            <w:pPr>
              <w:rPr>
                <w:noProof/>
                <w:szCs w:val="24"/>
              </w:rPr>
            </w:pPr>
            <w:r>
              <w:rPr>
                <w:noProof/>
              </w:rPr>
              <w:t>om den behandlas som en statistisk enhet i enlighet med artikel 3.2 a iii</w:t>
            </w:r>
          </w:p>
        </w:tc>
        <w:tc>
          <w:tcPr>
            <w:tcW w:w="4621" w:type="dxa"/>
            <w:shd w:val="clear" w:color="auto" w:fill="auto"/>
          </w:tcPr>
          <w:p>
            <w:pPr>
              <w:rPr>
                <w:noProof/>
                <w:szCs w:val="24"/>
              </w:rPr>
            </w:pPr>
            <w:r>
              <w:rPr>
                <w:noProof/>
              </w:rPr>
              <w:t>Demografiska parametrar</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Ekonomiska parametrar/Stratifieringsparametrar</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Kopplingar till andra enheter och register</w:t>
            </w:r>
          </w:p>
        </w:tc>
      </w:tr>
    </w:tbl>
    <w:p>
      <w:pPr>
        <w:rPr>
          <w:noProof/>
          <w:szCs w:val="24"/>
        </w:rPr>
      </w:pPr>
    </w:p>
    <w:p>
      <w:pPr>
        <w:rPr>
          <w:noProof/>
        </w:rPr>
      </w:pPr>
    </w:p>
    <w:p>
      <w:pPr>
        <w:keepNext/>
        <w:jc w:val="center"/>
        <w:outlineLvl w:val="0"/>
        <w:rPr>
          <w:b/>
          <w:noProof/>
          <w:u w:val="single"/>
        </w:rPr>
      </w:pPr>
      <w:r>
        <w:rPr>
          <w:b/>
          <w:noProof/>
          <w:u w:val="single"/>
        </w:rPr>
        <w:t>Bilaga IV</w:t>
      </w:r>
    </w:p>
    <w:p>
      <w:pPr>
        <w:keepNext/>
        <w:jc w:val="center"/>
        <w:outlineLvl w:val="0"/>
        <w:rPr>
          <w:b/>
          <w:noProof/>
        </w:rPr>
      </w:pPr>
      <w:r>
        <w:rPr>
          <w:b/>
          <w:noProof/>
        </w:rPr>
        <w:t>Ändringar av förordning (EG) nr 184/2005</w:t>
      </w:r>
    </w:p>
    <w:p>
      <w:pPr>
        <w:rPr>
          <w:noProof/>
          <w:szCs w:val="24"/>
        </w:rPr>
      </w:pPr>
      <w:r>
        <w:rPr>
          <w:noProof/>
        </w:rPr>
        <w:t>I bilaga I ska tabell 3 ersättas med följande:</w:t>
      </w:r>
    </w:p>
    <w:p>
      <w:pPr>
        <w:ind w:left="851"/>
        <w:jc w:val="center"/>
        <w:rPr>
          <w:i/>
          <w:noProof/>
        </w:rPr>
      </w:pPr>
      <w:r>
        <w:rPr>
          <w:i/>
          <w:noProof/>
        </w:rPr>
        <w:t>”Tabell 3</w:t>
      </w:r>
    </w:p>
    <w:p>
      <w:pPr>
        <w:ind w:left="851"/>
        <w:jc w:val="center"/>
        <w:rPr>
          <w:noProof/>
        </w:rPr>
      </w:pPr>
      <w:r>
        <w:rPr>
          <w:noProof/>
        </w:rPr>
        <w:t>Internationell handel med tjänster – bokföringsuppgifter</w:t>
      </w:r>
    </w:p>
    <w:p>
      <w:pPr>
        <w:ind w:left="851"/>
        <w:rPr>
          <w:noProof/>
        </w:rPr>
      </w:pPr>
      <w:r>
        <w:rPr>
          <w:noProof/>
        </w:rPr>
        <w:t>Tidfrist: T + 9 månader</w:t>
      </w:r>
    </w:p>
    <w:p>
      <w:pPr>
        <w:ind w:left="851"/>
        <w:rPr>
          <w:noProof/>
        </w:rPr>
      </w:pPr>
      <w:r>
        <w:rPr>
          <w:noProof/>
        </w:rPr>
        <w:t>Periodicitet: årlig</w:t>
      </w:r>
    </w:p>
    <w:p>
      <w:pPr>
        <w:ind w:left="851"/>
        <w:rPr>
          <w:noProof/>
        </w:rPr>
      </w:pPr>
      <w:r>
        <w:rPr>
          <w:noProof/>
        </w:rPr>
        <w:t>Första referensperioden: 2013</w:t>
      </w:r>
    </w:p>
    <w:tbl>
      <w:tblPr>
        <w:tblW w:w="6662" w:type="dxa"/>
        <w:tblInd w:w="817" w:type="dxa"/>
        <w:tblLook w:val="04A0" w:firstRow="1" w:lastRow="0" w:firstColumn="1" w:lastColumn="0" w:noHBand="0" w:noVBand="1"/>
      </w:tblPr>
      <w:tblGrid>
        <w:gridCol w:w="3560"/>
        <w:gridCol w:w="960"/>
        <w:gridCol w:w="960"/>
        <w:gridCol w:w="1182"/>
      </w:tblGrid>
      <w:tr>
        <w:trPr>
          <w:trHeight w:val="315"/>
        </w:trPr>
        <w:tc>
          <w:tcPr>
            <w:tcW w:w="3560" w:type="dxa"/>
            <w:tcBorders>
              <w:top w:val="nil"/>
              <w:left w:val="nil"/>
              <w:bottom w:val="nil"/>
              <w:right w:val="nil"/>
            </w:tcBorders>
            <w:shd w:val="clear" w:color="auto" w:fill="auto"/>
            <w:noWrap/>
            <w:vAlign w:val="bottom"/>
            <w:hideMark/>
          </w:tcPr>
          <w:p>
            <w:pPr>
              <w:rPr>
                <w:rFonts w:ascii="Calibri" w:hAnsi="Calibri"/>
                <w:noProof/>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Kredit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Debet</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Balans</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Löner</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Personliga transfereringar</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ind w:left="459"/>
              <w:rPr>
                <w:noProof/>
                <w:szCs w:val="24"/>
              </w:rPr>
            </w:pPr>
            <w:r>
              <w:rPr>
                <w:noProof/>
              </w:rPr>
              <w:t>Överföringar från arbetstagare</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TJÄNSTER</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
                <w:noProof/>
                <w:szCs w:val="24"/>
              </w:rPr>
            </w:pPr>
            <w:r>
              <w:rPr>
                <w:b/>
                <w:noProof/>
              </w:rPr>
              <w:t>Resor</w:t>
            </w: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Affärsresor</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Säsongsarbetares, gränsarbetares och andra korttidsarbetandes köp av varor och tjänster</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Övrigt</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Privatresor</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Hälsorelaterade utgifter</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Utbildningsrelaterade utgifter</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Övrigt</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Indirekt mätta finansiella förmedlingstjänster (FISIM)</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r>
    </w:tbl>
    <w:p>
      <w:pPr>
        <w:rPr>
          <w:noProof/>
          <w:szCs w:val="24"/>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D42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1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3C61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CA1B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A724E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3EC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84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400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8: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ACCOMPAGNANT.CP" w:val="till"/>
    <w:docVar w:name="LW_ANNEX_NBR_FIRST" w:val="1"/>
    <w:docVar w:name="LW_ANNEX_NBR_LAST" w:val="4"/>
    <w:docVar w:name="LW_CONFIDENCE" w:val=" "/>
    <w:docVar w:name="LW_CONST_RESTREINT_UE" w:val="RESTREINT UE"/>
    <w:docVar w:name="LW_CORRIGENDUM" w:val="&lt;UNUSED&gt;"/>
    <w:docVar w:name="LW_COVERPAGE_GUID" w:val="CE376E5F35C445968E44C8DD2B77F2CD"/>
    <w:docVar w:name="LW_CROSSREFERENCE" w:val="{SWD(2017) 98 final}_x000b_{SWD(2017) 99 final}"/>
    <w:docVar w:name="LW_DocType" w:val="ANNEX"/>
    <w:docVar w:name="LW_EMISSION" w:val="6.3.2017"/>
    <w:docVar w:name="LW_EMISSION_ISODATE" w:val="2017-03-06"/>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7) 114"/>
    <w:docVar w:name="LW_REF.INTERNE" w:val="&lt;UNUSED&gt;"/>
    <w:docVar w:name="LW_SUPERTITRE" w:val="&lt;UNUSED&gt;"/>
    <w:docVar w:name="LW_TITRE.OBJ.CP" w:val="&lt;UNUSED&gt;"/>
    <w:docVar w:name="LW_TYPE.DOC.CP" w:val="BILAGOR"/>
    <w:docVar w:name="LW_TYPEACTEPRINCIPAL.CP" w:val="Europaparlamentets och rådets förordning om europeisk företagsstatistik, om ändring av förordning (EG) nr 184/2005 och om upphävande av tio rättsakter på området företagsstatistik"/>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5550-ACF1-47BD-91D7-4A1AAC8D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1114</Words>
  <Characters>8408</Characters>
  <Application>Microsoft Office Word</Application>
  <DocSecurity>0</DocSecurity>
  <Lines>442</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Monica (DGT)</dc:creator>
  <cp:lastModifiedBy>DIGIT/A3</cp:lastModifiedBy>
  <cp:revision>8</cp:revision>
  <cp:lastPrinted>2017-02-23T16:50:00Z</cp:lastPrinted>
  <dcterms:created xsi:type="dcterms:W3CDTF">2017-02-27T09:56:00Z</dcterms:created>
  <dcterms:modified xsi:type="dcterms:W3CDTF">2017-02-27T13:08:00Z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