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2AA" w:rsidRPr="00243E85" w:rsidRDefault="00DB595D" w:rsidP="00243E85">
      <w:pPr>
        <w:pStyle w:val="Pagedecouverture"/>
        <w:rPr>
          <w:noProof/>
        </w:rPr>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1B6F4CFA0DC4044AF969D70AFE399F2" style="width:450.45pt;height:568.5pt">
            <v:imagedata r:id="rId12" o:title=""/>
          </v:shape>
        </w:pict>
      </w:r>
    </w:p>
    <w:p w:rsidR="00B602AA" w:rsidRPr="00243E85" w:rsidRDefault="00B602AA">
      <w:pPr>
        <w:rPr>
          <w:noProof/>
        </w:rPr>
        <w:sectPr w:rsidR="00B602AA" w:rsidRPr="00243E85" w:rsidSect="00CE011C">
          <w:headerReference w:type="even" r:id="rId13"/>
          <w:headerReference w:type="default" r:id="rId14"/>
          <w:footerReference w:type="even" r:id="rId15"/>
          <w:footerReference w:type="default" r:id="rId16"/>
          <w:headerReference w:type="first" r:id="rId17"/>
          <w:footerReference w:type="first" r:id="rId18"/>
          <w:pgSz w:w="11907" w:h="16839"/>
          <w:pgMar w:top="1134" w:right="1417" w:bottom="1134" w:left="1417" w:header="709" w:footer="709" w:gutter="0"/>
          <w:pgNumType w:start="1"/>
          <w:cols w:space="720"/>
          <w:docGrid w:linePitch="360"/>
        </w:sectPr>
      </w:pPr>
    </w:p>
    <w:p w:rsidR="00B532D7" w:rsidRPr="00243E85" w:rsidRDefault="00B532D7">
      <w:pPr>
        <w:pStyle w:val="Annexetitre"/>
        <w:rPr>
          <w:b w:val="0"/>
          <w:i/>
          <w:noProof/>
          <w:u w:val="none"/>
        </w:rPr>
      </w:pPr>
      <w:r w:rsidRPr="00243E85">
        <w:rPr>
          <w:b w:val="0"/>
          <w:i/>
          <w:noProof/>
          <w:u w:val="none"/>
        </w:rPr>
        <w:lastRenderedPageBreak/>
        <w:t>I PRIEDAS</w:t>
      </w:r>
    </w:p>
    <w:p w:rsidR="00B602AA" w:rsidRPr="00243E85" w:rsidRDefault="00B532D7" w:rsidP="00056BCA">
      <w:pPr>
        <w:jc w:val="center"/>
        <w:rPr>
          <w:noProof/>
        </w:rPr>
      </w:pPr>
      <w:r w:rsidRPr="00243E85">
        <w:rPr>
          <w:b/>
          <w:noProof/>
        </w:rPr>
        <w:t>BENDRIEJI INTEGRUOTO NACIONALINIO ENERGETIKOS IR KLIMATO SRITIES VEIKSMŲ PLANO PRINCIPAI</w:t>
      </w:r>
    </w:p>
    <w:p w:rsidR="00B532D7" w:rsidRPr="00243E85" w:rsidRDefault="005C5300" w:rsidP="00056BCA">
      <w:pPr>
        <w:jc w:val="center"/>
        <w:rPr>
          <w:rFonts w:eastAsia="Times New Roman"/>
          <w:b/>
          <w:noProof/>
          <w:color w:val="000000"/>
          <w:szCs w:val="24"/>
        </w:rPr>
      </w:pPr>
      <w:r w:rsidRPr="00243E85">
        <w:rPr>
          <w:b/>
          <w:noProof/>
          <w:color w:val="000000"/>
        </w:rPr>
        <w:t>1 dalis</w:t>
      </w:r>
    </w:p>
    <w:p w:rsidR="00B602AA" w:rsidRPr="00243E85" w:rsidRDefault="005C5300" w:rsidP="00056BCA">
      <w:pPr>
        <w:jc w:val="center"/>
        <w:rPr>
          <w:i/>
          <w:noProof/>
        </w:rPr>
      </w:pPr>
      <w:r w:rsidRPr="00243E85">
        <w:rPr>
          <w:i/>
          <w:noProof/>
          <w:color w:val="000000"/>
        </w:rPr>
        <w:t>Bendrieji principai</w:t>
      </w:r>
    </w:p>
    <w:tbl>
      <w:tblPr>
        <w:tblStyle w:val="TableGrid"/>
        <w:tblW w:w="0" w:type="auto"/>
        <w:tblInd w:w="360" w:type="dxa"/>
        <w:tblLook w:val="04A0" w:firstRow="1" w:lastRow="0" w:firstColumn="1" w:lastColumn="0" w:noHBand="0" w:noVBand="1"/>
      </w:tblPr>
      <w:tblGrid>
        <w:gridCol w:w="8928"/>
      </w:tblGrid>
      <w:tr w:rsidR="00B602AA" w:rsidRPr="00243E85">
        <w:trPr>
          <w:trHeight w:val="425"/>
        </w:trPr>
        <w:tc>
          <w:tcPr>
            <w:tcW w:w="8928" w:type="dxa"/>
            <w:shd w:val="clear" w:color="auto" w:fill="A6A6A6" w:themeFill="background1" w:themeFillShade="A6"/>
            <w:vAlign w:val="center"/>
          </w:tcPr>
          <w:p w:rsidR="00B602AA" w:rsidRPr="00243E85" w:rsidRDefault="005C5300">
            <w:pPr>
              <w:spacing w:before="0"/>
              <w:jc w:val="center"/>
              <w:rPr>
                <w:b/>
                <w:noProof/>
              </w:rPr>
            </w:pPr>
            <w:r w:rsidRPr="00243E85">
              <w:rPr>
                <w:b/>
                <w:noProof/>
              </w:rPr>
              <w:t>A SKIRSNIS. NACIONALINIS PLANAS</w:t>
            </w:r>
          </w:p>
        </w:tc>
      </w:tr>
      <w:tr w:rsidR="00B602AA" w:rsidRPr="00243E85">
        <w:tc>
          <w:tcPr>
            <w:tcW w:w="8928" w:type="dxa"/>
            <w:shd w:val="clear" w:color="auto" w:fill="D9D9D9" w:themeFill="background1" w:themeFillShade="D9"/>
          </w:tcPr>
          <w:p w:rsidR="00B602AA" w:rsidRPr="00243E85" w:rsidRDefault="005C5300">
            <w:pPr>
              <w:pStyle w:val="ListParagraph"/>
              <w:numPr>
                <w:ilvl w:val="0"/>
                <w:numId w:val="1"/>
              </w:numPr>
              <w:spacing w:after="120" w:line="240" w:lineRule="auto"/>
              <w:contextualSpacing w:val="0"/>
              <w:rPr>
                <w:rFonts w:ascii="Times New Roman" w:hAnsi="Times New Roman" w:cs="Times New Roman"/>
                <w:b/>
                <w:noProof/>
              </w:rPr>
            </w:pPr>
            <w:r w:rsidRPr="00243E85">
              <w:rPr>
                <w:rFonts w:ascii="Times New Roman" w:hAnsi="Times New Roman"/>
                <w:b/>
                <w:noProof/>
              </w:rPr>
              <w:t>PLANO APŽVALGA IR RENGIMO PROCESAS</w:t>
            </w:r>
          </w:p>
        </w:tc>
      </w:tr>
      <w:tr w:rsidR="00B602AA" w:rsidRPr="00243E85">
        <w:tc>
          <w:tcPr>
            <w:tcW w:w="8928" w:type="dxa"/>
          </w:tcPr>
          <w:p w:rsidR="00B602AA" w:rsidRPr="00243E85" w:rsidRDefault="005C5300">
            <w:pPr>
              <w:pStyle w:val="ListParagraph"/>
              <w:numPr>
                <w:ilvl w:val="1"/>
                <w:numId w:val="1"/>
              </w:numPr>
              <w:spacing w:after="120" w:line="240" w:lineRule="auto"/>
              <w:contextualSpacing w:val="0"/>
              <w:rPr>
                <w:rFonts w:ascii="Times New Roman" w:hAnsi="Times New Roman" w:cs="Times New Roman"/>
                <w:b/>
                <w:noProof/>
              </w:rPr>
            </w:pPr>
            <w:r w:rsidRPr="00243E85">
              <w:rPr>
                <w:rFonts w:ascii="Times New Roman" w:hAnsi="Times New Roman"/>
                <w:b/>
                <w:noProof/>
              </w:rPr>
              <w:t>Santrauka</w:t>
            </w:r>
          </w:p>
          <w:p w:rsidR="00B602AA" w:rsidRPr="00243E85" w:rsidRDefault="005C5300">
            <w:pPr>
              <w:pStyle w:val="ListParagraph"/>
              <w:numPr>
                <w:ilvl w:val="3"/>
                <w:numId w:val="1"/>
              </w:numPr>
              <w:spacing w:after="120" w:line="240" w:lineRule="auto"/>
              <w:contextualSpacing w:val="0"/>
              <w:rPr>
                <w:rFonts w:ascii="Times New Roman" w:hAnsi="Times New Roman" w:cs="Times New Roman"/>
                <w:noProof/>
              </w:rPr>
            </w:pPr>
            <w:r w:rsidRPr="00243E85">
              <w:rPr>
                <w:rFonts w:ascii="Times New Roman" w:hAnsi="Times New Roman"/>
                <w:noProof/>
              </w:rPr>
              <w:t>Politinis, ekonominis, aplinkos apsaugos ir visuomeninis plano kontekstas</w:t>
            </w:r>
          </w:p>
          <w:p w:rsidR="00B602AA" w:rsidRPr="00243E85" w:rsidRDefault="005C5300">
            <w:pPr>
              <w:pStyle w:val="ListParagraph"/>
              <w:numPr>
                <w:ilvl w:val="3"/>
                <w:numId w:val="1"/>
              </w:numPr>
              <w:spacing w:after="120" w:line="240" w:lineRule="auto"/>
              <w:contextualSpacing w:val="0"/>
              <w:rPr>
                <w:rFonts w:ascii="Times New Roman" w:hAnsi="Times New Roman" w:cs="Times New Roman"/>
                <w:noProof/>
              </w:rPr>
            </w:pPr>
            <w:r w:rsidRPr="00243E85">
              <w:rPr>
                <w:rFonts w:ascii="Times New Roman" w:hAnsi="Times New Roman"/>
                <w:noProof/>
              </w:rPr>
              <w:t>Bendroji strategija, aprėpianti penkis energetikos sąjungos aspektus</w:t>
            </w:r>
          </w:p>
          <w:p w:rsidR="00B602AA" w:rsidRPr="00243E85" w:rsidRDefault="005C5300">
            <w:pPr>
              <w:pStyle w:val="ListParagraph"/>
              <w:numPr>
                <w:ilvl w:val="3"/>
                <w:numId w:val="1"/>
              </w:numPr>
              <w:spacing w:after="120" w:line="240" w:lineRule="auto"/>
              <w:contextualSpacing w:val="0"/>
              <w:rPr>
                <w:rFonts w:ascii="Times New Roman" w:hAnsi="Times New Roman" w:cs="Times New Roman"/>
                <w:b/>
                <w:noProof/>
              </w:rPr>
            </w:pPr>
            <w:r w:rsidRPr="00243E85">
              <w:rPr>
                <w:rFonts w:ascii="Times New Roman" w:hAnsi="Times New Roman"/>
                <w:noProof/>
              </w:rPr>
              <w:t>Pagrindinių plano tikslų, politikos ir priemonių apžvalgos lentelė</w:t>
            </w:r>
          </w:p>
        </w:tc>
      </w:tr>
      <w:tr w:rsidR="00B602AA" w:rsidRPr="00243E85">
        <w:tc>
          <w:tcPr>
            <w:tcW w:w="8928" w:type="dxa"/>
          </w:tcPr>
          <w:p w:rsidR="00B602AA" w:rsidRPr="00243E85" w:rsidRDefault="005C5300">
            <w:pPr>
              <w:pStyle w:val="ListParagraph"/>
              <w:numPr>
                <w:ilvl w:val="1"/>
                <w:numId w:val="1"/>
              </w:numPr>
              <w:spacing w:after="120" w:line="240" w:lineRule="auto"/>
              <w:contextualSpacing w:val="0"/>
              <w:rPr>
                <w:rFonts w:ascii="Times New Roman" w:hAnsi="Times New Roman" w:cs="Times New Roman"/>
                <w:b/>
                <w:noProof/>
              </w:rPr>
            </w:pPr>
            <w:r w:rsidRPr="00243E85">
              <w:rPr>
                <w:rFonts w:ascii="Times New Roman" w:hAnsi="Times New Roman"/>
                <w:b/>
                <w:noProof/>
              </w:rPr>
              <w:t xml:space="preserve">Dabartinės politikos situacijos apžvalga </w:t>
            </w:r>
          </w:p>
          <w:p w:rsidR="00B602AA" w:rsidRPr="00243E85" w:rsidRDefault="005C5300">
            <w:pPr>
              <w:pStyle w:val="ListParagraph"/>
              <w:numPr>
                <w:ilvl w:val="3"/>
                <w:numId w:val="1"/>
              </w:numPr>
              <w:spacing w:after="120" w:line="240" w:lineRule="auto"/>
              <w:contextualSpacing w:val="0"/>
              <w:rPr>
                <w:rFonts w:ascii="Times New Roman" w:hAnsi="Times New Roman" w:cs="Times New Roman"/>
                <w:noProof/>
              </w:rPr>
            </w:pPr>
            <w:r w:rsidRPr="00243E85">
              <w:rPr>
                <w:rFonts w:ascii="Times New Roman" w:hAnsi="Times New Roman"/>
                <w:noProof/>
              </w:rPr>
              <w:t>Su nacionaliniu planu susijęs nacionalinės ir ES energetikos sistemos bei politikos kontekstas</w:t>
            </w:r>
          </w:p>
          <w:p w:rsidR="00B602AA" w:rsidRPr="00243E85" w:rsidRDefault="005C5300">
            <w:pPr>
              <w:pStyle w:val="ListParagraph"/>
              <w:numPr>
                <w:ilvl w:val="3"/>
                <w:numId w:val="1"/>
              </w:numPr>
              <w:spacing w:after="120"/>
              <w:contextualSpacing w:val="0"/>
              <w:rPr>
                <w:rFonts w:ascii="Times New Roman" w:hAnsi="Times New Roman" w:cs="Times New Roman"/>
                <w:noProof/>
              </w:rPr>
            </w:pPr>
            <w:r w:rsidRPr="00243E85">
              <w:rPr>
                <w:rFonts w:ascii="Times New Roman" w:hAnsi="Times New Roman"/>
                <w:noProof/>
              </w:rPr>
              <w:t>Dabartinė energetikos ir klimato politika ir priemonės, aprėpiančios penkis energetikos sąjungos aspektus</w:t>
            </w:r>
          </w:p>
          <w:p w:rsidR="00B602AA" w:rsidRPr="00243E85" w:rsidRDefault="005C5300">
            <w:pPr>
              <w:pStyle w:val="ListParagraph"/>
              <w:numPr>
                <w:ilvl w:val="3"/>
                <w:numId w:val="1"/>
              </w:numPr>
              <w:spacing w:after="120" w:line="240" w:lineRule="auto"/>
              <w:contextualSpacing w:val="0"/>
              <w:rPr>
                <w:rFonts w:ascii="Times New Roman" w:hAnsi="Times New Roman" w:cs="Times New Roman"/>
                <w:noProof/>
              </w:rPr>
            </w:pPr>
            <w:r w:rsidRPr="00243E85">
              <w:rPr>
                <w:rFonts w:ascii="Times New Roman" w:hAnsi="Times New Roman"/>
                <w:noProof/>
              </w:rPr>
              <w:t>Pagrindiniai tarpvalstybinės reikšmės klausimai</w:t>
            </w:r>
          </w:p>
          <w:p w:rsidR="00B602AA" w:rsidRPr="00243E85" w:rsidRDefault="005C5300">
            <w:pPr>
              <w:pStyle w:val="ListParagraph"/>
              <w:numPr>
                <w:ilvl w:val="3"/>
                <w:numId w:val="1"/>
              </w:numPr>
              <w:spacing w:after="120" w:line="240" w:lineRule="auto"/>
              <w:contextualSpacing w:val="0"/>
              <w:rPr>
                <w:rFonts w:ascii="Times New Roman" w:hAnsi="Times New Roman" w:cs="Times New Roman"/>
                <w:b/>
                <w:noProof/>
              </w:rPr>
            </w:pPr>
            <w:r w:rsidRPr="00243E85">
              <w:rPr>
                <w:rFonts w:ascii="Times New Roman" w:hAnsi="Times New Roman"/>
                <w:noProof/>
              </w:rPr>
              <w:t>Nacionalinės energetikos ir klimato politikos įgyvendinimo administracinė struktūra</w:t>
            </w:r>
          </w:p>
        </w:tc>
      </w:tr>
      <w:tr w:rsidR="00B602AA" w:rsidRPr="00243E85">
        <w:tc>
          <w:tcPr>
            <w:tcW w:w="8928" w:type="dxa"/>
          </w:tcPr>
          <w:p w:rsidR="00B602AA" w:rsidRPr="00243E85" w:rsidRDefault="005C5300">
            <w:pPr>
              <w:pStyle w:val="ListParagraph"/>
              <w:numPr>
                <w:ilvl w:val="1"/>
                <w:numId w:val="1"/>
              </w:numPr>
              <w:spacing w:after="120" w:line="240" w:lineRule="auto"/>
              <w:contextualSpacing w:val="0"/>
              <w:rPr>
                <w:rFonts w:ascii="Times New Roman" w:hAnsi="Times New Roman" w:cs="Times New Roman"/>
                <w:b/>
                <w:noProof/>
              </w:rPr>
            </w:pPr>
            <w:r w:rsidRPr="00243E85">
              <w:rPr>
                <w:rFonts w:ascii="Times New Roman" w:hAnsi="Times New Roman"/>
                <w:b/>
                <w:noProof/>
              </w:rPr>
              <w:t>Konsultacijos ir nacionalinių bei ES subjektų dalyvavimas, konsultacijų bei dalyvavimo rezultatai</w:t>
            </w:r>
          </w:p>
          <w:p w:rsidR="00B602AA" w:rsidRPr="00243E85" w:rsidRDefault="005C5300">
            <w:pPr>
              <w:pStyle w:val="ListParagraph"/>
              <w:numPr>
                <w:ilvl w:val="3"/>
                <w:numId w:val="1"/>
              </w:numPr>
              <w:spacing w:after="120" w:line="240" w:lineRule="auto"/>
              <w:contextualSpacing w:val="0"/>
              <w:rPr>
                <w:rFonts w:ascii="Times New Roman" w:hAnsi="Times New Roman" w:cs="Times New Roman"/>
                <w:noProof/>
              </w:rPr>
            </w:pPr>
            <w:r w:rsidRPr="00243E85">
              <w:rPr>
                <w:rFonts w:ascii="Times New Roman" w:hAnsi="Times New Roman"/>
                <w:noProof/>
              </w:rPr>
              <w:t xml:space="preserve">Parlamento dalyvavimas </w:t>
            </w:r>
          </w:p>
          <w:p w:rsidR="00B602AA" w:rsidRPr="00243E85" w:rsidRDefault="005C5300">
            <w:pPr>
              <w:pStyle w:val="ListParagraph"/>
              <w:numPr>
                <w:ilvl w:val="3"/>
                <w:numId w:val="1"/>
              </w:numPr>
              <w:spacing w:after="120" w:line="240" w:lineRule="auto"/>
              <w:contextualSpacing w:val="0"/>
              <w:rPr>
                <w:rFonts w:ascii="Times New Roman" w:hAnsi="Times New Roman" w:cs="Times New Roman"/>
                <w:noProof/>
              </w:rPr>
            </w:pPr>
            <w:r w:rsidRPr="00243E85">
              <w:rPr>
                <w:rFonts w:ascii="Times New Roman" w:hAnsi="Times New Roman"/>
                <w:noProof/>
              </w:rPr>
              <w:t xml:space="preserve">Vietinių ir regioninių valdžios institucijų dalyvavimas </w:t>
            </w:r>
          </w:p>
          <w:p w:rsidR="00B602AA" w:rsidRPr="00243E85" w:rsidRDefault="005C5300">
            <w:pPr>
              <w:pStyle w:val="ListParagraph"/>
              <w:numPr>
                <w:ilvl w:val="3"/>
                <w:numId w:val="1"/>
              </w:numPr>
              <w:spacing w:after="120" w:line="240" w:lineRule="auto"/>
              <w:contextualSpacing w:val="0"/>
              <w:rPr>
                <w:rFonts w:ascii="Times New Roman" w:hAnsi="Times New Roman" w:cs="Times New Roman"/>
                <w:noProof/>
              </w:rPr>
            </w:pPr>
            <w:r w:rsidRPr="00243E85">
              <w:rPr>
                <w:rFonts w:ascii="Times New Roman" w:hAnsi="Times New Roman"/>
                <w:noProof/>
              </w:rPr>
              <w:t>Konsultacijos su suinteresuotosiomis šalimis, įskaitant socialinius partnerius, ir pilietinės visuomenės įtraukimas</w:t>
            </w:r>
          </w:p>
          <w:p w:rsidR="00B602AA" w:rsidRPr="00243E85" w:rsidRDefault="005C5300">
            <w:pPr>
              <w:pStyle w:val="ListParagraph"/>
              <w:numPr>
                <w:ilvl w:val="3"/>
                <w:numId w:val="1"/>
              </w:numPr>
              <w:spacing w:after="120" w:line="240" w:lineRule="auto"/>
              <w:contextualSpacing w:val="0"/>
              <w:rPr>
                <w:rFonts w:ascii="Times New Roman" w:hAnsi="Times New Roman" w:cs="Times New Roman"/>
                <w:noProof/>
              </w:rPr>
            </w:pPr>
            <w:r w:rsidRPr="00243E85">
              <w:rPr>
                <w:rFonts w:ascii="Times New Roman" w:hAnsi="Times New Roman"/>
                <w:noProof/>
              </w:rPr>
              <w:t xml:space="preserve">Konsultacijos su kitomis valstybėmis narėmis </w:t>
            </w:r>
          </w:p>
          <w:p w:rsidR="00B602AA" w:rsidRPr="00243E85" w:rsidRDefault="005C5300">
            <w:pPr>
              <w:pStyle w:val="ListParagraph"/>
              <w:numPr>
                <w:ilvl w:val="3"/>
                <w:numId w:val="1"/>
              </w:numPr>
              <w:spacing w:after="120" w:line="240" w:lineRule="auto"/>
              <w:contextualSpacing w:val="0"/>
              <w:rPr>
                <w:rFonts w:ascii="Times New Roman" w:hAnsi="Times New Roman" w:cs="Times New Roman"/>
                <w:noProof/>
              </w:rPr>
            </w:pPr>
            <w:r w:rsidRPr="00243E85">
              <w:rPr>
                <w:rFonts w:ascii="Times New Roman" w:hAnsi="Times New Roman"/>
                <w:noProof/>
              </w:rPr>
              <w:t xml:space="preserve">Kartotinis procesas su Europos Komisija </w:t>
            </w:r>
          </w:p>
        </w:tc>
      </w:tr>
      <w:tr w:rsidR="00B602AA" w:rsidRPr="00243E85">
        <w:tc>
          <w:tcPr>
            <w:tcW w:w="8928" w:type="dxa"/>
            <w:tcBorders>
              <w:bottom w:val="single" w:sz="4" w:space="0" w:color="auto"/>
            </w:tcBorders>
          </w:tcPr>
          <w:p w:rsidR="00B602AA" w:rsidRPr="00243E85" w:rsidRDefault="005C5300">
            <w:pPr>
              <w:pStyle w:val="ListParagraph"/>
              <w:numPr>
                <w:ilvl w:val="1"/>
                <w:numId w:val="1"/>
              </w:numPr>
              <w:spacing w:after="120" w:line="240" w:lineRule="auto"/>
              <w:contextualSpacing w:val="0"/>
              <w:rPr>
                <w:rFonts w:ascii="Times New Roman" w:hAnsi="Times New Roman" w:cs="Times New Roman"/>
                <w:b/>
                <w:noProof/>
              </w:rPr>
            </w:pPr>
            <w:r w:rsidRPr="00243E85">
              <w:rPr>
                <w:rFonts w:ascii="Times New Roman" w:hAnsi="Times New Roman"/>
                <w:b/>
                <w:noProof/>
              </w:rPr>
              <w:t>Regioninis bendradarbiavimas rengiant planą</w:t>
            </w:r>
          </w:p>
          <w:p w:rsidR="00B602AA" w:rsidRPr="00243E85" w:rsidRDefault="005C5300">
            <w:pPr>
              <w:pStyle w:val="ListParagraph"/>
              <w:numPr>
                <w:ilvl w:val="3"/>
                <w:numId w:val="1"/>
              </w:numPr>
              <w:spacing w:after="120" w:line="240" w:lineRule="auto"/>
              <w:contextualSpacing w:val="0"/>
              <w:rPr>
                <w:rFonts w:ascii="Times New Roman" w:hAnsi="Times New Roman" w:cs="Times New Roman"/>
                <w:b/>
                <w:noProof/>
              </w:rPr>
            </w:pPr>
            <w:r w:rsidRPr="00243E85">
              <w:rPr>
                <w:rFonts w:ascii="Times New Roman" w:hAnsi="Times New Roman"/>
                <w:noProof/>
              </w:rPr>
              <w:t>Su kitomis valstybėmis narėmis bendrai arba koordinuotai planuojami elementai</w:t>
            </w:r>
          </w:p>
          <w:p w:rsidR="00B602AA" w:rsidRPr="00243E85" w:rsidRDefault="005C5300">
            <w:pPr>
              <w:pStyle w:val="ListParagraph"/>
              <w:numPr>
                <w:ilvl w:val="3"/>
                <w:numId w:val="1"/>
              </w:numPr>
              <w:spacing w:after="120" w:line="240" w:lineRule="auto"/>
              <w:contextualSpacing w:val="0"/>
              <w:rPr>
                <w:rFonts w:ascii="Times New Roman" w:hAnsi="Times New Roman" w:cs="Times New Roman"/>
                <w:b/>
                <w:noProof/>
              </w:rPr>
            </w:pPr>
            <w:r w:rsidRPr="00243E85">
              <w:rPr>
                <w:rFonts w:ascii="Times New Roman" w:hAnsi="Times New Roman"/>
                <w:noProof/>
              </w:rPr>
              <w:t>Paaiškinimas, kaip plane atsižvelgiama į regioninį bendradarbiavimą</w:t>
            </w:r>
          </w:p>
        </w:tc>
      </w:tr>
      <w:tr w:rsidR="00B602AA" w:rsidRPr="00243E85">
        <w:tc>
          <w:tcPr>
            <w:tcW w:w="8928" w:type="dxa"/>
            <w:shd w:val="clear" w:color="auto" w:fill="D9D9D9" w:themeFill="background1" w:themeFillShade="D9"/>
          </w:tcPr>
          <w:p w:rsidR="00B602AA" w:rsidRPr="00243E85" w:rsidRDefault="005C5300">
            <w:pPr>
              <w:pStyle w:val="ListParagraph"/>
              <w:numPr>
                <w:ilvl w:val="0"/>
                <w:numId w:val="1"/>
              </w:numPr>
              <w:spacing w:after="120" w:line="240" w:lineRule="auto"/>
              <w:contextualSpacing w:val="0"/>
              <w:rPr>
                <w:rFonts w:ascii="Times New Roman" w:hAnsi="Times New Roman" w:cs="Times New Roman"/>
                <w:b/>
                <w:noProof/>
              </w:rPr>
            </w:pPr>
            <w:r w:rsidRPr="00243E85">
              <w:rPr>
                <w:rFonts w:ascii="Times New Roman" w:hAnsi="Times New Roman"/>
                <w:b/>
                <w:noProof/>
              </w:rPr>
              <w:t>NACIONALINIAI UŽDAVINIAI IR TIKSLAI</w:t>
            </w:r>
          </w:p>
        </w:tc>
      </w:tr>
      <w:tr w:rsidR="00B602AA" w:rsidRPr="00243E85">
        <w:trPr>
          <w:trHeight w:val="283"/>
        </w:trPr>
        <w:tc>
          <w:tcPr>
            <w:tcW w:w="8928" w:type="dxa"/>
          </w:tcPr>
          <w:p w:rsidR="00B602AA" w:rsidRPr="00243E85" w:rsidRDefault="005C5300">
            <w:pPr>
              <w:pStyle w:val="ListParagraph"/>
              <w:numPr>
                <w:ilvl w:val="1"/>
                <w:numId w:val="1"/>
              </w:numPr>
              <w:spacing w:after="120" w:line="240" w:lineRule="auto"/>
              <w:contextualSpacing w:val="0"/>
              <w:rPr>
                <w:rFonts w:ascii="Times New Roman" w:hAnsi="Times New Roman" w:cs="Times New Roman"/>
                <w:b/>
                <w:noProof/>
              </w:rPr>
            </w:pPr>
            <w:r w:rsidRPr="00243E85">
              <w:rPr>
                <w:rFonts w:ascii="Times New Roman" w:hAnsi="Times New Roman"/>
                <w:b/>
                <w:noProof/>
              </w:rPr>
              <w:t>Priklausomybės nuo iškastinio kuro mažinimo aspektas</w:t>
            </w:r>
          </w:p>
          <w:p w:rsidR="00B602AA" w:rsidRPr="00243E85" w:rsidRDefault="005C5300">
            <w:pPr>
              <w:pStyle w:val="ListParagraph"/>
              <w:numPr>
                <w:ilvl w:val="2"/>
                <w:numId w:val="1"/>
              </w:numPr>
              <w:spacing w:after="120" w:line="240" w:lineRule="auto"/>
              <w:contextualSpacing w:val="0"/>
              <w:rPr>
                <w:rFonts w:ascii="Times New Roman" w:hAnsi="Times New Roman" w:cs="Times New Roman"/>
                <w:b/>
                <w:noProof/>
              </w:rPr>
            </w:pPr>
            <w:r w:rsidRPr="00243E85">
              <w:rPr>
                <w:rFonts w:ascii="Times New Roman" w:hAnsi="Times New Roman"/>
                <w:b/>
                <w:noProof/>
              </w:rPr>
              <w:t>Šiltnamio efektą sukeliančių dujų (ŠESD) išmetimas ir šalinimas (2021–2030 m. laikotarpio plane nustatytas 2030 m. klimato ir energetikos politikos strategijos tikslas – visuose ES ekonomikos sektoriuose išmetamą ŠESD kiekį sumažinti bent 40 proc., palyginti su 1990 m.)</w:t>
            </w:r>
            <w:r w:rsidRPr="00243E85">
              <w:rPr>
                <w:rStyle w:val="FootnoteReference"/>
                <w:rFonts w:ascii="Times New Roman" w:hAnsi="Times New Roman"/>
                <w:noProof/>
              </w:rPr>
              <w:t xml:space="preserve"> </w:t>
            </w:r>
            <w:r w:rsidRPr="00243E85">
              <w:rPr>
                <w:rStyle w:val="FootnoteReference"/>
                <w:rFonts w:ascii="Times New Roman" w:hAnsi="Times New Roman"/>
                <w:noProof/>
              </w:rPr>
              <w:footnoteReference w:id="2"/>
            </w:r>
          </w:p>
          <w:p w:rsidR="00B602AA" w:rsidRPr="00243E85" w:rsidRDefault="005C5300">
            <w:pPr>
              <w:pStyle w:val="ListParagraph"/>
              <w:numPr>
                <w:ilvl w:val="3"/>
                <w:numId w:val="1"/>
              </w:numPr>
              <w:spacing w:after="120" w:line="240" w:lineRule="auto"/>
              <w:contextualSpacing w:val="0"/>
              <w:rPr>
                <w:rFonts w:ascii="Times New Roman" w:hAnsi="Times New Roman" w:cs="Times New Roman"/>
                <w:noProof/>
              </w:rPr>
            </w:pPr>
            <w:r w:rsidRPr="00243E85">
              <w:rPr>
                <w:rFonts w:ascii="Times New Roman" w:hAnsi="Times New Roman"/>
                <w:noProof/>
              </w:rPr>
              <w:lastRenderedPageBreak/>
              <w:t>Privalomieji valstybės narės nacionaliniai 2030 m. išmetamo ŠESD kiekio tikslai, nustatyti sektoriams, kuriuose netaikoma apyvartinių taršos leidimų prekybos sistema, privalomosios metinės nacionalinės ribos</w:t>
            </w:r>
            <w:r w:rsidRPr="00243E85">
              <w:rPr>
                <w:rStyle w:val="FootnoteReference"/>
                <w:rFonts w:ascii="Times New Roman" w:hAnsi="Times New Roman"/>
                <w:noProof/>
              </w:rPr>
              <w:footnoteReference w:id="3"/>
            </w:r>
            <w:r w:rsidRPr="00243E85">
              <w:rPr>
                <w:rFonts w:ascii="Times New Roman" w:hAnsi="Times New Roman"/>
                <w:noProof/>
              </w:rPr>
              <w:t xml:space="preserve"> ir įsipareigojimai pagal Reglamentą [ ] [LULUCF]</w:t>
            </w:r>
            <w:r w:rsidRPr="00243E85">
              <w:rPr>
                <w:rStyle w:val="FootnoteReference"/>
                <w:rFonts w:ascii="Times New Roman" w:hAnsi="Times New Roman"/>
                <w:noProof/>
              </w:rPr>
              <w:footnoteReference w:id="4"/>
            </w:r>
            <w:r w:rsidRPr="00243E85">
              <w:rPr>
                <w:rFonts w:ascii="Times New Roman" w:hAnsi="Times New Roman"/>
                <w:noProof/>
              </w:rPr>
              <w:t xml:space="preserve"> </w:t>
            </w:r>
          </w:p>
          <w:p w:rsidR="00B602AA" w:rsidRPr="00243E85" w:rsidRDefault="005C5300">
            <w:pPr>
              <w:pStyle w:val="ListParagraph"/>
              <w:numPr>
                <w:ilvl w:val="3"/>
                <w:numId w:val="1"/>
              </w:numPr>
              <w:spacing w:after="120" w:line="240" w:lineRule="auto"/>
              <w:contextualSpacing w:val="0"/>
              <w:rPr>
                <w:rFonts w:ascii="Times New Roman" w:hAnsi="Times New Roman" w:cs="Times New Roman"/>
                <w:noProof/>
              </w:rPr>
            </w:pPr>
            <w:r w:rsidRPr="00243E85">
              <w:rPr>
                <w:rFonts w:ascii="Times New Roman" w:hAnsi="Times New Roman"/>
                <w:noProof/>
              </w:rPr>
              <w:t>Jei taikoma, kiti nacionaliniai uždaviniai ir tikslai, atitinkantys įgyvendinamas ilgalaikes išmetamųjų teršalų kiekio mažinimo strategijas. Jei taikoma, kiti uždaviniai ir tikslai, įskaitant sektorių tikslus ir prisitaikymo prie klimato kaitos tikslus</w:t>
            </w:r>
          </w:p>
          <w:p w:rsidR="00B602AA" w:rsidRPr="00243E85" w:rsidRDefault="005C5300">
            <w:pPr>
              <w:pStyle w:val="ListParagraph"/>
              <w:numPr>
                <w:ilvl w:val="2"/>
                <w:numId w:val="1"/>
              </w:numPr>
              <w:spacing w:after="120" w:line="240" w:lineRule="auto"/>
              <w:contextualSpacing w:val="0"/>
              <w:rPr>
                <w:rFonts w:ascii="Times New Roman" w:hAnsi="Times New Roman" w:cs="Times New Roman"/>
                <w:b/>
                <w:noProof/>
              </w:rPr>
            </w:pPr>
            <w:r w:rsidRPr="00243E85">
              <w:rPr>
                <w:rFonts w:ascii="Times New Roman" w:hAnsi="Times New Roman"/>
                <w:b/>
                <w:noProof/>
              </w:rPr>
              <w:t>Atsinaujinančiųjų išteklių energija (2030 m. klimato ir energetikos politikos strategijos tikslas)</w:t>
            </w:r>
          </w:p>
          <w:p w:rsidR="00B602AA" w:rsidRPr="00243E85" w:rsidRDefault="005C5300">
            <w:pPr>
              <w:pStyle w:val="ListParagraph"/>
              <w:numPr>
                <w:ilvl w:val="3"/>
                <w:numId w:val="1"/>
              </w:numPr>
              <w:spacing w:after="120" w:line="240" w:lineRule="auto"/>
              <w:contextualSpacing w:val="0"/>
              <w:rPr>
                <w:rFonts w:ascii="Times New Roman" w:hAnsi="Times New Roman" w:cs="Times New Roman"/>
                <w:noProof/>
              </w:rPr>
            </w:pPr>
            <w:r w:rsidRPr="00243E85">
              <w:rPr>
                <w:rFonts w:ascii="Times New Roman" w:hAnsi="Times New Roman"/>
                <w:noProof/>
              </w:rPr>
              <w:t>Atsinaujinančiųjų išteklių energijos dalis, palyginti su bendru suvartojamu galutinės energijos kiekiu, kurią valstybė narė planuoja pasiekti 2030 m. ir taip įgyvendintų nacionalinius veiksmus, kad 2030 m. būtų pasiektas privalomas ES lygmens 27 proc. tikslas</w:t>
            </w:r>
          </w:p>
          <w:p w:rsidR="00B602AA" w:rsidRPr="00243E85" w:rsidRDefault="005C5300">
            <w:pPr>
              <w:pStyle w:val="ListParagraph"/>
              <w:numPr>
                <w:ilvl w:val="3"/>
                <w:numId w:val="1"/>
              </w:numPr>
              <w:spacing w:after="120" w:line="240" w:lineRule="auto"/>
              <w:contextualSpacing w:val="0"/>
              <w:rPr>
                <w:rFonts w:ascii="Times New Roman" w:hAnsi="Times New Roman" w:cs="Times New Roman"/>
                <w:noProof/>
              </w:rPr>
            </w:pPr>
            <w:r w:rsidRPr="00243E85">
              <w:rPr>
                <w:rFonts w:ascii="Times New Roman" w:hAnsi="Times New Roman"/>
                <w:noProof/>
              </w:rPr>
              <w:t xml:space="preserve">Visų sektorių atsinaujinančiųjų išteklių energijos dalies, palyginti su bendru suvartojamu galutinės energijos kiekiu, kitimo 2021–2030 m. trajektorija </w:t>
            </w:r>
          </w:p>
          <w:p w:rsidR="00B602AA" w:rsidRPr="00243E85" w:rsidRDefault="005C5300">
            <w:pPr>
              <w:pStyle w:val="ListParagraph"/>
              <w:numPr>
                <w:ilvl w:val="3"/>
                <w:numId w:val="1"/>
              </w:numPr>
              <w:spacing w:after="120" w:line="240" w:lineRule="auto"/>
              <w:contextualSpacing w:val="0"/>
              <w:rPr>
                <w:rFonts w:ascii="Times New Roman" w:hAnsi="Times New Roman" w:cs="Times New Roman"/>
                <w:noProof/>
              </w:rPr>
            </w:pPr>
            <w:r w:rsidRPr="00243E85">
              <w:rPr>
                <w:rFonts w:ascii="Times New Roman" w:hAnsi="Times New Roman"/>
                <w:noProof/>
              </w:rPr>
              <w:t>Atsinaujinančiųjų išteklių energijos dalies, palyginti su suvartojamu galutinės energijos kiekiu, kitimo 2021–2030 m. trajektorijos atskiruose – elektros energijos, šildymo ir vėsinimo, taip pat transporto – sektoriuose</w:t>
            </w:r>
          </w:p>
          <w:p w:rsidR="00B602AA" w:rsidRPr="00243E85" w:rsidRDefault="005C5300">
            <w:pPr>
              <w:pStyle w:val="ListParagraph"/>
              <w:numPr>
                <w:ilvl w:val="3"/>
                <w:numId w:val="1"/>
              </w:numPr>
              <w:spacing w:after="120" w:line="240" w:lineRule="auto"/>
              <w:contextualSpacing w:val="0"/>
              <w:rPr>
                <w:rFonts w:ascii="Times New Roman" w:hAnsi="Times New Roman" w:cs="Times New Roman"/>
                <w:noProof/>
              </w:rPr>
            </w:pPr>
            <w:r w:rsidRPr="00243E85">
              <w:rPr>
                <w:rFonts w:ascii="Times New Roman" w:hAnsi="Times New Roman"/>
                <w:noProof/>
              </w:rPr>
              <w:t>Atsinaujinančiųjų išteklių energijos technologijų, kurias valstybė narė planuoja taikyti, kad pasiektų bendrą ir atskirų sektorių atsinaujinančiųjų išteklių energijos dalį, taikymo 2021–2030 m. trajektorijos, įskaitant bendrą numatomą suvartoti galutinės energijos kiekį, suskirstytą pagal technologijas ir sektorius (mln. tonų naftos ekvivalentu, tne), ir bendrą planuojamą įrengtąją galią, (padalytą iš naujojo ir techniškai pertvarkyto pajėgumo), išreikštą MW ir suskirstytą pagal technologijas ir sektorius</w:t>
            </w:r>
          </w:p>
          <w:p w:rsidR="00B602AA" w:rsidRPr="00243E85" w:rsidRDefault="005C5300">
            <w:pPr>
              <w:pStyle w:val="ListParagraph"/>
              <w:numPr>
                <w:ilvl w:val="3"/>
                <w:numId w:val="1"/>
              </w:numPr>
              <w:spacing w:after="120" w:line="240" w:lineRule="auto"/>
              <w:contextualSpacing w:val="0"/>
              <w:rPr>
                <w:noProof/>
              </w:rPr>
            </w:pPr>
            <w:r w:rsidRPr="00243E85">
              <w:rPr>
                <w:rFonts w:ascii="Times New Roman" w:hAnsi="Times New Roman"/>
                <w:noProof/>
              </w:rPr>
              <w:t>Bioenergijos paklausos, išskaidytos pagal šildymo, elektros energijos ir transporto sektorius, taip pat biomasės pasiūlos, išskirstytos pagal žaliavą ir kilmę (atskiriant vidaus gamybą ir importą), trajektorijos. Jei biomasė gaunama iš miško, jos šaltinio ir poveikio žemės naudojimo, žemės naudojimo keitimo ir miškininkystės anglies dioksido absorbentams vertinimas</w:t>
            </w:r>
          </w:p>
          <w:p w:rsidR="00B602AA" w:rsidRPr="00243E85" w:rsidRDefault="005C5300">
            <w:pPr>
              <w:pStyle w:val="ListParagraph"/>
              <w:numPr>
                <w:ilvl w:val="3"/>
                <w:numId w:val="1"/>
              </w:numPr>
              <w:spacing w:after="120" w:line="240" w:lineRule="auto"/>
              <w:contextualSpacing w:val="0"/>
              <w:jc w:val="both"/>
              <w:rPr>
                <w:rFonts w:ascii="Times New Roman" w:hAnsi="Times New Roman" w:cs="Times New Roman"/>
                <w:noProof/>
              </w:rPr>
            </w:pPr>
            <w:r w:rsidRPr="00243E85">
              <w:rPr>
                <w:rFonts w:ascii="Times New Roman" w:hAnsi="Times New Roman"/>
                <w:noProof/>
              </w:rPr>
              <w:t>Jei taikoma, kitos nacionalinės trajektorijos ir uždaviniai, įskaitant ilgalaikius ir sektorių uždavinius, pavyzdžiui, pažangiųjų biodegalų dalį, centralizuotam šilumos tiekimui naudojamos atsinaujinančiųjų išteklių energijos dalį, atsinaujinančiųjų išteklių energijos naudojimą pastatuose, atsinaujinančiųjų išteklių energiją, kurią sau pasigamina miestai, energijos bendruomenės ir vartotojai</w:t>
            </w:r>
          </w:p>
        </w:tc>
      </w:tr>
      <w:tr w:rsidR="00B602AA" w:rsidRPr="00243E85" w:rsidTr="00056BCA">
        <w:trPr>
          <w:trHeight w:val="416"/>
        </w:trPr>
        <w:tc>
          <w:tcPr>
            <w:tcW w:w="8928" w:type="dxa"/>
          </w:tcPr>
          <w:p w:rsidR="00B602AA" w:rsidRPr="00243E85" w:rsidRDefault="005C5300">
            <w:pPr>
              <w:pStyle w:val="ListParagraph"/>
              <w:numPr>
                <w:ilvl w:val="1"/>
                <w:numId w:val="1"/>
              </w:numPr>
              <w:spacing w:after="120" w:line="240" w:lineRule="auto"/>
              <w:contextualSpacing w:val="0"/>
              <w:rPr>
                <w:rFonts w:ascii="Times New Roman" w:hAnsi="Times New Roman" w:cs="Times New Roman"/>
                <w:b/>
                <w:noProof/>
              </w:rPr>
            </w:pPr>
            <w:r w:rsidRPr="00243E85">
              <w:rPr>
                <w:rFonts w:ascii="Times New Roman" w:hAnsi="Times New Roman"/>
                <w:b/>
                <w:noProof/>
              </w:rPr>
              <w:lastRenderedPageBreak/>
              <w:t>Energijos vartojimo efektyvumo aspektas (2030 m. klimato ir energetikos politikos strategijos tikslas)</w:t>
            </w:r>
          </w:p>
          <w:p w:rsidR="00B602AA" w:rsidRPr="00243E85" w:rsidRDefault="005C5300" w:rsidP="0041420D">
            <w:pPr>
              <w:pStyle w:val="ListParagraph"/>
              <w:numPr>
                <w:ilvl w:val="3"/>
                <w:numId w:val="1"/>
              </w:numPr>
              <w:spacing w:after="120" w:line="240" w:lineRule="auto"/>
              <w:contextualSpacing w:val="0"/>
              <w:rPr>
                <w:rFonts w:ascii="Times New Roman" w:hAnsi="Times New Roman" w:cs="Times New Roman"/>
                <w:noProof/>
              </w:rPr>
            </w:pPr>
            <w:r w:rsidRPr="00243E85">
              <w:rPr>
                <w:rFonts w:ascii="Times New Roman" w:hAnsi="Times New Roman"/>
                <w:noProof/>
              </w:rPr>
              <w:t xml:space="preserve">Pirminės arba galutinės energijos suvartojimu, sutaupytu pirminės ar galutinės energijos kiekiu ar energijos intensyvumu grindžiami orientaciniai nacionaliniai energijos vartojimo efektyvumo didinimo veiksmai, kad būtų pasiektas Sąjungos 2030 m. privalomas 30 proc. energijos vartojimo efektyvumo tikslas, kaip nurodyta Direktyvos 2012/27/ES [redakcija su </w:t>
            </w:r>
            <w:r w:rsidRPr="00243E85">
              <w:rPr>
                <w:rFonts w:ascii="Times New Roman" w:hAnsi="Times New Roman"/>
                <w:noProof/>
              </w:rPr>
              <w:lastRenderedPageBreak/>
              <w:t>pakeitimais, padarytais pagal pasiūlymą COM(2016)761] 1 straipsnio 1 dalyje ir 3 straipsnio 4 dalyje; nurodomas siektinas absoliutusis pirminės energijos suvartojimo ir galutinės energijos suvartojimo 2020 ir 2030 m. lygis, parodant kitimo nuo 2021 m. trajektoriją; būtina nurodyti pagrindinę metodiką ir naudotus perskaičiavimo koeficientus</w:t>
            </w:r>
          </w:p>
          <w:p w:rsidR="00B602AA" w:rsidRPr="00243E85" w:rsidRDefault="005C5300">
            <w:pPr>
              <w:pStyle w:val="ListParagraph"/>
              <w:numPr>
                <w:ilvl w:val="3"/>
                <w:numId w:val="1"/>
              </w:numPr>
              <w:spacing w:after="120" w:line="240" w:lineRule="auto"/>
              <w:contextualSpacing w:val="0"/>
              <w:rPr>
                <w:rFonts w:ascii="Times New Roman" w:hAnsi="Times New Roman" w:cs="Times New Roman"/>
                <w:noProof/>
              </w:rPr>
            </w:pPr>
            <w:r w:rsidRPr="00243E85">
              <w:rPr>
                <w:rFonts w:ascii="Times New Roman" w:hAnsi="Times New Roman"/>
                <w:noProof/>
              </w:rPr>
              <w:t xml:space="preserve">Suminis energijos, kurią planuojama sutaupyti 2021–2030 m., kiekis pagal Direktyvos 2012/27/ES [redakcija su pakeitimais, padarytais pagal pasiūlymą COM(2016)761] 7 straipsnio nuostatas dėl energijos taupymo įpareigojimų </w:t>
            </w:r>
          </w:p>
          <w:p w:rsidR="00B602AA" w:rsidRPr="00243E85" w:rsidRDefault="005C5300">
            <w:pPr>
              <w:pStyle w:val="ListParagraph"/>
              <w:numPr>
                <w:ilvl w:val="3"/>
                <w:numId w:val="1"/>
              </w:numPr>
              <w:spacing w:after="120" w:line="240" w:lineRule="auto"/>
              <w:contextualSpacing w:val="0"/>
              <w:rPr>
                <w:rFonts w:ascii="Times New Roman" w:hAnsi="Times New Roman" w:cs="Times New Roman"/>
                <w:noProof/>
              </w:rPr>
            </w:pPr>
            <w:r w:rsidRPr="00243E85">
              <w:rPr>
                <w:rFonts w:ascii="Times New Roman" w:hAnsi="Times New Roman"/>
                <w:noProof/>
              </w:rPr>
              <w:t>Nacionalinio gyvenamųjų ir komercinės (viešosios ir privačiosios) paskirties pastatų fondo ilgalaikės renovacijos uždaviniai</w:t>
            </w:r>
          </w:p>
          <w:p w:rsidR="00B602AA" w:rsidRPr="00243E85" w:rsidRDefault="005C5300">
            <w:pPr>
              <w:pStyle w:val="ListParagraph"/>
              <w:numPr>
                <w:ilvl w:val="3"/>
                <w:numId w:val="1"/>
              </w:numPr>
              <w:spacing w:after="120" w:line="240" w:lineRule="auto"/>
              <w:contextualSpacing w:val="0"/>
              <w:rPr>
                <w:rFonts w:ascii="Times New Roman" w:hAnsi="Times New Roman" w:cs="Times New Roman"/>
                <w:noProof/>
              </w:rPr>
            </w:pPr>
            <w:r w:rsidRPr="00243E85">
              <w:rPr>
                <w:rFonts w:ascii="Times New Roman" w:hAnsi="Times New Roman"/>
                <w:noProof/>
              </w:rPr>
              <w:t xml:space="preserve">Visas pastatų, kurie bus renovuoti, patalpų plotas arba 2021–2030 m. lygiavertis metinis sutaupytos energijos kiekis pagal Direktyvos 2012/27/ES 5 straipsnio nuostatas dėl pavyzdinio viešųjų organizacijų pastatų vaidmens </w:t>
            </w:r>
          </w:p>
          <w:p w:rsidR="00B602AA" w:rsidRPr="00243E85" w:rsidRDefault="005C5300">
            <w:pPr>
              <w:pStyle w:val="ListParagraph"/>
              <w:numPr>
                <w:ilvl w:val="3"/>
                <w:numId w:val="1"/>
              </w:numPr>
              <w:spacing w:after="120" w:line="240" w:lineRule="auto"/>
              <w:contextualSpacing w:val="0"/>
              <w:rPr>
                <w:rFonts w:ascii="Times New Roman" w:hAnsi="Times New Roman" w:cs="Times New Roman"/>
                <w:noProof/>
              </w:rPr>
            </w:pPr>
            <w:r w:rsidRPr="00243E85">
              <w:rPr>
                <w:rFonts w:ascii="Times New Roman" w:hAnsi="Times New Roman"/>
                <w:noProof/>
              </w:rPr>
              <w:t>Jei taikoma, kiti nacionaliniai uždaviniai, įskaitant ilgalaikius tikslus arba strategijas ir sektorių tikslus. Nacionaliniai uždaviniai tokiose srityse, kaip antai energijos vartojimo efektyvumas šildymo bei vėsinimo ir transporto sektoriuose</w:t>
            </w:r>
          </w:p>
        </w:tc>
      </w:tr>
      <w:tr w:rsidR="00B602AA" w:rsidRPr="00243E85">
        <w:trPr>
          <w:trHeight w:val="283"/>
        </w:trPr>
        <w:tc>
          <w:tcPr>
            <w:tcW w:w="8928" w:type="dxa"/>
          </w:tcPr>
          <w:p w:rsidR="00B602AA" w:rsidRPr="00243E85" w:rsidRDefault="005C5300">
            <w:pPr>
              <w:pStyle w:val="ListParagraph"/>
              <w:numPr>
                <w:ilvl w:val="1"/>
                <w:numId w:val="1"/>
              </w:numPr>
              <w:spacing w:after="120" w:line="240" w:lineRule="auto"/>
              <w:contextualSpacing w:val="0"/>
              <w:rPr>
                <w:rFonts w:ascii="Times New Roman" w:hAnsi="Times New Roman" w:cs="Times New Roman"/>
                <w:b/>
                <w:noProof/>
              </w:rPr>
            </w:pPr>
            <w:r w:rsidRPr="00243E85">
              <w:rPr>
                <w:rFonts w:ascii="Times New Roman" w:hAnsi="Times New Roman"/>
                <w:b/>
                <w:noProof/>
              </w:rPr>
              <w:lastRenderedPageBreak/>
              <w:t xml:space="preserve">Energetinio saugumo aspektas </w:t>
            </w:r>
          </w:p>
          <w:p w:rsidR="00B602AA" w:rsidRPr="00243E85" w:rsidRDefault="005C5300" w:rsidP="00BD4A85">
            <w:pPr>
              <w:pStyle w:val="ListParagraph"/>
              <w:numPr>
                <w:ilvl w:val="3"/>
                <w:numId w:val="1"/>
              </w:numPr>
              <w:rPr>
                <w:rFonts w:ascii="Times New Roman" w:hAnsi="Times New Roman" w:cs="Times New Roman"/>
                <w:noProof/>
              </w:rPr>
            </w:pPr>
            <w:r w:rsidRPr="00243E85">
              <w:rPr>
                <w:rFonts w:ascii="Times New Roman" w:hAnsi="Times New Roman"/>
                <w:noProof/>
              </w:rPr>
              <w:t xml:space="preserve">Nacionaliniai uždaviniai, susiję su energijos šaltinių ir tiekimo iš trečiųjų šalių įvairinimu, taip pat su saugyklomis ir reguliavimu apkrova </w:t>
            </w:r>
          </w:p>
          <w:p w:rsidR="0057769C" w:rsidRPr="00243E85" w:rsidRDefault="0057769C" w:rsidP="0057769C">
            <w:pPr>
              <w:pStyle w:val="ListParagraph"/>
              <w:numPr>
                <w:ilvl w:val="3"/>
                <w:numId w:val="1"/>
              </w:numPr>
              <w:spacing w:after="120" w:line="240" w:lineRule="auto"/>
              <w:contextualSpacing w:val="0"/>
              <w:rPr>
                <w:rFonts w:ascii="Times New Roman" w:hAnsi="Times New Roman" w:cs="Times New Roman"/>
                <w:noProof/>
              </w:rPr>
            </w:pPr>
            <w:r w:rsidRPr="00243E85">
              <w:rPr>
                <w:rFonts w:ascii="Times New Roman" w:hAnsi="Times New Roman"/>
                <w:noProof/>
              </w:rPr>
              <w:t>Nacionaliniai uždaviniai, susiję su priklausomybės nuo energijos importo iš trečiųjų šalių mažinimu</w:t>
            </w:r>
          </w:p>
          <w:p w:rsidR="00B602AA" w:rsidRPr="00243E85" w:rsidRDefault="005C5300">
            <w:pPr>
              <w:pStyle w:val="ListParagraph"/>
              <w:numPr>
                <w:ilvl w:val="3"/>
                <w:numId w:val="1"/>
              </w:numPr>
              <w:spacing w:after="120" w:line="240" w:lineRule="auto"/>
              <w:contextualSpacing w:val="0"/>
              <w:rPr>
                <w:rFonts w:ascii="Times New Roman" w:hAnsi="Times New Roman" w:cs="Times New Roman"/>
                <w:noProof/>
              </w:rPr>
            </w:pPr>
            <w:r w:rsidRPr="00243E85">
              <w:rPr>
                <w:rFonts w:ascii="Times New Roman" w:hAnsi="Times New Roman"/>
                <w:noProof/>
              </w:rPr>
              <w:t>Nacionaliniai uždaviniai, susiję su pasirengimu imtis priemonių, jei energijos ištekliaus (įskaitant dujas ir elektros energiją) tiekimas būtų ribojamas arba nutrauktas, ir terminai, jei dera, iki kurių, uždaviniai turi būti išspręsti</w:t>
            </w:r>
            <w:r w:rsidRPr="00243E85">
              <w:rPr>
                <w:rStyle w:val="FootnoteReference"/>
                <w:rFonts w:ascii="Times New Roman" w:hAnsi="Times New Roman"/>
                <w:noProof/>
              </w:rPr>
              <w:footnoteReference w:id="5"/>
            </w:r>
          </w:p>
          <w:p w:rsidR="00B602AA" w:rsidRPr="00243E85" w:rsidRDefault="005C5300" w:rsidP="004D60E3">
            <w:pPr>
              <w:pStyle w:val="ListParagraph"/>
              <w:numPr>
                <w:ilvl w:val="3"/>
                <w:numId w:val="1"/>
              </w:numPr>
              <w:spacing w:after="120" w:line="240" w:lineRule="auto"/>
              <w:contextualSpacing w:val="0"/>
              <w:rPr>
                <w:rFonts w:ascii="Times New Roman" w:hAnsi="Times New Roman" w:cs="Times New Roman"/>
                <w:noProof/>
              </w:rPr>
            </w:pPr>
            <w:r w:rsidRPr="00243E85">
              <w:rPr>
                <w:rFonts w:ascii="Times New Roman" w:hAnsi="Times New Roman"/>
                <w:noProof/>
              </w:rPr>
              <w:t>Nacionaliniai uždaviniai, susiję su vidaus energijos (visų pirma atsinaujinančiųjų išteklių energijos) šaltinių naudojimu</w:t>
            </w:r>
          </w:p>
        </w:tc>
      </w:tr>
      <w:tr w:rsidR="00B602AA" w:rsidRPr="00243E85">
        <w:trPr>
          <w:trHeight w:val="816"/>
        </w:trPr>
        <w:tc>
          <w:tcPr>
            <w:tcW w:w="8928" w:type="dxa"/>
          </w:tcPr>
          <w:p w:rsidR="00B602AA" w:rsidRPr="00243E85" w:rsidRDefault="005C5300">
            <w:pPr>
              <w:pStyle w:val="ListParagraph"/>
              <w:numPr>
                <w:ilvl w:val="1"/>
                <w:numId w:val="1"/>
              </w:numPr>
              <w:spacing w:after="120" w:line="240" w:lineRule="auto"/>
              <w:contextualSpacing w:val="0"/>
              <w:rPr>
                <w:rFonts w:ascii="Times New Roman" w:hAnsi="Times New Roman" w:cs="Times New Roman"/>
                <w:b/>
                <w:noProof/>
              </w:rPr>
            </w:pPr>
            <w:r w:rsidRPr="00243E85">
              <w:rPr>
                <w:rFonts w:ascii="Times New Roman" w:hAnsi="Times New Roman"/>
                <w:b/>
                <w:noProof/>
              </w:rPr>
              <w:t>Energijos vidaus rinkos aspektas</w:t>
            </w:r>
          </w:p>
          <w:p w:rsidR="00B602AA" w:rsidRPr="00243E85" w:rsidRDefault="005C5300">
            <w:pPr>
              <w:pStyle w:val="ListParagraph"/>
              <w:numPr>
                <w:ilvl w:val="2"/>
                <w:numId w:val="1"/>
              </w:numPr>
              <w:spacing w:after="120" w:line="240" w:lineRule="auto"/>
              <w:contextualSpacing w:val="0"/>
              <w:rPr>
                <w:rFonts w:ascii="Times New Roman" w:hAnsi="Times New Roman" w:cs="Times New Roman"/>
                <w:b/>
                <w:noProof/>
              </w:rPr>
            </w:pPr>
            <w:r w:rsidRPr="00243E85">
              <w:rPr>
                <w:rFonts w:ascii="Times New Roman" w:hAnsi="Times New Roman"/>
                <w:b/>
                <w:noProof/>
              </w:rPr>
              <w:t>Elektros energijos tinklų jungtys (2030 m. klimato ir energetikos politikos strategijos tikslas)</w:t>
            </w:r>
          </w:p>
          <w:p w:rsidR="00B602AA" w:rsidRPr="00243E85" w:rsidRDefault="005C5300">
            <w:pPr>
              <w:pStyle w:val="ListParagraph"/>
              <w:numPr>
                <w:ilvl w:val="3"/>
                <w:numId w:val="1"/>
              </w:numPr>
              <w:spacing w:after="120" w:line="240" w:lineRule="auto"/>
              <w:contextualSpacing w:val="0"/>
              <w:rPr>
                <w:rFonts w:ascii="Times New Roman" w:hAnsi="Times New Roman" w:cs="Times New Roman"/>
                <w:noProof/>
              </w:rPr>
            </w:pPr>
            <w:r w:rsidRPr="00243E85">
              <w:rPr>
                <w:rFonts w:ascii="Times New Roman" w:hAnsi="Times New Roman"/>
                <w:noProof/>
              </w:rPr>
              <w:t>Elektros energijos tinklų sujungimo mastas, kurį valstybės narės ketina pasiekti 2030 m., palyginti su 2014 m. spalio mėn. Europos Vadovų Tarybos nustatytu uždaviniu</w:t>
            </w:r>
          </w:p>
          <w:p w:rsidR="00B602AA" w:rsidRPr="00243E85" w:rsidRDefault="005C5300">
            <w:pPr>
              <w:pStyle w:val="ListParagraph"/>
              <w:numPr>
                <w:ilvl w:val="2"/>
                <w:numId w:val="1"/>
              </w:numPr>
              <w:spacing w:after="120" w:line="240" w:lineRule="auto"/>
              <w:contextualSpacing w:val="0"/>
              <w:rPr>
                <w:rFonts w:ascii="Times New Roman" w:hAnsi="Times New Roman" w:cs="Times New Roman"/>
                <w:b/>
                <w:noProof/>
              </w:rPr>
            </w:pPr>
            <w:r w:rsidRPr="00243E85">
              <w:rPr>
                <w:rFonts w:ascii="Times New Roman" w:hAnsi="Times New Roman"/>
                <w:b/>
                <w:noProof/>
              </w:rPr>
              <w:t>Energijos perdavimo infrastruktūra</w:t>
            </w:r>
          </w:p>
          <w:p w:rsidR="00B602AA" w:rsidRPr="00243E85" w:rsidRDefault="005C5300">
            <w:pPr>
              <w:pStyle w:val="ListParagraph"/>
              <w:numPr>
                <w:ilvl w:val="3"/>
                <w:numId w:val="1"/>
              </w:numPr>
              <w:spacing w:after="120" w:line="240" w:lineRule="auto"/>
              <w:contextualSpacing w:val="0"/>
              <w:rPr>
                <w:rFonts w:ascii="Times New Roman" w:hAnsi="Times New Roman" w:cs="Times New Roman"/>
                <w:noProof/>
              </w:rPr>
            </w:pPr>
            <w:r w:rsidRPr="00243E85">
              <w:rPr>
                <w:rFonts w:ascii="Times New Roman" w:hAnsi="Times New Roman"/>
                <w:noProof/>
              </w:rPr>
              <w:t>Pagrindiniai nacionaliniai elektros energijos ir dujų perdavimo infrastruktūros uždaviniai, kuriuos būtina įvykdyti, kad būtų įvykdyti uždaviniai ir pasiekti tikslai, susiję su Energetikos sąjungos strategijos aspektais</w:t>
            </w:r>
          </w:p>
          <w:p w:rsidR="00B602AA" w:rsidRPr="00243E85" w:rsidRDefault="005C5300">
            <w:pPr>
              <w:pStyle w:val="ListParagraph"/>
              <w:numPr>
                <w:ilvl w:val="3"/>
                <w:numId w:val="1"/>
              </w:numPr>
              <w:spacing w:after="120" w:line="240" w:lineRule="auto"/>
              <w:contextualSpacing w:val="0"/>
              <w:rPr>
                <w:rFonts w:ascii="Times New Roman" w:hAnsi="Times New Roman" w:cs="Times New Roman"/>
                <w:noProof/>
              </w:rPr>
            </w:pPr>
            <w:r w:rsidRPr="00243E85">
              <w:rPr>
                <w:rFonts w:ascii="Times New Roman" w:hAnsi="Times New Roman"/>
                <w:noProof/>
              </w:rPr>
              <w:t>Jei taikytina, numatyti pagrindiniai infrastruktūros projektai, išskyrus bendro intereso projektus</w:t>
            </w:r>
            <w:r w:rsidRPr="00243E85">
              <w:rPr>
                <w:rStyle w:val="FootnoteReference"/>
                <w:rFonts w:ascii="Times New Roman" w:hAnsi="Times New Roman"/>
                <w:noProof/>
              </w:rPr>
              <w:footnoteReference w:id="6"/>
            </w:r>
          </w:p>
          <w:p w:rsidR="00B602AA" w:rsidRPr="00243E85" w:rsidRDefault="005C5300">
            <w:pPr>
              <w:pStyle w:val="ListParagraph"/>
              <w:numPr>
                <w:ilvl w:val="2"/>
                <w:numId w:val="1"/>
              </w:numPr>
              <w:spacing w:after="120" w:line="240" w:lineRule="auto"/>
              <w:contextualSpacing w:val="0"/>
              <w:rPr>
                <w:rFonts w:ascii="Times New Roman" w:hAnsi="Times New Roman" w:cs="Times New Roman"/>
                <w:b/>
                <w:noProof/>
              </w:rPr>
            </w:pPr>
            <w:r w:rsidRPr="00243E85">
              <w:rPr>
                <w:rFonts w:ascii="Times New Roman" w:hAnsi="Times New Roman"/>
                <w:b/>
                <w:noProof/>
              </w:rPr>
              <w:lastRenderedPageBreak/>
              <w:t>Rinkų integravimas</w:t>
            </w:r>
          </w:p>
          <w:p w:rsidR="00B602AA" w:rsidRPr="00243E85" w:rsidRDefault="005C5300">
            <w:pPr>
              <w:pStyle w:val="ListParagraph"/>
              <w:numPr>
                <w:ilvl w:val="3"/>
                <w:numId w:val="1"/>
              </w:numPr>
              <w:spacing w:after="120" w:line="240" w:lineRule="auto"/>
              <w:contextualSpacing w:val="0"/>
              <w:rPr>
                <w:rFonts w:ascii="Times New Roman" w:hAnsi="Times New Roman" w:cs="Times New Roman"/>
                <w:noProof/>
              </w:rPr>
            </w:pPr>
            <w:r w:rsidRPr="00243E85">
              <w:rPr>
                <w:rFonts w:ascii="Times New Roman" w:hAnsi="Times New Roman"/>
                <w:noProof/>
              </w:rPr>
              <w:t>Su kitais energijos vidaus rinkos aspektais susiję nacionaliniai uždaviniai, pavyzdžiui, rinkų integravimas ir susiejimas, įskaitant terminus, iki kurių uždaviniai turi būti išspręsti</w:t>
            </w:r>
          </w:p>
          <w:p w:rsidR="00B602AA" w:rsidRPr="00243E85" w:rsidRDefault="005C5300">
            <w:pPr>
              <w:pStyle w:val="ListParagraph"/>
              <w:numPr>
                <w:ilvl w:val="3"/>
                <w:numId w:val="1"/>
              </w:numPr>
              <w:spacing w:after="120" w:line="240" w:lineRule="auto"/>
              <w:contextualSpacing w:val="0"/>
              <w:rPr>
                <w:rFonts w:ascii="Times New Roman" w:hAnsi="Times New Roman" w:cs="Times New Roman"/>
                <w:noProof/>
              </w:rPr>
            </w:pPr>
            <w:r w:rsidRPr="00243E85">
              <w:rPr>
                <w:rFonts w:ascii="Times New Roman" w:hAnsi="Times New Roman"/>
                <w:noProof/>
              </w:rPr>
              <w:t>Nacionaliniai uždaviniai, susiję su elektros energijos sistemos adekvatumo užtikrinimu, taip pat su energetikos sistemos lankstumu energijos gamybos iš atsinaujinančiųjų išteklių atžvilgiu, įskaitant terminus, iki kurių, uždaviniai turi būti išspręsti</w:t>
            </w:r>
          </w:p>
          <w:p w:rsidR="00B602AA" w:rsidRPr="00243E85" w:rsidRDefault="005C5300">
            <w:pPr>
              <w:pStyle w:val="ListParagraph"/>
              <w:numPr>
                <w:ilvl w:val="3"/>
                <w:numId w:val="1"/>
              </w:numPr>
              <w:spacing w:after="120" w:line="240" w:lineRule="auto"/>
              <w:contextualSpacing w:val="0"/>
              <w:rPr>
                <w:rFonts w:ascii="Times New Roman" w:hAnsi="Times New Roman" w:cs="Times New Roman"/>
                <w:noProof/>
              </w:rPr>
            </w:pPr>
            <w:r w:rsidRPr="00243E85">
              <w:rPr>
                <w:rFonts w:ascii="Times New Roman" w:hAnsi="Times New Roman"/>
                <w:noProof/>
              </w:rPr>
              <w:t>Nacionaliniai uždaviniai, susiję su energijos vartotojų apsauga ir mažmeninės energetikos sektoriaus konkurencingumo gerinimu</w:t>
            </w:r>
          </w:p>
          <w:p w:rsidR="00B602AA" w:rsidRPr="00243E85" w:rsidRDefault="005C5300">
            <w:pPr>
              <w:pStyle w:val="ListParagraph"/>
              <w:numPr>
                <w:ilvl w:val="2"/>
                <w:numId w:val="1"/>
              </w:numPr>
              <w:spacing w:after="120" w:line="240" w:lineRule="auto"/>
              <w:contextualSpacing w:val="0"/>
              <w:rPr>
                <w:rFonts w:ascii="Times New Roman" w:hAnsi="Times New Roman" w:cs="Times New Roman"/>
                <w:b/>
                <w:noProof/>
              </w:rPr>
            </w:pPr>
            <w:r w:rsidRPr="00243E85">
              <w:rPr>
                <w:rFonts w:ascii="Times New Roman" w:hAnsi="Times New Roman"/>
                <w:b/>
                <w:noProof/>
              </w:rPr>
              <w:t>Energijos nepriteklius</w:t>
            </w:r>
          </w:p>
          <w:p w:rsidR="00B602AA" w:rsidRPr="00243E85" w:rsidRDefault="005C5300" w:rsidP="00737574">
            <w:pPr>
              <w:pStyle w:val="ListParagraph"/>
              <w:spacing w:after="120" w:line="240" w:lineRule="auto"/>
              <w:ind w:left="1728"/>
              <w:contextualSpacing w:val="0"/>
              <w:rPr>
                <w:rFonts w:ascii="Times New Roman" w:hAnsi="Times New Roman" w:cs="Times New Roman"/>
                <w:noProof/>
              </w:rPr>
            </w:pPr>
            <w:r w:rsidRPr="00243E85">
              <w:rPr>
                <w:rFonts w:ascii="Times New Roman" w:hAnsi="Times New Roman"/>
                <w:noProof/>
              </w:rPr>
              <w:t>Nacionaliniai uždaviniai, susiję su energijos nepritekliumi, įskaitant terminus, iki kurių uždaviniai turi būti išspręsti</w:t>
            </w:r>
          </w:p>
        </w:tc>
      </w:tr>
      <w:tr w:rsidR="00B602AA" w:rsidRPr="00243E85">
        <w:trPr>
          <w:trHeight w:val="416"/>
        </w:trPr>
        <w:tc>
          <w:tcPr>
            <w:tcW w:w="8928" w:type="dxa"/>
            <w:tcBorders>
              <w:bottom w:val="single" w:sz="4" w:space="0" w:color="auto"/>
            </w:tcBorders>
          </w:tcPr>
          <w:p w:rsidR="00B602AA" w:rsidRPr="00243E85" w:rsidRDefault="005C5300">
            <w:pPr>
              <w:pStyle w:val="ListParagraph"/>
              <w:numPr>
                <w:ilvl w:val="1"/>
                <w:numId w:val="1"/>
              </w:numPr>
              <w:spacing w:after="120" w:line="240" w:lineRule="auto"/>
              <w:contextualSpacing w:val="0"/>
              <w:rPr>
                <w:rFonts w:ascii="Times New Roman" w:hAnsi="Times New Roman" w:cs="Times New Roman"/>
                <w:b/>
                <w:noProof/>
              </w:rPr>
            </w:pPr>
            <w:r w:rsidRPr="00243E85">
              <w:rPr>
                <w:rFonts w:ascii="Times New Roman" w:hAnsi="Times New Roman"/>
                <w:b/>
                <w:noProof/>
              </w:rPr>
              <w:lastRenderedPageBreak/>
              <w:t>Mokslinių tyrimų, inovacijų ir konkurencingumo aspektas</w:t>
            </w:r>
          </w:p>
          <w:p w:rsidR="00B602AA" w:rsidRPr="00243E85" w:rsidRDefault="005C5300">
            <w:pPr>
              <w:pStyle w:val="ListParagraph"/>
              <w:numPr>
                <w:ilvl w:val="3"/>
                <w:numId w:val="1"/>
              </w:numPr>
              <w:spacing w:after="120" w:line="240" w:lineRule="auto"/>
              <w:contextualSpacing w:val="0"/>
              <w:rPr>
                <w:rFonts w:ascii="Times New Roman" w:hAnsi="Times New Roman" w:cs="Times New Roman"/>
                <w:noProof/>
              </w:rPr>
            </w:pPr>
            <w:r w:rsidRPr="00243E85">
              <w:rPr>
                <w:rFonts w:ascii="Times New Roman" w:hAnsi="Times New Roman"/>
                <w:noProof/>
              </w:rPr>
              <w:t>Nacionaliniai viešųjų ir privačiųjų mokslinių tyrimų ir inovacijų, susijusių su energetikos sąjunga, uždaviniai ir finansavimo tikslai, jei dera, įskaitant terminus, iki kurių uždaviniai turi būti įvykdyti; atsižvelgiant į Energetikos sąjungos strategiją ir SET planą</w:t>
            </w:r>
          </w:p>
          <w:p w:rsidR="00B602AA" w:rsidRPr="00243E85" w:rsidRDefault="005C5300">
            <w:pPr>
              <w:pStyle w:val="ListParagraph"/>
              <w:numPr>
                <w:ilvl w:val="3"/>
                <w:numId w:val="1"/>
              </w:numPr>
              <w:spacing w:after="120" w:line="240" w:lineRule="auto"/>
              <w:contextualSpacing w:val="0"/>
              <w:rPr>
                <w:rFonts w:ascii="Times New Roman" w:hAnsi="Times New Roman" w:cs="Times New Roman"/>
                <w:noProof/>
              </w:rPr>
            </w:pPr>
            <w:r w:rsidRPr="00243E85">
              <w:rPr>
                <w:rFonts w:ascii="Times New Roman" w:hAnsi="Times New Roman"/>
                <w:noProof/>
              </w:rPr>
              <w:t>Jei dera, nacionaliniai uždaviniai, įskaitant tikslus ilgainiui (2050 m.) diegti mažo anglies dioksido kiekio technologijas, kuriomis, be kitų dalykų, mažinama pramonės sektorių, kuriuose suvartojama daug energijos ir išmetama daug anglies dioksido, priklausomybė nuo iškastinio kuro, ir, jei taikoma, technologijas, skirtas anglies dioksido transportavimo ir laikymo infrastruktūrai</w:t>
            </w:r>
          </w:p>
          <w:p w:rsidR="00B602AA" w:rsidRPr="00243E85" w:rsidRDefault="005C5300">
            <w:pPr>
              <w:pStyle w:val="ListParagraph"/>
              <w:numPr>
                <w:ilvl w:val="3"/>
                <w:numId w:val="1"/>
              </w:numPr>
              <w:spacing w:after="120"/>
              <w:contextualSpacing w:val="0"/>
              <w:rPr>
                <w:rFonts w:ascii="Times New Roman" w:hAnsi="Times New Roman" w:cs="Times New Roman"/>
                <w:noProof/>
              </w:rPr>
            </w:pPr>
            <w:r w:rsidRPr="00243E85">
              <w:rPr>
                <w:rFonts w:ascii="Times New Roman" w:hAnsi="Times New Roman"/>
                <w:noProof/>
              </w:rPr>
              <w:t xml:space="preserve">Nacionaliniai tikslai, susiję su konkurencingumu </w:t>
            </w:r>
          </w:p>
        </w:tc>
      </w:tr>
      <w:tr w:rsidR="00B602AA" w:rsidRPr="00243E85">
        <w:tc>
          <w:tcPr>
            <w:tcW w:w="8928" w:type="dxa"/>
            <w:shd w:val="clear" w:color="auto" w:fill="D9D9D9" w:themeFill="background1" w:themeFillShade="D9"/>
          </w:tcPr>
          <w:p w:rsidR="00B602AA" w:rsidRPr="00243E85" w:rsidRDefault="005C5300">
            <w:pPr>
              <w:pStyle w:val="ListParagraph"/>
              <w:numPr>
                <w:ilvl w:val="0"/>
                <w:numId w:val="1"/>
              </w:numPr>
              <w:spacing w:after="120" w:line="240" w:lineRule="auto"/>
              <w:contextualSpacing w:val="0"/>
              <w:rPr>
                <w:rFonts w:ascii="Times New Roman" w:hAnsi="Times New Roman" w:cs="Times New Roman"/>
                <w:b/>
                <w:noProof/>
              </w:rPr>
            </w:pPr>
            <w:r w:rsidRPr="00243E85">
              <w:rPr>
                <w:rFonts w:ascii="Times New Roman" w:hAnsi="Times New Roman"/>
                <w:b/>
                <w:noProof/>
              </w:rPr>
              <w:t>Politika ir priemonės</w:t>
            </w:r>
          </w:p>
        </w:tc>
      </w:tr>
      <w:tr w:rsidR="00B602AA" w:rsidRPr="00243E85" w:rsidTr="00BD4A85">
        <w:trPr>
          <w:trHeight w:val="274"/>
        </w:trPr>
        <w:tc>
          <w:tcPr>
            <w:tcW w:w="8928" w:type="dxa"/>
          </w:tcPr>
          <w:p w:rsidR="00B602AA" w:rsidRPr="00243E85" w:rsidRDefault="005C5300">
            <w:pPr>
              <w:pStyle w:val="ListParagraph"/>
              <w:numPr>
                <w:ilvl w:val="1"/>
                <w:numId w:val="1"/>
              </w:numPr>
              <w:spacing w:after="120" w:line="240" w:lineRule="auto"/>
              <w:contextualSpacing w:val="0"/>
              <w:rPr>
                <w:rFonts w:ascii="Times New Roman" w:hAnsi="Times New Roman" w:cs="Times New Roman"/>
                <w:b/>
                <w:noProof/>
              </w:rPr>
            </w:pPr>
            <w:r w:rsidRPr="00243E85">
              <w:rPr>
                <w:rFonts w:ascii="Times New Roman" w:hAnsi="Times New Roman"/>
                <w:b/>
                <w:noProof/>
              </w:rPr>
              <w:t>Priklausomybės nuo iškastinio kuro mažinimo aspektas</w:t>
            </w:r>
          </w:p>
          <w:p w:rsidR="00B602AA" w:rsidRPr="00243E85" w:rsidRDefault="005C5300">
            <w:pPr>
              <w:pStyle w:val="ListParagraph"/>
              <w:numPr>
                <w:ilvl w:val="2"/>
                <w:numId w:val="1"/>
              </w:numPr>
              <w:spacing w:after="120" w:line="240" w:lineRule="auto"/>
              <w:contextualSpacing w:val="0"/>
              <w:rPr>
                <w:rFonts w:ascii="Times New Roman" w:hAnsi="Times New Roman" w:cs="Times New Roman"/>
                <w:b/>
                <w:noProof/>
              </w:rPr>
            </w:pPr>
            <w:r w:rsidRPr="00243E85">
              <w:rPr>
                <w:rFonts w:ascii="Times New Roman" w:hAnsi="Times New Roman"/>
                <w:b/>
                <w:noProof/>
              </w:rPr>
              <w:t>ŠESD išmetimas ir šalinimas (pagal 2021–2030 m. planą, 2030 m. klimato ir energetikos politikos strategijos tikslas)</w:t>
            </w:r>
          </w:p>
          <w:p w:rsidR="00B602AA" w:rsidRPr="00243E85" w:rsidRDefault="005C5300">
            <w:pPr>
              <w:pStyle w:val="ListParagraph"/>
              <w:numPr>
                <w:ilvl w:val="3"/>
                <w:numId w:val="1"/>
              </w:numPr>
              <w:spacing w:after="120" w:line="240" w:lineRule="auto"/>
              <w:contextualSpacing w:val="0"/>
              <w:rPr>
                <w:rFonts w:ascii="Times New Roman" w:hAnsi="Times New Roman" w:cs="Times New Roman"/>
                <w:noProof/>
              </w:rPr>
            </w:pPr>
            <w:r w:rsidRPr="00243E85">
              <w:rPr>
                <w:rFonts w:ascii="Times New Roman" w:hAnsi="Times New Roman"/>
                <w:noProof/>
              </w:rPr>
              <w:t>Politika ir priemonės, kuriomis siekiama 2.1.1 punkte nurodyto Reglamentu [ ] [ESR] nustatyto tikslo, taip pat politika ir priemonės, kuriomis laikomasi Reglamento [ ] [LULUCF] reikalavimų; tokia politika ir priemonės apima visus pagrindinius sektorius, kuriuose išmetamos ŠESD, ir sektorius, kuriuose turi būti gerinamas šalinimas, o įgyvendinant tokią politiką ir priemones turi būti orientuojamasi į ilgalaikę viziją ir tikslą per 50 metų sukurti mažo anglies dioksido kiekio technologijų ekonomiką ir subalansuoti išmetamą ir pašalinamą ŠESD kiekius pagal Paryžiaus susitarimą</w:t>
            </w:r>
          </w:p>
          <w:p w:rsidR="00B602AA" w:rsidRPr="00243E85" w:rsidRDefault="005C5300">
            <w:pPr>
              <w:pStyle w:val="ListParagraph"/>
              <w:numPr>
                <w:ilvl w:val="3"/>
                <w:numId w:val="1"/>
              </w:numPr>
              <w:spacing w:after="120" w:line="240" w:lineRule="auto"/>
              <w:contextualSpacing w:val="0"/>
              <w:rPr>
                <w:rFonts w:ascii="Times New Roman" w:hAnsi="Times New Roman" w:cs="Times New Roman"/>
                <w:noProof/>
              </w:rPr>
            </w:pPr>
            <w:r w:rsidRPr="00243E85">
              <w:rPr>
                <w:rFonts w:ascii="Times New Roman" w:hAnsi="Times New Roman"/>
                <w:noProof/>
              </w:rPr>
              <w:t>Regioninis bendradarbiavimas šioje srityje</w:t>
            </w:r>
          </w:p>
          <w:p w:rsidR="00B602AA" w:rsidRPr="00243E85" w:rsidRDefault="00DC5DF2">
            <w:pPr>
              <w:pStyle w:val="ListParagraph"/>
              <w:numPr>
                <w:ilvl w:val="3"/>
                <w:numId w:val="1"/>
              </w:numPr>
              <w:spacing w:after="120" w:line="240" w:lineRule="auto"/>
              <w:contextualSpacing w:val="0"/>
              <w:rPr>
                <w:rFonts w:ascii="Times New Roman" w:hAnsi="Times New Roman" w:cs="Times New Roman"/>
                <w:noProof/>
              </w:rPr>
            </w:pPr>
            <w:r w:rsidRPr="00243E85">
              <w:rPr>
                <w:rFonts w:ascii="Times New Roman" w:hAnsi="Times New Roman"/>
                <w:noProof/>
              </w:rPr>
              <w:t>Jei taikoma, nedarant poveikio valstybės pagalbos taisyklėms, nacionaliniu lygmeniu šioje srityje naudojamos finansavimo priemonės, įskaitant ES paramą ir ES lėšų naudojimą</w:t>
            </w:r>
          </w:p>
          <w:p w:rsidR="00B602AA" w:rsidRPr="00243E85" w:rsidRDefault="005C5300">
            <w:pPr>
              <w:pStyle w:val="ListParagraph"/>
              <w:numPr>
                <w:ilvl w:val="2"/>
                <w:numId w:val="1"/>
              </w:numPr>
              <w:spacing w:after="120" w:line="240" w:lineRule="auto"/>
              <w:contextualSpacing w:val="0"/>
              <w:rPr>
                <w:rFonts w:ascii="Times New Roman" w:hAnsi="Times New Roman" w:cs="Times New Roman"/>
                <w:b/>
                <w:noProof/>
              </w:rPr>
            </w:pPr>
            <w:r w:rsidRPr="00243E85">
              <w:rPr>
                <w:rFonts w:ascii="Times New Roman" w:hAnsi="Times New Roman"/>
                <w:b/>
                <w:noProof/>
              </w:rPr>
              <w:t>Atsinaujinančiųjų išteklių energija (2030 m. klimato ir energetikos politikos strategijos tikslas)</w:t>
            </w:r>
          </w:p>
          <w:p w:rsidR="00B602AA" w:rsidRPr="00243E85" w:rsidRDefault="005C5300">
            <w:pPr>
              <w:pStyle w:val="ListParagraph"/>
              <w:numPr>
                <w:ilvl w:val="3"/>
                <w:numId w:val="1"/>
              </w:numPr>
              <w:spacing w:after="120" w:line="240" w:lineRule="auto"/>
              <w:contextualSpacing w:val="0"/>
              <w:jc w:val="both"/>
              <w:rPr>
                <w:rFonts w:ascii="Times New Roman" w:hAnsi="Times New Roman" w:cs="Times New Roman"/>
                <w:noProof/>
              </w:rPr>
            </w:pPr>
            <w:r w:rsidRPr="00243E85">
              <w:rPr>
                <w:rFonts w:ascii="Times New Roman" w:hAnsi="Times New Roman"/>
                <w:noProof/>
              </w:rPr>
              <w:lastRenderedPageBreak/>
              <w:t>Politika ir priemonės, kurias taikant įgyvendinami nacionaliniai veiksmai siekiant 2030 m. privalomo ES lygmens atsinaujinančiųjų išteklių energijos tikslo pagal 2.1.2 punkte nurodytas trajektorijas, įskaitant konkretiems sektoriams ir technologijoms skirtas priemones</w:t>
            </w:r>
            <w:r w:rsidRPr="00243E85">
              <w:rPr>
                <w:rStyle w:val="FootnoteReference"/>
                <w:rFonts w:ascii="Times New Roman" w:hAnsi="Times New Roman"/>
                <w:noProof/>
              </w:rPr>
              <w:footnoteReference w:id="7"/>
            </w:r>
          </w:p>
          <w:p w:rsidR="00B602AA" w:rsidRPr="00243E85" w:rsidRDefault="005C5300">
            <w:pPr>
              <w:pStyle w:val="ListParagraph"/>
              <w:numPr>
                <w:ilvl w:val="3"/>
                <w:numId w:val="1"/>
              </w:numPr>
              <w:spacing w:after="120" w:line="240" w:lineRule="auto"/>
              <w:contextualSpacing w:val="0"/>
              <w:jc w:val="both"/>
              <w:rPr>
                <w:rFonts w:ascii="Times New Roman" w:hAnsi="Times New Roman" w:cs="Times New Roman"/>
                <w:noProof/>
              </w:rPr>
            </w:pPr>
            <w:r w:rsidRPr="00243E85">
              <w:rPr>
                <w:rFonts w:ascii="Times New Roman" w:hAnsi="Times New Roman"/>
                <w:noProof/>
              </w:rPr>
              <w:t>Konkrečios regioninio bendradarbiavimo priemonės, taip pat tikėtinas energijos gamybos iš atsinaujinančiųjų išteklių perviršis, kurį galima perduoti kitoms valstybėms narėms, kad būtų įgyvendinti 2.1.2 punkte nurodyti nacionaliniai veiksmais ir trajektorijos</w:t>
            </w:r>
          </w:p>
          <w:p w:rsidR="00B602AA" w:rsidRPr="00243E85" w:rsidRDefault="005C5300">
            <w:pPr>
              <w:pStyle w:val="ListParagraph"/>
              <w:numPr>
                <w:ilvl w:val="3"/>
                <w:numId w:val="1"/>
              </w:numPr>
              <w:spacing w:after="120" w:line="240" w:lineRule="auto"/>
              <w:contextualSpacing w:val="0"/>
              <w:jc w:val="both"/>
              <w:rPr>
                <w:rFonts w:ascii="Times New Roman" w:hAnsi="Times New Roman" w:cs="Times New Roman"/>
                <w:noProof/>
              </w:rPr>
            </w:pPr>
            <w:r w:rsidRPr="00243E85">
              <w:rPr>
                <w:rFonts w:ascii="Times New Roman" w:hAnsi="Times New Roman"/>
                <w:noProof/>
              </w:rPr>
              <w:t xml:space="preserve">Konkrečios finansinės paramos priemonės, įskaitant ES paramą ir ES lėšų naudojimą, kuriomis elektros energijos, šildymo ir vėsinimo, taip pat transporto sektoriuose skatinama energijos gamyba iš atsinaujinančiųjų išteklių ir vartojimas </w:t>
            </w:r>
          </w:p>
          <w:p w:rsidR="00B602AA" w:rsidRPr="00243E85" w:rsidRDefault="005C5300">
            <w:pPr>
              <w:pStyle w:val="ListParagraph"/>
              <w:numPr>
                <w:ilvl w:val="3"/>
                <w:numId w:val="1"/>
              </w:numPr>
              <w:spacing w:after="120" w:line="240" w:lineRule="auto"/>
              <w:contextualSpacing w:val="0"/>
              <w:jc w:val="both"/>
              <w:rPr>
                <w:rFonts w:ascii="Times New Roman" w:hAnsi="Times New Roman" w:cs="Times New Roman"/>
                <w:noProof/>
              </w:rPr>
            </w:pPr>
            <w:r w:rsidRPr="00243E85">
              <w:rPr>
                <w:rFonts w:ascii="Times New Roman" w:hAnsi="Times New Roman"/>
                <w:noProof/>
              </w:rPr>
              <w:t>Konkrečios priemonės, kuriomis diegiamos vieno langelio principu veikiančios sistemos, racionalizuojamos administracinės procedūros, teikiama informacija ir organizuojamas mokymas, taip pat kuriamos platesnės galimybės vartotojams ir energijos bendruomenėms, pasigaminantiems energiją sau</w:t>
            </w:r>
          </w:p>
          <w:p w:rsidR="00B602AA" w:rsidRPr="00243E85" w:rsidRDefault="005C5300">
            <w:pPr>
              <w:pStyle w:val="ListParagraph"/>
              <w:numPr>
                <w:ilvl w:val="3"/>
                <w:numId w:val="1"/>
              </w:numPr>
              <w:spacing w:after="120" w:line="240" w:lineRule="auto"/>
              <w:contextualSpacing w:val="0"/>
              <w:jc w:val="both"/>
              <w:rPr>
                <w:rFonts w:ascii="Times New Roman" w:hAnsi="Times New Roman" w:cs="Times New Roman"/>
                <w:noProof/>
              </w:rPr>
            </w:pPr>
            <w:r w:rsidRPr="00243E85">
              <w:rPr>
                <w:rFonts w:ascii="Times New Roman" w:hAnsi="Times New Roman"/>
                <w:noProof/>
              </w:rPr>
              <w:t>Būtinumo statyti naują centralizuoto šilumos ir vėsumos, pagamintų iš atsinaujinančiųjų energijos išteklių, tiekimo infrastruktūrą vertinimas</w:t>
            </w:r>
          </w:p>
          <w:p w:rsidR="00B602AA" w:rsidRPr="00243E85" w:rsidRDefault="005C5300">
            <w:pPr>
              <w:pStyle w:val="ListParagraph"/>
              <w:numPr>
                <w:ilvl w:val="3"/>
                <w:numId w:val="1"/>
              </w:numPr>
              <w:spacing w:after="120" w:line="240" w:lineRule="auto"/>
              <w:contextualSpacing w:val="0"/>
              <w:jc w:val="both"/>
              <w:rPr>
                <w:rFonts w:ascii="Times New Roman" w:hAnsi="Times New Roman" w:cs="Times New Roman"/>
                <w:noProof/>
              </w:rPr>
            </w:pPr>
            <w:r w:rsidRPr="00243E85">
              <w:rPr>
                <w:rFonts w:ascii="Times New Roman" w:hAnsi="Times New Roman"/>
                <w:noProof/>
              </w:rPr>
              <w:t>Konkrečios priemonės, skirtos skatinti naudoti biomasės energiją, visų pirma sutelkiant naujus biomasės išteklius, atsižvelgiant į:</w:t>
            </w:r>
          </w:p>
          <w:p w:rsidR="00B602AA" w:rsidRPr="00243E85" w:rsidRDefault="005C5300">
            <w:pPr>
              <w:pStyle w:val="ListParagraph"/>
              <w:spacing w:after="120"/>
              <w:ind w:left="1728"/>
              <w:contextualSpacing w:val="0"/>
              <w:jc w:val="both"/>
              <w:rPr>
                <w:rFonts w:ascii="Times New Roman" w:hAnsi="Times New Roman" w:cs="Times New Roman"/>
                <w:noProof/>
              </w:rPr>
            </w:pPr>
            <w:r w:rsidRPr="00243E85">
              <w:rPr>
                <w:rFonts w:ascii="Times New Roman" w:hAnsi="Times New Roman"/>
                <w:noProof/>
              </w:rPr>
              <w:t>- biomasės (ir vietinės, ir importuojamos iš trečiųjų šalių) turėjimą,</w:t>
            </w:r>
          </w:p>
          <w:p w:rsidR="00B602AA" w:rsidRPr="00243E85" w:rsidRDefault="005C5300">
            <w:pPr>
              <w:pStyle w:val="ListParagraph"/>
              <w:spacing w:after="120"/>
              <w:ind w:left="1728"/>
              <w:contextualSpacing w:val="0"/>
              <w:jc w:val="both"/>
              <w:rPr>
                <w:rFonts w:ascii="Times New Roman" w:hAnsi="Times New Roman" w:cs="Times New Roman"/>
                <w:noProof/>
              </w:rPr>
            </w:pPr>
            <w:r w:rsidRPr="00243E85">
              <w:rPr>
                <w:rFonts w:ascii="Times New Roman" w:hAnsi="Times New Roman"/>
                <w:noProof/>
              </w:rPr>
              <w:t>- kitokį biomasės naudojimą kituose (žemės ūkio ir miškininkystės išteklių) sektoriuose ir į biomasės gamybos ir naudojimo tvarumo priemones</w:t>
            </w:r>
          </w:p>
          <w:p w:rsidR="00B602AA" w:rsidRPr="00243E85" w:rsidRDefault="005C5300">
            <w:pPr>
              <w:pStyle w:val="ListParagraph"/>
              <w:numPr>
                <w:ilvl w:val="2"/>
                <w:numId w:val="1"/>
              </w:numPr>
              <w:spacing w:after="120" w:line="240" w:lineRule="auto"/>
              <w:contextualSpacing w:val="0"/>
              <w:rPr>
                <w:rFonts w:ascii="Times New Roman" w:hAnsi="Times New Roman" w:cs="Times New Roman"/>
                <w:b/>
                <w:noProof/>
              </w:rPr>
            </w:pPr>
            <w:r w:rsidRPr="00243E85">
              <w:rPr>
                <w:rFonts w:ascii="Times New Roman" w:hAnsi="Times New Roman"/>
                <w:b/>
                <w:noProof/>
              </w:rPr>
              <w:t>Kiti šio aspekto elementai</w:t>
            </w:r>
          </w:p>
          <w:p w:rsidR="00B602AA" w:rsidRPr="00243E85" w:rsidRDefault="00FD388C">
            <w:pPr>
              <w:pStyle w:val="ListParagraph"/>
              <w:numPr>
                <w:ilvl w:val="3"/>
                <w:numId w:val="1"/>
              </w:numPr>
              <w:spacing w:after="120" w:line="240" w:lineRule="auto"/>
              <w:contextualSpacing w:val="0"/>
              <w:rPr>
                <w:rFonts w:ascii="Times New Roman" w:hAnsi="Times New Roman" w:cs="Times New Roman"/>
                <w:noProof/>
              </w:rPr>
            </w:pPr>
            <w:r w:rsidRPr="00243E85">
              <w:rPr>
                <w:rFonts w:ascii="Times New Roman" w:hAnsi="Times New Roman"/>
                <w:noProof/>
              </w:rPr>
              <w:t>Jei taikoma, nacionalinė politika ir priemonės, darančios įtaką ES sektoriui, kuriam taikoma apyvartinių taršos leidimų prekybos sistema (ATLPS), ir papildomumo bei poveikio ES ATLPS vertinimas</w:t>
            </w:r>
          </w:p>
          <w:p w:rsidR="00B602AA" w:rsidRPr="00243E85" w:rsidRDefault="005C5300">
            <w:pPr>
              <w:pStyle w:val="ListParagraph"/>
              <w:numPr>
                <w:ilvl w:val="3"/>
                <w:numId w:val="1"/>
              </w:numPr>
              <w:spacing w:after="120" w:line="240" w:lineRule="auto"/>
              <w:contextualSpacing w:val="0"/>
              <w:rPr>
                <w:rFonts w:ascii="Times New Roman" w:hAnsi="Times New Roman" w:cs="Times New Roman"/>
                <w:noProof/>
              </w:rPr>
            </w:pPr>
            <w:r w:rsidRPr="00243E85">
              <w:rPr>
                <w:rFonts w:ascii="Times New Roman" w:hAnsi="Times New Roman"/>
                <w:noProof/>
              </w:rPr>
              <w:t>Prisitaikymo prie klimato kaitos strategijos, planai ir priemonės</w:t>
            </w:r>
          </w:p>
          <w:p w:rsidR="00B602AA" w:rsidRPr="00243E85" w:rsidRDefault="005C5300">
            <w:pPr>
              <w:pStyle w:val="ListParagraph"/>
              <w:numPr>
                <w:ilvl w:val="3"/>
                <w:numId w:val="1"/>
              </w:numPr>
              <w:spacing w:after="120" w:line="240" w:lineRule="auto"/>
              <w:contextualSpacing w:val="0"/>
              <w:jc w:val="both"/>
              <w:rPr>
                <w:rFonts w:ascii="Times New Roman" w:hAnsi="Times New Roman" w:cs="Times New Roman"/>
                <w:noProof/>
              </w:rPr>
            </w:pPr>
            <w:r w:rsidRPr="00243E85">
              <w:rPr>
                <w:rFonts w:ascii="Times New Roman" w:hAnsi="Times New Roman"/>
                <w:noProof/>
              </w:rPr>
              <w:t>Politika ir priemonės, kuriomis siekiama kitų nacionalinių tikslų, jei taikoma</w:t>
            </w:r>
          </w:p>
          <w:p w:rsidR="00B602AA" w:rsidRPr="00243E85" w:rsidRDefault="005C5300">
            <w:pPr>
              <w:pStyle w:val="ListParagraph"/>
              <w:numPr>
                <w:ilvl w:val="3"/>
                <w:numId w:val="1"/>
              </w:numPr>
              <w:spacing w:after="120" w:line="240" w:lineRule="auto"/>
              <w:contextualSpacing w:val="0"/>
              <w:rPr>
                <w:rFonts w:ascii="Times New Roman" w:hAnsi="Times New Roman" w:cs="Times New Roman"/>
                <w:noProof/>
              </w:rPr>
            </w:pPr>
            <w:r w:rsidRPr="00243E85">
              <w:rPr>
                <w:rFonts w:ascii="Times New Roman" w:hAnsi="Times New Roman"/>
                <w:noProof/>
              </w:rPr>
              <w:t>Politika ir priemonės, kuriomis siekiama mažataršio judumo (įskaitant transporto elektrifikavimą)</w:t>
            </w:r>
          </w:p>
        </w:tc>
      </w:tr>
      <w:tr w:rsidR="00B602AA" w:rsidRPr="00243E85">
        <w:trPr>
          <w:trHeight w:val="566"/>
        </w:trPr>
        <w:tc>
          <w:tcPr>
            <w:tcW w:w="8928" w:type="dxa"/>
          </w:tcPr>
          <w:p w:rsidR="00B602AA" w:rsidRPr="00243E85" w:rsidRDefault="005C5300">
            <w:pPr>
              <w:pStyle w:val="ListParagraph"/>
              <w:numPr>
                <w:ilvl w:val="1"/>
                <w:numId w:val="1"/>
              </w:numPr>
              <w:spacing w:after="120"/>
              <w:ind w:left="788" w:hanging="431"/>
              <w:contextualSpacing w:val="0"/>
              <w:rPr>
                <w:rFonts w:ascii="Times New Roman" w:hAnsi="Times New Roman" w:cs="Times New Roman"/>
                <w:b/>
                <w:noProof/>
              </w:rPr>
            </w:pPr>
            <w:r w:rsidRPr="00243E85">
              <w:rPr>
                <w:rFonts w:ascii="Times New Roman" w:hAnsi="Times New Roman"/>
                <w:b/>
                <w:noProof/>
              </w:rPr>
              <w:lastRenderedPageBreak/>
              <w:t>Energijos vartojimo efektyvumo aspektas (2030 m. klimato ir energetikos politikos strategijos tikslas)</w:t>
            </w:r>
          </w:p>
          <w:p w:rsidR="00B602AA" w:rsidRPr="00243E85" w:rsidRDefault="005C5300">
            <w:pPr>
              <w:spacing w:before="0"/>
              <w:rPr>
                <w:noProof/>
                <w:sz w:val="22"/>
              </w:rPr>
            </w:pPr>
            <w:r w:rsidRPr="00243E85">
              <w:rPr>
                <w:noProof/>
                <w:sz w:val="22"/>
              </w:rPr>
              <w:t>Planuojama politika, priemonės ir programos, kuriomis bus siekiama nacionalinio orientacinio 2030 m. energijos vartojimo efektyvumo tikslo ir kitų 2.2 punkte nurodytų tikslų, įskaitant planuojamas priemones ir instrumentus (taip pat ir finansinius), kuriais didinamas pastatų energinis naudingumas, visų pirma:</w:t>
            </w:r>
          </w:p>
          <w:p w:rsidR="00B602AA" w:rsidRPr="00243E85" w:rsidRDefault="005C5300">
            <w:pPr>
              <w:pStyle w:val="ListParagraph"/>
              <w:numPr>
                <w:ilvl w:val="3"/>
                <w:numId w:val="1"/>
              </w:numPr>
              <w:spacing w:after="120" w:line="240" w:lineRule="auto"/>
              <w:contextualSpacing w:val="0"/>
              <w:rPr>
                <w:rFonts w:ascii="Times New Roman" w:hAnsi="Times New Roman" w:cs="Times New Roman"/>
                <w:noProof/>
              </w:rPr>
            </w:pPr>
            <w:r w:rsidRPr="00243E85">
              <w:rPr>
                <w:rFonts w:ascii="Times New Roman" w:hAnsi="Times New Roman"/>
                <w:noProof/>
              </w:rPr>
              <w:t xml:space="preserve">energijos vartojimo efektyvumo įpareigojimų sistemos ir alternatyvios priemonės pagal Direktyvos 2012/27/ES [redakcija su pakeitimais, padarytais pagal pasiūlymą COM(2016)761] 7a ir 7b straipsnius (rengiamos pagal II </w:t>
            </w:r>
            <w:r w:rsidRPr="00243E85">
              <w:rPr>
                <w:rFonts w:ascii="Times New Roman" w:hAnsi="Times New Roman"/>
                <w:noProof/>
              </w:rPr>
              <w:lastRenderedPageBreak/>
              <w:t>priedą),</w:t>
            </w:r>
          </w:p>
          <w:p w:rsidR="00B602AA" w:rsidRPr="00243E85" w:rsidRDefault="005C5300">
            <w:pPr>
              <w:pStyle w:val="ListParagraph"/>
              <w:numPr>
                <w:ilvl w:val="3"/>
                <w:numId w:val="1"/>
              </w:numPr>
              <w:spacing w:after="120" w:line="240" w:lineRule="auto"/>
              <w:contextualSpacing w:val="0"/>
              <w:rPr>
                <w:rFonts w:ascii="Times New Roman" w:hAnsi="Times New Roman" w:cs="Times New Roman"/>
                <w:noProof/>
              </w:rPr>
            </w:pPr>
            <w:r w:rsidRPr="00243E85">
              <w:rPr>
                <w:rFonts w:ascii="Times New Roman" w:hAnsi="Times New Roman"/>
                <w:noProof/>
              </w:rPr>
              <w:t>ilgalaikė nacionalinio gyvenamųjų ir komercinės (viešosios ir privačiosios) paskirties pastatų fondo renovacijos strategija</w:t>
            </w:r>
            <w:r w:rsidRPr="00243E85">
              <w:rPr>
                <w:rStyle w:val="FootnoteReference"/>
                <w:rFonts w:ascii="Times New Roman" w:hAnsi="Times New Roman"/>
                <w:noProof/>
              </w:rPr>
              <w:footnoteReference w:id="8"/>
            </w:r>
            <w:r w:rsidRPr="00243E85">
              <w:rPr>
                <w:rFonts w:ascii="Times New Roman" w:hAnsi="Times New Roman"/>
                <w:noProof/>
              </w:rPr>
              <w:t>, įskaitant politiką ir priemones, kuriomis skatinama ekonomiškai efektyvi esminė renovacija ir esminė pakopinė renovacija,</w:t>
            </w:r>
          </w:p>
          <w:p w:rsidR="00B602AA" w:rsidRPr="00243E85" w:rsidRDefault="005C5300">
            <w:pPr>
              <w:pStyle w:val="ListParagraph"/>
              <w:numPr>
                <w:ilvl w:val="3"/>
                <w:numId w:val="1"/>
              </w:numPr>
              <w:spacing w:after="120" w:line="240" w:lineRule="auto"/>
              <w:contextualSpacing w:val="0"/>
              <w:rPr>
                <w:rFonts w:ascii="Times New Roman" w:hAnsi="Times New Roman" w:cs="Times New Roman"/>
                <w:noProof/>
              </w:rPr>
            </w:pPr>
            <w:r w:rsidRPr="00243E85">
              <w:rPr>
                <w:rFonts w:ascii="Times New Roman" w:hAnsi="Times New Roman"/>
                <w:noProof/>
              </w:rPr>
              <w:t>politikos ir priemonių, kuriomis viešajame sektoriuje populiarinamos energetikos paslaugos, ir priemonių, kuriomis šalinamos reglamentavimo ir su reglamentavimu nesusijusios kliūtys, trukdančioms naudotis sutartimis dėl energijos vartojimo efektyvumo ir kitais energijos vartojimo efektyvumo paslaugų modeliais</w:t>
            </w:r>
            <w:r w:rsidRPr="00243E85">
              <w:rPr>
                <w:rStyle w:val="FootnoteReference"/>
                <w:rFonts w:ascii="Times New Roman" w:hAnsi="Times New Roman"/>
                <w:noProof/>
              </w:rPr>
              <w:footnoteReference w:id="9"/>
            </w:r>
            <w:r w:rsidRPr="00243E85">
              <w:rPr>
                <w:rFonts w:ascii="Times New Roman" w:hAnsi="Times New Roman"/>
                <w:noProof/>
              </w:rPr>
              <w:t>, aprašymas,</w:t>
            </w:r>
          </w:p>
          <w:p w:rsidR="00B602AA" w:rsidRPr="00243E85" w:rsidRDefault="005C5300">
            <w:pPr>
              <w:pStyle w:val="ListParagraph"/>
              <w:numPr>
                <w:ilvl w:val="3"/>
                <w:numId w:val="1"/>
              </w:numPr>
              <w:spacing w:after="120" w:line="240" w:lineRule="auto"/>
              <w:contextualSpacing w:val="0"/>
              <w:rPr>
                <w:rFonts w:ascii="Times New Roman" w:hAnsi="Times New Roman" w:cs="Times New Roman"/>
                <w:noProof/>
              </w:rPr>
            </w:pPr>
            <w:r w:rsidRPr="00243E85">
              <w:rPr>
                <w:rFonts w:ascii="Times New Roman" w:hAnsi="Times New Roman"/>
                <w:noProof/>
              </w:rPr>
              <w:t>kita planuojama politika, priemonės ir programos, kuriomis bus siekiama nacionalinio orientacinio 2030 m. energijos vartojimo efektyvumo tikslo ir kitų 2.2 punkte nurodytų tikslų (pavyzdžiui, priemonės, kuriomis populiarinami viešųjų įstaigų pastatų pavyzdžiai ir viešasis pirkimas vadovaujantis efektyvaus energijos vartojimo kriterijais, priemonės, kuriomis skatinamas energijos vartojimo auditas ir populiarinamos energijos naudojimo vadybos sistemos</w:t>
            </w:r>
            <w:r w:rsidRPr="00243E85">
              <w:rPr>
                <w:rStyle w:val="FootnoteReference"/>
                <w:rFonts w:ascii="Times New Roman" w:hAnsi="Times New Roman"/>
                <w:noProof/>
              </w:rPr>
              <w:footnoteReference w:id="10"/>
            </w:r>
            <w:r w:rsidRPr="00243E85">
              <w:rPr>
                <w:rFonts w:ascii="Times New Roman" w:hAnsi="Times New Roman"/>
                <w:noProof/>
              </w:rPr>
              <w:t>, vartotojų informavimo bei mokymo priemonės</w:t>
            </w:r>
            <w:r w:rsidRPr="00243E85">
              <w:rPr>
                <w:rStyle w:val="FootnoteReference"/>
                <w:rFonts w:ascii="Times New Roman" w:hAnsi="Times New Roman"/>
                <w:noProof/>
              </w:rPr>
              <w:footnoteReference w:id="11"/>
            </w:r>
            <w:r w:rsidRPr="00243E85">
              <w:rPr>
                <w:rFonts w:ascii="Times New Roman" w:hAnsi="Times New Roman"/>
                <w:noProof/>
              </w:rPr>
              <w:t xml:space="preserve"> ir kitos priemonės, kuriomis skatinamas efektyvus energijos vartojimas</w:t>
            </w:r>
            <w:r w:rsidRPr="00243E85">
              <w:rPr>
                <w:rStyle w:val="FootnoteReference"/>
                <w:rFonts w:ascii="Times New Roman" w:hAnsi="Times New Roman"/>
                <w:noProof/>
              </w:rPr>
              <w:footnoteReference w:id="12"/>
            </w:r>
            <w:r w:rsidRPr="00243E85">
              <w:rPr>
                <w:rFonts w:ascii="Times New Roman" w:hAnsi="Times New Roman"/>
                <w:noProof/>
              </w:rPr>
              <w:t>),</w:t>
            </w:r>
          </w:p>
          <w:p w:rsidR="00B602AA" w:rsidRPr="00243E85" w:rsidRDefault="005C5300">
            <w:pPr>
              <w:pStyle w:val="ListParagraph"/>
              <w:numPr>
                <w:ilvl w:val="3"/>
                <w:numId w:val="1"/>
              </w:numPr>
              <w:spacing w:after="120" w:line="240" w:lineRule="auto"/>
              <w:contextualSpacing w:val="0"/>
              <w:rPr>
                <w:rFonts w:ascii="Times New Roman" w:hAnsi="Times New Roman" w:cs="Times New Roman"/>
                <w:noProof/>
              </w:rPr>
            </w:pPr>
            <w:r w:rsidRPr="00243E85">
              <w:rPr>
                <w:rFonts w:ascii="Times New Roman" w:hAnsi="Times New Roman"/>
                <w:noProof/>
              </w:rPr>
              <w:t>priemonių, kuriomis išnaudojamas dujų ir elektros energijos infrastruktūros energijos vartojimo efektyvumo potencialas</w:t>
            </w:r>
            <w:r w:rsidRPr="00243E85">
              <w:rPr>
                <w:rStyle w:val="FootnoteReference"/>
                <w:rFonts w:ascii="Times New Roman" w:hAnsi="Times New Roman"/>
                <w:noProof/>
              </w:rPr>
              <w:footnoteReference w:id="13"/>
            </w:r>
            <w:r w:rsidRPr="00243E85">
              <w:rPr>
                <w:rFonts w:ascii="Times New Roman" w:hAnsi="Times New Roman"/>
                <w:noProof/>
              </w:rPr>
              <w:t>, aprašymas,</w:t>
            </w:r>
          </w:p>
          <w:p w:rsidR="00B602AA" w:rsidRPr="00243E85" w:rsidRDefault="005C5300">
            <w:pPr>
              <w:pStyle w:val="ListParagraph"/>
              <w:numPr>
                <w:ilvl w:val="3"/>
                <w:numId w:val="1"/>
              </w:numPr>
              <w:spacing w:after="120"/>
              <w:contextualSpacing w:val="0"/>
              <w:rPr>
                <w:rFonts w:ascii="Times New Roman" w:hAnsi="Times New Roman" w:cs="Times New Roman"/>
                <w:noProof/>
              </w:rPr>
            </w:pPr>
            <w:r w:rsidRPr="00243E85">
              <w:rPr>
                <w:rFonts w:ascii="Times New Roman" w:hAnsi="Times New Roman"/>
                <w:noProof/>
              </w:rPr>
              <w:t>regioninis bendradarbiavimas šioje srityje, jei taikoma;</w:t>
            </w:r>
          </w:p>
          <w:p w:rsidR="00B602AA" w:rsidRPr="00243E85" w:rsidRDefault="005C5300">
            <w:pPr>
              <w:pStyle w:val="ListParagraph"/>
              <w:numPr>
                <w:ilvl w:val="3"/>
                <w:numId w:val="1"/>
              </w:numPr>
              <w:spacing w:after="120"/>
              <w:contextualSpacing w:val="0"/>
              <w:rPr>
                <w:rFonts w:ascii="Times New Roman" w:hAnsi="Times New Roman" w:cs="Times New Roman"/>
                <w:noProof/>
              </w:rPr>
            </w:pPr>
            <w:r w:rsidRPr="00243E85">
              <w:rPr>
                <w:rFonts w:ascii="Times New Roman" w:hAnsi="Times New Roman"/>
                <w:noProof/>
              </w:rPr>
              <w:t>šios srities nacionalinio lygmens finansavimo priemonės, įskaitant ES paramą ir ES lėšų naudojimą</w:t>
            </w:r>
          </w:p>
        </w:tc>
      </w:tr>
      <w:tr w:rsidR="00B602AA" w:rsidRPr="00243E85">
        <w:trPr>
          <w:trHeight w:val="273"/>
        </w:trPr>
        <w:tc>
          <w:tcPr>
            <w:tcW w:w="8928" w:type="dxa"/>
          </w:tcPr>
          <w:p w:rsidR="00B602AA" w:rsidRPr="00243E85" w:rsidRDefault="005C5300">
            <w:pPr>
              <w:pStyle w:val="ListParagraph"/>
              <w:numPr>
                <w:ilvl w:val="1"/>
                <w:numId w:val="1"/>
              </w:numPr>
              <w:spacing w:after="120" w:line="240" w:lineRule="auto"/>
              <w:contextualSpacing w:val="0"/>
              <w:rPr>
                <w:rFonts w:ascii="Times New Roman" w:hAnsi="Times New Roman" w:cs="Times New Roman"/>
                <w:b/>
                <w:noProof/>
              </w:rPr>
            </w:pPr>
            <w:r w:rsidRPr="00243E85">
              <w:rPr>
                <w:rFonts w:ascii="Times New Roman" w:hAnsi="Times New Roman"/>
                <w:b/>
                <w:noProof/>
              </w:rPr>
              <w:lastRenderedPageBreak/>
              <w:t>Energetinio saugumo aspektas</w:t>
            </w:r>
            <w:r w:rsidRPr="00243E85">
              <w:rPr>
                <w:rStyle w:val="FootnoteReference"/>
                <w:rFonts w:ascii="Times New Roman" w:hAnsi="Times New Roman"/>
                <w:b/>
                <w:noProof/>
              </w:rPr>
              <w:footnoteReference w:id="14"/>
            </w:r>
            <w:r w:rsidRPr="00243E85">
              <w:rPr>
                <w:rFonts w:ascii="Times New Roman" w:hAnsi="Times New Roman"/>
                <w:b/>
                <w:noProof/>
              </w:rPr>
              <w:t xml:space="preserve"> </w:t>
            </w:r>
          </w:p>
          <w:p w:rsidR="00B602AA" w:rsidRPr="00243E85" w:rsidRDefault="005C5300">
            <w:pPr>
              <w:pStyle w:val="ListParagraph"/>
              <w:numPr>
                <w:ilvl w:val="3"/>
                <w:numId w:val="1"/>
              </w:numPr>
              <w:spacing w:after="120" w:line="240" w:lineRule="auto"/>
              <w:contextualSpacing w:val="0"/>
              <w:rPr>
                <w:rFonts w:ascii="Times New Roman" w:hAnsi="Times New Roman" w:cs="Times New Roman"/>
                <w:noProof/>
              </w:rPr>
            </w:pPr>
            <w:r w:rsidRPr="00243E85">
              <w:rPr>
                <w:rFonts w:ascii="Times New Roman" w:hAnsi="Times New Roman"/>
                <w:noProof/>
              </w:rPr>
              <w:t>Politika ir priemonės, kuriomis sprendžiami 2.3 punkte nurodyti uždaviniai</w:t>
            </w:r>
            <w:r w:rsidRPr="00243E85">
              <w:rPr>
                <w:rStyle w:val="FootnoteReference"/>
                <w:rFonts w:ascii="Times New Roman" w:hAnsi="Times New Roman"/>
                <w:noProof/>
              </w:rPr>
              <w:footnoteReference w:id="15"/>
            </w:r>
          </w:p>
          <w:p w:rsidR="00B602AA" w:rsidRPr="00243E85" w:rsidRDefault="005C5300">
            <w:pPr>
              <w:pStyle w:val="ListParagraph"/>
              <w:numPr>
                <w:ilvl w:val="3"/>
                <w:numId w:val="1"/>
              </w:numPr>
              <w:spacing w:after="120" w:line="240" w:lineRule="auto"/>
              <w:contextualSpacing w:val="0"/>
              <w:rPr>
                <w:rFonts w:ascii="Times New Roman" w:hAnsi="Times New Roman" w:cs="Times New Roman"/>
                <w:noProof/>
              </w:rPr>
            </w:pPr>
            <w:r w:rsidRPr="00243E85">
              <w:rPr>
                <w:rFonts w:ascii="Times New Roman" w:hAnsi="Times New Roman"/>
                <w:noProof/>
              </w:rPr>
              <w:t>Regioninis bendradarbiavimas šioje srityje</w:t>
            </w:r>
          </w:p>
          <w:p w:rsidR="00B602AA" w:rsidRPr="00243E85" w:rsidRDefault="00B80D97" w:rsidP="00B80D97">
            <w:pPr>
              <w:pStyle w:val="ListParagraph"/>
              <w:numPr>
                <w:ilvl w:val="3"/>
                <w:numId w:val="1"/>
              </w:numPr>
              <w:spacing w:after="120" w:line="240" w:lineRule="auto"/>
              <w:contextualSpacing w:val="0"/>
              <w:rPr>
                <w:rFonts w:ascii="Times New Roman" w:hAnsi="Times New Roman" w:cs="Times New Roman"/>
                <w:noProof/>
              </w:rPr>
            </w:pPr>
            <w:r w:rsidRPr="00243E85">
              <w:rPr>
                <w:rFonts w:ascii="Times New Roman" w:hAnsi="Times New Roman"/>
                <w:noProof/>
              </w:rPr>
              <w:t xml:space="preserve">Jei taikoma, šios srities nacionalinio lygmens finansavimo priemonės, įskaitant ES paramą ir ES lėšų naudojimą </w:t>
            </w:r>
          </w:p>
        </w:tc>
      </w:tr>
      <w:tr w:rsidR="00B602AA" w:rsidRPr="00243E85">
        <w:trPr>
          <w:trHeight w:val="826"/>
        </w:trPr>
        <w:tc>
          <w:tcPr>
            <w:tcW w:w="8928" w:type="dxa"/>
          </w:tcPr>
          <w:p w:rsidR="00B602AA" w:rsidRPr="00243E85" w:rsidRDefault="005C5300">
            <w:pPr>
              <w:pStyle w:val="ListParagraph"/>
              <w:numPr>
                <w:ilvl w:val="1"/>
                <w:numId w:val="1"/>
              </w:numPr>
              <w:spacing w:after="120" w:line="240" w:lineRule="auto"/>
              <w:contextualSpacing w:val="0"/>
              <w:rPr>
                <w:rFonts w:ascii="Times New Roman" w:hAnsi="Times New Roman" w:cs="Times New Roman"/>
                <w:b/>
                <w:noProof/>
              </w:rPr>
            </w:pPr>
            <w:r w:rsidRPr="00243E85">
              <w:rPr>
                <w:rFonts w:ascii="Times New Roman" w:hAnsi="Times New Roman"/>
                <w:b/>
                <w:noProof/>
              </w:rPr>
              <w:t>Energijos vidaus rinka aspektas</w:t>
            </w:r>
            <w:r w:rsidRPr="00243E85">
              <w:rPr>
                <w:rStyle w:val="FootnoteReference"/>
                <w:rFonts w:ascii="Times New Roman" w:hAnsi="Times New Roman"/>
                <w:b/>
                <w:noProof/>
              </w:rPr>
              <w:footnoteReference w:id="16"/>
            </w:r>
          </w:p>
          <w:p w:rsidR="00B602AA" w:rsidRPr="00243E85" w:rsidRDefault="005C5300">
            <w:pPr>
              <w:pStyle w:val="ListParagraph"/>
              <w:numPr>
                <w:ilvl w:val="2"/>
                <w:numId w:val="1"/>
              </w:numPr>
              <w:spacing w:after="120" w:line="240" w:lineRule="auto"/>
              <w:contextualSpacing w:val="0"/>
              <w:rPr>
                <w:rFonts w:ascii="Times New Roman" w:hAnsi="Times New Roman" w:cs="Times New Roman"/>
                <w:b/>
                <w:noProof/>
              </w:rPr>
            </w:pPr>
            <w:r w:rsidRPr="00243E85">
              <w:rPr>
                <w:rFonts w:ascii="Times New Roman" w:hAnsi="Times New Roman"/>
                <w:b/>
                <w:noProof/>
              </w:rPr>
              <w:t>Elektros energijos infrastruktūra</w:t>
            </w:r>
          </w:p>
          <w:p w:rsidR="00B602AA" w:rsidRPr="00243E85" w:rsidRDefault="005C5300">
            <w:pPr>
              <w:pStyle w:val="ListParagraph"/>
              <w:numPr>
                <w:ilvl w:val="3"/>
                <w:numId w:val="1"/>
              </w:numPr>
              <w:spacing w:after="120" w:line="240" w:lineRule="auto"/>
              <w:contextualSpacing w:val="0"/>
              <w:rPr>
                <w:rFonts w:ascii="Times New Roman" w:hAnsi="Times New Roman" w:cs="Times New Roman"/>
                <w:noProof/>
              </w:rPr>
            </w:pPr>
            <w:r w:rsidRPr="00243E85">
              <w:rPr>
                <w:rFonts w:ascii="Times New Roman" w:hAnsi="Times New Roman"/>
                <w:noProof/>
              </w:rPr>
              <w:t>Politika ir priemonės, kuriomis siekiama 2.4.1 punkte nurodyto tikslinio tinklų jungiamųjų linijų pralaidumo rodiklio</w:t>
            </w:r>
          </w:p>
          <w:p w:rsidR="00B602AA" w:rsidRPr="00243E85" w:rsidRDefault="005C5300">
            <w:pPr>
              <w:pStyle w:val="ListParagraph"/>
              <w:numPr>
                <w:ilvl w:val="3"/>
                <w:numId w:val="1"/>
              </w:numPr>
              <w:spacing w:after="120" w:line="240" w:lineRule="auto"/>
              <w:contextualSpacing w:val="0"/>
              <w:rPr>
                <w:rFonts w:ascii="Times New Roman" w:hAnsi="Times New Roman" w:cs="Times New Roman"/>
                <w:noProof/>
              </w:rPr>
            </w:pPr>
            <w:r w:rsidRPr="00243E85">
              <w:rPr>
                <w:rFonts w:ascii="Times New Roman" w:hAnsi="Times New Roman"/>
                <w:noProof/>
              </w:rPr>
              <w:t>Regioninis bendradarbiavimas šioje srityje</w:t>
            </w:r>
            <w:r w:rsidRPr="00243E85">
              <w:rPr>
                <w:rStyle w:val="FootnoteReference"/>
                <w:rFonts w:ascii="Times New Roman" w:hAnsi="Times New Roman"/>
                <w:noProof/>
              </w:rPr>
              <w:footnoteReference w:id="17"/>
            </w:r>
          </w:p>
          <w:p w:rsidR="00B602AA" w:rsidRPr="00243E85" w:rsidRDefault="00B80D97">
            <w:pPr>
              <w:pStyle w:val="ListParagraph"/>
              <w:numPr>
                <w:ilvl w:val="3"/>
                <w:numId w:val="1"/>
              </w:numPr>
              <w:spacing w:after="120" w:line="240" w:lineRule="auto"/>
              <w:contextualSpacing w:val="0"/>
              <w:rPr>
                <w:rFonts w:ascii="Times New Roman" w:hAnsi="Times New Roman" w:cs="Times New Roman"/>
                <w:noProof/>
              </w:rPr>
            </w:pPr>
            <w:r w:rsidRPr="00243E85">
              <w:rPr>
                <w:rFonts w:ascii="Times New Roman" w:hAnsi="Times New Roman"/>
                <w:noProof/>
              </w:rPr>
              <w:lastRenderedPageBreak/>
              <w:t>Jei taikoma, šios srities nacionalinio lygmens finansavimo priemonės, įskaitant ES paramą ir ES lėšų naudojimą</w:t>
            </w:r>
          </w:p>
          <w:p w:rsidR="00B602AA" w:rsidRPr="00243E85" w:rsidRDefault="005C5300">
            <w:pPr>
              <w:pStyle w:val="ListParagraph"/>
              <w:numPr>
                <w:ilvl w:val="2"/>
                <w:numId w:val="1"/>
              </w:numPr>
              <w:spacing w:after="120" w:line="240" w:lineRule="auto"/>
              <w:contextualSpacing w:val="0"/>
              <w:rPr>
                <w:rFonts w:ascii="Times New Roman" w:hAnsi="Times New Roman" w:cs="Times New Roman"/>
                <w:b/>
                <w:noProof/>
              </w:rPr>
            </w:pPr>
            <w:r w:rsidRPr="00243E85">
              <w:rPr>
                <w:rFonts w:ascii="Times New Roman" w:hAnsi="Times New Roman"/>
                <w:b/>
                <w:noProof/>
              </w:rPr>
              <w:t>Energijos perdavimo infrastruktūra</w:t>
            </w:r>
          </w:p>
          <w:p w:rsidR="00B602AA" w:rsidRPr="00243E85" w:rsidRDefault="005C5300">
            <w:pPr>
              <w:pStyle w:val="ListParagraph"/>
              <w:numPr>
                <w:ilvl w:val="3"/>
                <w:numId w:val="1"/>
              </w:numPr>
              <w:spacing w:after="120" w:line="240" w:lineRule="auto"/>
              <w:contextualSpacing w:val="0"/>
              <w:rPr>
                <w:rFonts w:ascii="Times New Roman" w:hAnsi="Times New Roman" w:cs="Times New Roman"/>
                <w:noProof/>
              </w:rPr>
            </w:pPr>
            <w:r w:rsidRPr="00243E85">
              <w:rPr>
                <w:rFonts w:ascii="Times New Roman" w:hAnsi="Times New Roman"/>
                <w:noProof/>
              </w:rPr>
              <w:t>Politika ir priemonės, kuriomis sprendžiami 2.4.2 punkte nurodyti uždaviniai, įskaitant, jei taikoma, konkrečias bendro intereso projektų ir kitų esminių infrastruktūros projektų įgyvendinimo priemones</w:t>
            </w:r>
          </w:p>
          <w:p w:rsidR="00766871" w:rsidRPr="00243E85" w:rsidRDefault="005C5300" w:rsidP="00766871">
            <w:pPr>
              <w:pStyle w:val="ListParagraph"/>
              <w:numPr>
                <w:ilvl w:val="3"/>
                <w:numId w:val="1"/>
              </w:numPr>
              <w:spacing w:after="120" w:line="240" w:lineRule="auto"/>
              <w:contextualSpacing w:val="0"/>
              <w:rPr>
                <w:rFonts w:ascii="Times New Roman" w:hAnsi="Times New Roman" w:cs="Times New Roman"/>
                <w:noProof/>
              </w:rPr>
            </w:pPr>
            <w:r w:rsidRPr="00243E85">
              <w:rPr>
                <w:rFonts w:ascii="Times New Roman" w:hAnsi="Times New Roman"/>
                <w:noProof/>
              </w:rPr>
              <w:t>Regioninis bendradarbiavimas šioje srityje</w:t>
            </w:r>
            <w:r w:rsidRPr="00243E85">
              <w:rPr>
                <w:rStyle w:val="FootnoteReference"/>
                <w:rFonts w:ascii="Times New Roman" w:hAnsi="Times New Roman"/>
                <w:noProof/>
              </w:rPr>
              <w:footnoteReference w:id="18"/>
            </w:r>
          </w:p>
          <w:p w:rsidR="00B602AA" w:rsidRPr="00243E85" w:rsidRDefault="00766871" w:rsidP="00766871">
            <w:pPr>
              <w:pStyle w:val="ListParagraph"/>
              <w:numPr>
                <w:ilvl w:val="3"/>
                <w:numId w:val="1"/>
              </w:numPr>
              <w:spacing w:after="120" w:line="240" w:lineRule="auto"/>
              <w:contextualSpacing w:val="0"/>
              <w:rPr>
                <w:rFonts w:ascii="Times New Roman" w:hAnsi="Times New Roman" w:cs="Times New Roman"/>
                <w:noProof/>
              </w:rPr>
            </w:pPr>
            <w:r w:rsidRPr="00243E85">
              <w:rPr>
                <w:rFonts w:ascii="Times New Roman" w:hAnsi="Times New Roman"/>
                <w:noProof/>
              </w:rPr>
              <w:t>Jei taikoma, šios srities nacionalinio lygmens finansavimo priemonės, įskaitant ES paramą ir ES lėšų naudojimą</w:t>
            </w:r>
          </w:p>
          <w:p w:rsidR="00B602AA" w:rsidRPr="00243E85" w:rsidRDefault="005C5300" w:rsidP="00F763F5">
            <w:pPr>
              <w:pStyle w:val="ListParagraph"/>
              <w:numPr>
                <w:ilvl w:val="2"/>
                <w:numId w:val="1"/>
              </w:numPr>
              <w:spacing w:after="120" w:line="240" w:lineRule="auto"/>
              <w:contextualSpacing w:val="0"/>
              <w:rPr>
                <w:rFonts w:ascii="Times New Roman" w:hAnsi="Times New Roman" w:cs="Times New Roman"/>
                <w:b/>
                <w:noProof/>
              </w:rPr>
            </w:pPr>
            <w:r w:rsidRPr="00243E85">
              <w:rPr>
                <w:rFonts w:ascii="Times New Roman" w:hAnsi="Times New Roman"/>
                <w:b/>
                <w:noProof/>
              </w:rPr>
              <w:t>Rinkų integravimas</w:t>
            </w:r>
          </w:p>
          <w:p w:rsidR="00B602AA" w:rsidRPr="00243E85" w:rsidRDefault="005C5300">
            <w:pPr>
              <w:pStyle w:val="ListParagraph"/>
              <w:numPr>
                <w:ilvl w:val="3"/>
                <w:numId w:val="1"/>
              </w:numPr>
              <w:spacing w:after="120" w:line="240" w:lineRule="auto"/>
              <w:contextualSpacing w:val="0"/>
              <w:rPr>
                <w:rFonts w:ascii="Times New Roman" w:hAnsi="Times New Roman" w:cs="Times New Roman"/>
                <w:noProof/>
              </w:rPr>
            </w:pPr>
            <w:r w:rsidRPr="00243E85">
              <w:rPr>
                <w:rFonts w:ascii="Times New Roman" w:hAnsi="Times New Roman"/>
                <w:noProof/>
              </w:rPr>
              <w:t>Politika ir priemonės, kuriomis sprendžiami 2.4.3 punkte nurodyti uždaviniai</w:t>
            </w:r>
          </w:p>
          <w:p w:rsidR="00B602AA" w:rsidRPr="00243E85" w:rsidRDefault="005C5300">
            <w:pPr>
              <w:pStyle w:val="ListParagraph"/>
              <w:numPr>
                <w:ilvl w:val="3"/>
                <w:numId w:val="1"/>
              </w:numPr>
              <w:spacing w:after="120" w:line="240" w:lineRule="auto"/>
              <w:contextualSpacing w:val="0"/>
              <w:jc w:val="both"/>
              <w:rPr>
                <w:rFonts w:ascii="Times New Roman" w:hAnsi="Times New Roman" w:cs="Times New Roman"/>
                <w:noProof/>
              </w:rPr>
            </w:pPr>
            <w:r w:rsidRPr="00243E85">
              <w:rPr>
                <w:rFonts w:ascii="Times New Roman" w:hAnsi="Times New Roman"/>
                <w:noProof/>
              </w:rPr>
              <w:t>Priemonės, kuriomis didinamas energetikos sistemos lankstumas energijos gamybos iš atsinaujinančiųjų išteklių atžvilgiu, įskaitant einamosios paros rinkų susiejimą ir tarpsisteminio balansavimo rinkų plėtrą</w:t>
            </w:r>
          </w:p>
          <w:p w:rsidR="00B602AA" w:rsidRPr="00243E85" w:rsidRDefault="005C5300">
            <w:pPr>
              <w:pStyle w:val="ListParagraph"/>
              <w:numPr>
                <w:ilvl w:val="3"/>
                <w:numId w:val="1"/>
              </w:numPr>
              <w:spacing w:after="120" w:line="240" w:lineRule="auto"/>
              <w:contextualSpacing w:val="0"/>
              <w:jc w:val="both"/>
              <w:rPr>
                <w:rFonts w:ascii="Times New Roman" w:hAnsi="Times New Roman" w:cs="Times New Roman"/>
                <w:noProof/>
              </w:rPr>
            </w:pPr>
            <w:r w:rsidRPr="00243E85">
              <w:rPr>
                <w:rFonts w:ascii="Times New Roman" w:hAnsi="Times New Roman"/>
                <w:noProof/>
              </w:rPr>
              <w:t>Priemonės, kurias taikant pirmiausia priimama bei skirstoma elektros energija, pagaminta iš atsinaujinančiųjų energijos išteklių arba didelio naudingumo kogeneracijos būdu, ir užkertamas kelias tokios elektros energijos tiekimo mažinimui arba perskirstymui</w:t>
            </w:r>
            <w:r w:rsidRPr="00243E85">
              <w:rPr>
                <w:rStyle w:val="FootnoteReference"/>
                <w:rFonts w:ascii="Times New Roman" w:hAnsi="Times New Roman"/>
                <w:noProof/>
              </w:rPr>
              <w:footnoteReference w:id="19"/>
            </w:r>
          </w:p>
          <w:p w:rsidR="00B602AA" w:rsidRPr="00243E85" w:rsidRDefault="005C5300">
            <w:pPr>
              <w:pStyle w:val="ListParagraph"/>
              <w:numPr>
                <w:ilvl w:val="3"/>
                <w:numId w:val="1"/>
              </w:numPr>
              <w:spacing w:after="120" w:line="240" w:lineRule="auto"/>
              <w:contextualSpacing w:val="0"/>
              <w:jc w:val="both"/>
              <w:rPr>
                <w:rFonts w:ascii="Times New Roman" w:hAnsi="Times New Roman" w:cs="Times New Roman"/>
                <w:noProof/>
              </w:rPr>
            </w:pPr>
            <w:r w:rsidRPr="00243E85">
              <w:rPr>
                <w:rFonts w:ascii="Times New Roman" w:hAnsi="Times New Roman"/>
                <w:noProof/>
              </w:rPr>
              <w:t>Politika ir priemonės, kuriomis saugomi vartotojai, ypač pažeidžiami ir energijos nepriteklių patiriantys vartotojai, ir gerinamas konkurencingumas bei užginčijimo teisės mažmeninėje energetikos rinkoje</w:t>
            </w:r>
          </w:p>
          <w:p w:rsidR="00B602AA" w:rsidRPr="00243E85" w:rsidRDefault="005C5300">
            <w:pPr>
              <w:pStyle w:val="ListParagraph"/>
              <w:numPr>
                <w:ilvl w:val="3"/>
                <w:numId w:val="1"/>
              </w:numPr>
              <w:spacing w:after="120" w:line="240" w:lineRule="auto"/>
              <w:contextualSpacing w:val="0"/>
              <w:jc w:val="both"/>
              <w:rPr>
                <w:rFonts w:ascii="Times New Roman" w:hAnsi="Times New Roman" w:cs="Times New Roman"/>
                <w:noProof/>
              </w:rPr>
            </w:pPr>
            <w:r w:rsidRPr="00243E85">
              <w:rPr>
                <w:rFonts w:ascii="Times New Roman" w:hAnsi="Times New Roman"/>
                <w:noProof/>
              </w:rPr>
              <w:t>Priemonių, kurių reikia, kad būtų įmanoma taikyti ir plėtoti reguliavimą apkrova, aprašymas, įskaitant su tarifais susijusias priemones, būtinas dinamiškai kainodarai</w:t>
            </w:r>
            <w:r w:rsidRPr="00243E85">
              <w:rPr>
                <w:rStyle w:val="FootnoteReference"/>
                <w:rFonts w:ascii="Times New Roman" w:hAnsi="Times New Roman"/>
                <w:noProof/>
              </w:rPr>
              <w:footnoteReference w:id="20"/>
            </w:r>
          </w:p>
          <w:p w:rsidR="00B602AA" w:rsidRPr="00243E85" w:rsidRDefault="005C5300">
            <w:pPr>
              <w:pStyle w:val="ListParagraph"/>
              <w:numPr>
                <w:ilvl w:val="2"/>
                <w:numId w:val="1"/>
              </w:numPr>
              <w:spacing w:after="120" w:line="240" w:lineRule="auto"/>
              <w:contextualSpacing w:val="0"/>
              <w:rPr>
                <w:rFonts w:ascii="Times New Roman" w:hAnsi="Times New Roman" w:cs="Times New Roman"/>
                <w:b/>
                <w:noProof/>
              </w:rPr>
            </w:pPr>
            <w:r w:rsidRPr="00243E85">
              <w:rPr>
                <w:rFonts w:ascii="Times New Roman" w:hAnsi="Times New Roman"/>
                <w:b/>
                <w:noProof/>
              </w:rPr>
              <w:t>Energijos nepriteklius</w:t>
            </w:r>
          </w:p>
          <w:p w:rsidR="00B602AA" w:rsidRPr="00243E85" w:rsidRDefault="005C5300">
            <w:pPr>
              <w:pStyle w:val="ListParagraph"/>
              <w:numPr>
                <w:ilvl w:val="3"/>
                <w:numId w:val="1"/>
              </w:numPr>
              <w:spacing w:after="120" w:line="240" w:lineRule="auto"/>
              <w:contextualSpacing w:val="0"/>
              <w:rPr>
                <w:rFonts w:ascii="Times New Roman" w:hAnsi="Times New Roman" w:cs="Times New Roman"/>
                <w:noProof/>
              </w:rPr>
            </w:pPr>
            <w:r w:rsidRPr="00243E85">
              <w:rPr>
                <w:rFonts w:ascii="Times New Roman" w:hAnsi="Times New Roman"/>
                <w:noProof/>
              </w:rPr>
              <w:t>Politika ir priemonės, kuriomis sprendžiami 2.4.4 punkte nurodyti uždaviniai</w:t>
            </w:r>
          </w:p>
        </w:tc>
      </w:tr>
      <w:tr w:rsidR="00B602AA" w:rsidRPr="00243E85">
        <w:trPr>
          <w:trHeight w:val="826"/>
        </w:trPr>
        <w:tc>
          <w:tcPr>
            <w:tcW w:w="8928" w:type="dxa"/>
            <w:tcBorders>
              <w:bottom w:val="single" w:sz="4" w:space="0" w:color="auto"/>
            </w:tcBorders>
          </w:tcPr>
          <w:p w:rsidR="00B602AA" w:rsidRPr="00243E85" w:rsidRDefault="005C5300">
            <w:pPr>
              <w:pStyle w:val="ListParagraph"/>
              <w:numPr>
                <w:ilvl w:val="1"/>
                <w:numId w:val="1"/>
              </w:numPr>
              <w:spacing w:after="120" w:line="240" w:lineRule="auto"/>
              <w:contextualSpacing w:val="0"/>
              <w:rPr>
                <w:rFonts w:ascii="Times New Roman" w:hAnsi="Times New Roman" w:cs="Times New Roman"/>
                <w:b/>
                <w:noProof/>
              </w:rPr>
            </w:pPr>
            <w:r w:rsidRPr="00243E85">
              <w:rPr>
                <w:rFonts w:ascii="Times New Roman" w:hAnsi="Times New Roman"/>
                <w:b/>
                <w:noProof/>
              </w:rPr>
              <w:lastRenderedPageBreak/>
              <w:t>Mokslinių tyrimų, inovacijų ir konkurencingumo aspektas</w:t>
            </w:r>
          </w:p>
          <w:p w:rsidR="00B602AA" w:rsidRPr="00243E85" w:rsidRDefault="005C5300">
            <w:pPr>
              <w:pStyle w:val="ListParagraph"/>
              <w:numPr>
                <w:ilvl w:val="3"/>
                <w:numId w:val="1"/>
              </w:numPr>
              <w:spacing w:after="120" w:line="240" w:lineRule="auto"/>
              <w:contextualSpacing w:val="0"/>
              <w:rPr>
                <w:rFonts w:ascii="Times New Roman" w:hAnsi="Times New Roman" w:cs="Times New Roman"/>
                <w:noProof/>
              </w:rPr>
            </w:pPr>
            <w:r w:rsidRPr="00243E85">
              <w:rPr>
                <w:rFonts w:ascii="Times New Roman" w:hAnsi="Times New Roman"/>
                <w:noProof/>
              </w:rPr>
              <w:t>Politika ir priemonės, įskaitant politiką ir priemones, kuriomis sprendžiami 2.5 punkte nurodyti uždaviniai</w:t>
            </w:r>
          </w:p>
          <w:p w:rsidR="00B602AA" w:rsidRPr="00243E85" w:rsidRDefault="005C5300">
            <w:pPr>
              <w:pStyle w:val="ListParagraph"/>
              <w:numPr>
                <w:ilvl w:val="3"/>
                <w:numId w:val="1"/>
              </w:numPr>
              <w:spacing w:after="120" w:line="240" w:lineRule="auto"/>
              <w:contextualSpacing w:val="0"/>
              <w:rPr>
                <w:rFonts w:ascii="Times New Roman" w:hAnsi="Times New Roman" w:cs="Times New Roman"/>
                <w:noProof/>
              </w:rPr>
            </w:pPr>
            <w:r w:rsidRPr="00243E85">
              <w:rPr>
                <w:rFonts w:ascii="Times New Roman" w:hAnsi="Times New Roman"/>
                <w:noProof/>
              </w:rPr>
              <w:t xml:space="preserve">Šios srities bendradarbiavimas su kitomis valstybėmis narėmis, įskaitant informaciją apie tai, kaip SET plano uždaviniai ir politika įgyvendinami nacionalinėmis aplinkybėmis </w:t>
            </w:r>
          </w:p>
          <w:p w:rsidR="00B602AA" w:rsidRPr="00243E85" w:rsidRDefault="00C9757F" w:rsidP="00B37E28">
            <w:pPr>
              <w:pStyle w:val="ListParagraph"/>
              <w:numPr>
                <w:ilvl w:val="3"/>
                <w:numId w:val="1"/>
              </w:numPr>
              <w:spacing w:after="120" w:line="240" w:lineRule="auto"/>
              <w:contextualSpacing w:val="0"/>
              <w:rPr>
                <w:rFonts w:ascii="Times New Roman" w:hAnsi="Times New Roman" w:cs="Times New Roman"/>
                <w:noProof/>
              </w:rPr>
            </w:pPr>
            <w:r w:rsidRPr="00243E85">
              <w:rPr>
                <w:rFonts w:ascii="Times New Roman" w:hAnsi="Times New Roman"/>
                <w:noProof/>
              </w:rPr>
              <w:t>Jei taikoma, šios srities nacionalinio lygmens finansavimo priemonės, įskaitant ES paramą ir ES lėšų naudojimą</w:t>
            </w:r>
          </w:p>
        </w:tc>
      </w:tr>
    </w:tbl>
    <w:p w:rsidR="00B602AA" w:rsidRPr="00243E85" w:rsidRDefault="00B602AA">
      <w:pPr>
        <w:rPr>
          <w:noProof/>
        </w:rPr>
      </w:pPr>
    </w:p>
    <w:p w:rsidR="004D60E3" w:rsidRPr="00243E85" w:rsidRDefault="004D60E3">
      <w:r w:rsidRPr="00243E85">
        <w:br w:type="page"/>
      </w:r>
    </w:p>
    <w:tbl>
      <w:tblPr>
        <w:tblStyle w:val="TableGrid"/>
        <w:tblW w:w="0" w:type="auto"/>
        <w:tblInd w:w="360" w:type="dxa"/>
        <w:tblLook w:val="04A0" w:firstRow="1" w:lastRow="0" w:firstColumn="1" w:lastColumn="0" w:noHBand="0" w:noVBand="1"/>
      </w:tblPr>
      <w:tblGrid>
        <w:gridCol w:w="8928"/>
      </w:tblGrid>
      <w:tr w:rsidR="00B602AA" w:rsidRPr="00243E85">
        <w:trPr>
          <w:trHeight w:val="456"/>
        </w:trPr>
        <w:tc>
          <w:tcPr>
            <w:tcW w:w="8928" w:type="dxa"/>
            <w:tcBorders>
              <w:bottom w:val="single" w:sz="4" w:space="0" w:color="auto"/>
            </w:tcBorders>
            <w:shd w:val="clear" w:color="auto" w:fill="A6A6A6" w:themeFill="background1" w:themeFillShade="A6"/>
            <w:vAlign w:val="center"/>
          </w:tcPr>
          <w:p w:rsidR="00B602AA" w:rsidRPr="00243E85" w:rsidRDefault="005C5300">
            <w:pPr>
              <w:spacing w:before="0"/>
              <w:jc w:val="center"/>
              <w:rPr>
                <w:b/>
                <w:noProof/>
              </w:rPr>
            </w:pPr>
            <w:r w:rsidRPr="00243E85">
              <w:rPr>
                <w:b/>
                <w:noProof/>
              </w:rPr>
              <w:lastRenderedPageBreak/>
              <w:t>B SKIRSNIS. ANALITINIS PAGRINDAS</w:t>
            </w:r>
            <w:r w:rsidRPr="00243E85">
              <w:rPr>
                <w:rStyle w:val="FootnoteReference"/>
                <w:b/>
                <w:noProof/>
              </w:rPr>
              <w:footnoteReference w:id="21"/>
            </w:r>
          </w:p>
        </w:tc>
      </w:tr>
      <w:tr w:rsidR="00B602AA" w:rsidRPr="00243E85">
        <w:trPr>
          <w:trHeight w:val="326"/>
        </w:trPr>
        <w:tc>
          <w:tcPr>
            <w:tcW w:w="8928" w:type="dxa"/>
            <w:tcBorders>
              <w:bottom w:val="single" w:sz="4" w:space="0" w:color="auto"/>
            </w:tcBorders>
            <w:shd w:val="clear" w:color="auto" w:fill="D9D9D9" w:themeFill="background1" w:themeFillShade="D9"/>
          </w:tcPr>
          <w:p w:rsidR="00B602AA" w:rsidRPr="00243E85" w:rsidRDefault="005C5300">
            <w:pPr>
              <w:pStyle w:val="ListParagraph"/>
              <w:numPr>
                <w:ilvl w:val="0"/>
                <w:numId w:val="1"/>
              </w:numPr>
              <w:spacing w:after="120" w:line="240" w:lineRule="auto"/>
              <w:contextualSpacing w:val="0"/>
              <w:rPr>
                <w:rFonts w:ascii="Times New Roman" w:hAnsi="Times New Roman" w:cs="Times New Roman"/>
                <w:b/>
                <w:noProof/>
              </w:rPr>
            </w:pPr>
            <w:r w:rsidRPr="00243E85">
              <w:rPr>
                <w:rFonts w:ascii="Times New Roman" w:hAnsi="Times New Roman"/>
                <w:b/>
                <w:noProof/>
              </w:rPr>
              <w:t>DABARTINĖ PADĖTIS IR PROGNOZĖS ATSIŽVELGIANT Į ESAMĄ POLITIKĄ IR PRIEMONES</w:t>
            </w:r>
            <w:r w:rsidRPr="00243E85">
              <w:rPr>
                <w:rStyle w:val="FootnoteReference"/>
                <w:rFonts w:ascii="Times New Roman" w:hAnsi="Times New Roman"/>
                <w:b/>
                <w:noProof/>
              </w:rPr>
              <w:footnoteReference w:id="22"/>
            </w:r>
            <w:r w:rsidRPr="00243E85">
              <w:rPr>
                <w:rFonts w:ascii="Times New Roman" w:hAnsi="Times New Roman"/>
                <w:b/>
                <w:noProof/>
                <w:vertAlign w:val="superscript"/>
              </w:rPr>
              <w:t>,</w:t>
            </w:r>
            <w:r w:rsidRPr="00243E85">
              <w:rPr>
                <w:rStyle w:val="FootnoteReference"/>
                <w:rFonts w:ascii="Times New Roman" w:hAnsi="Times New Roman"/>
                <w:b/>
                <w:noProof/>
              </w:rPr>
              <w:footnoteReference w:id="23"/>
            </w:r>
          </w:p>
        </w:tc>
      </w:tr>
      <w:tr w:rsidR="00B602AA" w:rsidRPr="00243E85">
        <w:trPr>
          <w:trHeight w:val="566"/>
        </w:trPr>
        <w:tc>
          <w:tcPr>
            <w:tcW w:w="8928" w:type="dxa"/>
            <w:tcBorders>
              <w:bottom w:val="single" w:sz="4" w:space="0" w:color="auto"/>
            </w:tcBorders>
          </w:tcPr>
          <w:p w:rsidR="00B602AA" w:rsidRPr="00243E85" w:rsidRDefault="005C5300">
            <w:pPr>
              <w:pStyle w:val="ListParagraph"/>
              <w:numPr>
                <w:ilvl w:val="1"/>
                <w:numId w:val="1"/>
              </w:numPr>
              <w:spacing w:after="120" w:line="240" w:lineRule="auto"/>
              <w:contextualSpacing w:val="0"/>
              <w:rPr>
                <w:rFonts w:ascii="Times New Roman" w:hAnsi="Times New Roman" w:cs="Times New Roman"/>
                <w:b/>
                <w:noProof/>
              </w:rPr>
            </w:pPr>
            <w:r w:rsidRPr="00243E85">
              <w:rPr>
                <w:rFonts w:ascii="Times New Roman" w:hAnsi="Times New Roman"/>
                <w:b/>
                <w:noProof/>
              </w:rPr>
              <w:t xml:space="preserve">Prognozuojama pagrindinių išorės veiksnių, nuo kurių priklauso energetikos sistemos ir ŠESD kiekio pokyčiai, raida </w:t>
            </w:r>
          </w:p>
          <w:p w:rsidR="00B602AA" w:rsidRPr="00243E85" w:rsidRDefault="005C5300">
            <w:pPr>
              <w:pStyle w:val="ListParagraph"/>
              <w:numPr>
                <w:ilvl w:val="3"/>
                <w:numId w:val="1"/>
              </w:numPr>
              <w:spacing w:after="120" w:line="240" w:lineRule="auto"/>
              <w:contextualSpacing w:val="0"/>
              <w:rPr>
                <w:rFonts w:ascii="Times New Roman" w:hAnsi="Times New Roman" w:cs="Times New Roman"/>
                <w:noProof/>
              </w:rPr>
            </w:pPr>
            <w:r w:rsidRPr="00243E85">
              <w:rPr>
                <w:rFonts w:ascii="Times New Roman" w:hAnsi="Times New Roman"/>
                <w:noProof/>
              </w:rPr>
              <w:t>Makroekonominė prognozė (bendrasis vidaus produktas ir gyventojų prieaugis)</w:t>
            </w:r>
          </w:p>
          <w:p w:rsidR="00B602AA" w:rsidRPr="00243E85" w:rsidRDefault="005C5300">
            <w:pPr>
              <w:pStyle w:val="ListParagraph"/>
              <w:numPr>
                <w:ilvl w:val="3"/>
                <w:numId w:val="1"/>
              </w:numPr>
              <w:spacing w:after="120" w:line="240" w:lineRule="auto"/>
              <w:contextualSpacing w:val="0"/>
              <w:rPr>
                <w:rFonts w:ascii="Times New Roman" w:hAnsi="Times New Roman" w:cs="Times New Roman"/>
                <w:b/>
                <w:noProof/>
              </w:rPr>
            </w:pPr>
            <w:r w:rsidRPr="00243E85">
              <w:rPr>
                <w:rFonts w:ascii="Times New Roman" w:hAnsi="Times New Roman"/>
                <w:noProof/>
              </w:rPr>
              <w:t>Sektorių pokyčiai, kurie, tikėtina, paveiks energetikos sistemą ir išmetamą ŠESD kiekį</w:t>
            </w:r>
          </w:p>
          <w:p w:rsidR="00B602AA" w:rsidRPr="00243E85" w:rsidRDefault="005C5300">
            <w:pPr>
              <w:pStyle w:val="ListParagraph"/>
              <w:numPr>
                <w:ilvl w:val="3"/>
                <w:numId w:val="1"/>
              </w:numPr>
              <w:spacing w:after="120" w:line="240" w:lineRule="auto"/>
              <w:contextualSpacing w:val="0"/>
              <w:rPr>
                <w:rFonts w:ascii="Times New Roman" w:hAnsi="Times New Roman" w:cs="Times New Roman"/>
                <w:b/>
                <w:noProof/>
              </w:rPr>
            </w:pPr>
            <w:r w:rsidRPr="00243E85">
              <w:rPr>
                <w:rFonts w:ascii="Times New Roman" w:hAnsi="Times New Roman"/>
                <w:noProof/>
              </w:rPr>
              <w:t>Pasaulinės energetikos tendencijos, tarptautinės iškastinio kuro kainos, ES ATLPS anglies dioksido kaina</w:t>
            </w:r>
          </w:p>
          <w:p w:rsidR="00B602AA" w:rsidRPr="00243E85" w:rsidRDefault="005C5300">
            <w:pPr>
              <w:pStyle w:val="ListParagraph"/>
              <w:numPr>
                <w:ilvl w:val="3"/>
                <w:numId w:val="1"/>
              </w:numPr>
              <w:spacing w:after="120" w:line="240" w:lineRule="auto"/>
              <w:contextualSpacing w:val="0"/>
              <w:rPr>
                <w:rFonts w:ascii="Times New Roman" w:hAnsi="Times New Roman" w:cs="Times New Roman"/>
                <w:b/>
                <w:noProof/>
              </w:rPr>
            </w:pPr>
            <w:r w:rsidRPr="00243E85">
              <w:rPr>
                <w:rFonts w:ascii="Times New Roman" w:hAnsi="Times New Roman"/>
                <w:noProof/>
              </w:rPr>
              <w:t>Technologijų kainų pokyčiai</w:t>
            </w:r>
          </w:p>
        </w:tc>
      </w:tr>
      <w:tr w:rsidR="00B602AA" w:rsidRPr="00243E85">
        <w:trPr>
          <w:trHeight w:val="283"/>
        </w:trPr>
        <w:tc>
          <w:tcPr>
            <w:tcW w:w="8928" w:type="dxa"/>
            <w:tcBorders>
              <w:bottom w:val="single" w:sz="4" w:space="0" w:color="auto"/>
            </w:tcBorders>
          </w:tcPr>
          <w:p w:rsidR="00B602AA" w:rsidRPr="00243E85" w:rsidRDefault="005C5300">
            <w:pPr>
              <w:pStyle w:val="ListParagraph"/>
              <w:numPr>
                <w:ilvl w:val="1"/>
                <w:numId w:val="1"/>
              </w:numPr>
              <w:spacing w:after="120" w:line="240" w:lineRule="auto"/>
              <w:contextualSpacing w:val="0"/>
              <w:rPr>
                <w:rFonts w:ascii="Times New Roman" w:hAnsi="Times New Roman" w:cs="Times New Roman"/>
                <w:b/>
                <w:noProof/>
              </w:rPr>
            </w:pPr>
            <w:r w:rsidRPr="00243E85">
              <w:rPr>
                <w:rFonts w:ascii="Times New Roman" w:hAnsi="Times New Roman"/>
                <w:b/>
                <w:noProof/>
              </w:rPr>
              <w:t>Priklausomybės nuo iškastinio kuro mažinimo aspektas</w:t>
            </w:r>
          </w:p>
          <w:p w:rsidR="00B602AA" w:rsidRPr="00243E85" w:rsidRDefault="005C5300">
            <w:pPr>
              <w:pStyle w:val="ListParagraph"/>
              <w:numPr>
                <w:ilvl w:val="2"/>
                <w:numId w:val="1"/>
              </w:numPr>
              <w:spacing w:after="120" w:line="240" w:lineRule="auto"/>
              <w:contextualSpacing w:val="0"/>
              <w:rPr>
                <w:rFonts w:ascii="Times New Roman" w:hAnsi="Times New Roman" w:cs="Times New Roman"/>
                <w:b/>
                <w:noProof/>
              </w:rPr>
            </w:pPr>
            <w:r w:rsidRPr="00243E85">
              <w:rPr>
                <w:rFonts w:ascii="Times New Roman" w:hAnsi="Times New Roman"/>
                <w:b/>
                <w:noProof/>
              </w:rPr>
              <w:t>ŠESD išmetimas ir šalinimas</w:t>
            </w:r>
          </w:p>
          <w:p w:rsidR="00B602AA" w:rsidRPr="00243E85" w:rsidRDefault="005C5300">
            <w:pPr>
              <w:pStyle w:val="ListParagraph"/>
              <w:numPr>
                <w:ilvl w:val="3"/>
                <w:numId w:val="1"/>
              </w:numPr>
              <w:spacing w:after="120" w:line="240" w:lineRule="auto"/>
              <w:contextualSpacing w:val="0"/>
              <w:rPr>
                <w:rFonts w:ascii="Times New Roman" w:hAnsi="Times New Roman" w:cs="Times New Roman"/>
                <w:noProof/>
              </w:rPr>
            </w:pPr>
            <w:r w:rsidRPr="00243E85">
              <w:rPr>
                <w:rFonts w:ascii="Times New Roman" w:hAnsi="Times New Roman"/>
                <w:noProof/>
              </w:rPr>
              <w:t xml:space="preserve">Dabartinio ŠESD išmetimo ir šalinimo tendencijos atsižvelgiant į ES apyvartinių taršos leidimų prekybos sistemą, Reglamentą [ ] [ESR], žemės naudojimo, žemės naudojimo keitimo ir miškininkystės sektorius, taip pat į įvairius energetikos sektorius </w:t>
            </w:r>
          </w:p>
          <w:p w:rsidR="00B602AA" w:rsidRPr="00243E85" w:rsidRDefault="005C5300">
            <w:pPr>
              <w:pStyle w:val="ListParagraph"/>
              <w:numPr>
                <w:ilvl w:val="3"/>
                <w:numId w:val="1"/>
              </w:numPr>
              <w:spacing w:after="120" w:line="240" w:lineRule="auto"/>
              <w:contextualSpacing w:val="0"/>
              <w:rPr>
                <w:rFonts w:ascii="Times New Roman" w:hAnsi="Times New Roman" w:cs="Times New Roman"/>
                <w:noProof/>
              </w:rPr>
            </w:pPr>
            <w:r w:rsidRPr="00243E85">
              <w:rPr>
                <w:rFonts w:ascii="Times New Roman" w:hAnsi="Times New Roman"/>
                <w:noProof/>
              </w:rPr>
              <w:t>Sektorių pokyčių prognozės atsižvelgiant į esamą nacionalinę ir ES politiką ir priemones bent iki 2040 m. (įskaitant 2030 m.)</w:t>
            </w:r>
          </w:p>
          <w:p w:rsidR="00B602AA" w:rsidRPr="00243E85" w:rsidRDefault="005C5300">
            <w:pPr>
              <w:pStyle w:val="ListParagraph"/>
              <w:numPr>
                <w:ilvl w:val="2"/>
                <w:numId w:val="1"/>
              </w:numPr>
              <w:spacing w:after="120" w:line="240" w:lineRule="auto"/>
              <w:contextualSpacing w:val="0"/>
              <w:rPr>
                <w:rFonts w:ascii="Times New Roman" w:hAnsi="Times New Roman" w:cs="Times New Roman"/>
                <w:b/>
                <w:noProof/>
              </w:rPr>
            </w:pPr>
            <w:r w:rsidRPr="00243E85">
              <w:rPr>
                <w:rFonts w:ascii="Times New Roman" w:hAnsi="Times New Roman"/>
                <w:b/>
                <w:noProof/>
              </w:rPr>
              <w:t xml:space="preserve">Atsinaujinančiųjų išteklių energija </w:t>
            </w:r>
          </w:p>
          <w:p w:rsidR="00B602AA" w:rsidRPr="00243E85" w:rsidRDefault="005C5300">
            <w:pPr>
              <w:pStyle w:val="ListParagraph"/>
              <w:numPr>
                <w:ilvl w:val="3"/>
                <w:numId w:val="1"/>
              </w:numPr>
              <w:spacing w:after="120" w:line="240" w:lineRule="auto"/>
              <w:contextualSpacing w:val="0"/>
              <w:rPr>
                <w:rFonts w:ascii="Times New Roman" w:hAnsi="Times New Roman" w:cs="Times New Roman"/>
                <w:noProof/>
              </w:rPr>
            </w:pPr>
            <w:r w:rsidRPr="00243E85">
              <w:rPr>
                <w:rFonts w:ascii="Times New Roman" w:hAnsi="Times New Roman"/>
                <w:noProof/>
              </w:rPr>
              <w:t>Dabartinė atsinaujinančiųjų išteklių energijos, palyginti su bendru suvartojamu galutinės energijos kiekiu, dalis įvairiuose (šildymo ir vėsinimo, elektros energijos, transporto) sektoriuose, taip pat taikant kiekvieną technologiją pagaminama tokios energijos dalis kiekviename iš šių sektorių</w:t>
            </w:r>
          </w:p>
          <w:p w:rsidR="00B602AA" w:rsidRPr="00243E85" w:rsidRDefault="005C5300">
            <w:pPr>
              <w:pStyle w:val="ListParagraph"/>
              <w:numPr>
                <w:ilvl w:val="3"/>
                <w:numId w:val="1"/>
              </w:numPr>
              <w:spacing w:after="120" w:line="240" w:lineRule="auto"/>
              <w:contextualSpacing w:val="0"/>
              <w:rPr>
                <w:rFonts w:ascii="Times New Roman" w:hAnsi="Times New Roman" w:cs="Times New Roman"/>
                <w:noProof/>
              </w:rPr>
            </w:pPr>
            <w:r w:rsidRPr="00243E85">
              <w:rPr>
                <w:rFonts w:ascii="Times New Roman" w:hAnsi="Times New Roman"/>
                <w:noProof/>
              </w:rPr>
              <w:t>Pokyčių prognozė atsižvelgiant į esamą nacionalinę ir ES politiką ir priemones bent iki 2040 m. (įskaitant 2030 m.)</w:t>
            </w:r>
          </w:p>
        </w:tc>
      </w:tr>
      <w:tr w:rsidR="00B602AA" w:rsidRPr="00243E85">
        <w:trPr>
          <w:trHeight w:val="416"/>
        </w:trPr>
        <w:tc>
          <w:tcPr>
            <w:tcW w:w="8928" w:type="dxa"/>
            <w:tcBorders>
              <w:bottom w:val="single" w:sz="4" w:space="0" w:color="auto"/>
            </w:tcBorders>
          </w:tcPr>
          <w:p w:rsidR="00B602AA" w:rsidRPr="00243E85" w:rsidRDefault="005C5300">
            <w:pPr>
              <w:pStyle w:val="ListParagraph"/>
              <w:numPr>
                <w:ilvl w:val="1"/>
                <w:numId w:val="1"/>
              </w:numPr>
              <w:spacing w:after="120" w:line="240" w:lineRule="auto"/>
              <w:contextualSpacing w:val="0"/>
              <w:rPr>
                <w:rFonts w:ascii="Times New Roman" w:hAnsi="Times New Roman" w:cs="Times New Roman"/>
                <w:b/>
                <w:noProof/>
              </w:rPr>
            </w:pPr>
            <w:r w:rsidRPr="00243E85">
              <w:rPr>
                <w:rFonts w:ascii="Times New Roman" w:hAnsi="Times New Roman"/>
                <w:b/>
                <w:noProof/>
              </w:rPr>
              <w:t xml:space="preserve">Energijos vartojimo efektyvumo aspektas </w:t>
            </w:r>
          </w:p>
          <w:p w:rsidR="00B602AA" w:rsidRPr="00243E85" w:rsidRDefault="005C5300">
            <w:pPr>
              <w:pStyle w:val="ListParagraph"/>
              <w:numPr>
                <w:ilvl w:val="3"/>
                <w:numId w:val="1"/>
              </w:numPr>
              <w:spacing w:after="120" w:line="240" w:lineRule="auto"/>
              <w:contextualSpacing w:val="0"/>
              <w:rPr>
                <w:rFonts w:ascii="Times New Roman" w:hAnsi="Times New Roman" w:cs="Times New Roman"/>
                <w:noProof/>
              </w:rPr>
            </w:pPr>
            <w:r w:rsidRPr="00243E85">
              <w:rPr>
                <w:rFonts w:ascii="Times New Roman" w:hAnsi="Times New Roman"/>
                <w:noProof/>
              </w:rPr>
              <w:t>Dabartinis pirminės ir galutinės energijos suvartojimas visame ūkyje ir kiekviename sektoriuje (įskaitant pramonės, būsto, paslaugų ir transporto sektorius)</w:t>
            </w:r>
          </w:p>
          <w:p w:rsidR="00B602AA" w:rsidRPr="00243E85" w:rsidRDefault="005C5300">
            <w:pPr>
              <w:pStyle w:val="ListParagraph"/>
              <w:numPr>
                <w:ilvl w:val="3"/>
                <w:numId w:val="1"/>
              </w:numPr>
              <w:spacing w:after="120" w:line="240" w:lineRule="auto"/>
              <w:contextualSpacing w:val="0"/>
              <w:rPr>
                <w:rFonts w:ascii="Times New Roman" w:hAnsi="Times New Roman" w:cs="Times New Roman"/>
                <w:noProof/>
              </w:rPr>
            </w:pPr>
            <w:r w:rsidRPr="00243E85">
              <w:rPr>
                <w:rFonts w:ascii="Times New Roman" w:hAnsi="Times New Roman"/>
                <w:noProof/>
              </w:rPr>
              <w:t xml:space="preserve">Didelio naudingumo kogeneracijos ir efektyvaus centralizuoto šilumos ir </w:t>
            </w:r>
            <w:r w:rsidRPr="00243E85">
              <w:rPr>
                <w:rFonts w:ascii="Times New Roman" w:hAnsi="Times New Roman"/>
                <w:noProof/>
              </w:rPr>
              <w:lastRenderedPageBreak/>
              <w:t>vėsumos tiekimo dabartinės galimybės</w:t>
            </w:r>
            <w:r w:rsidRPr="00243E85">
              <w:rPr>
                <w:rStyle w:val="FootnoteReference"/>
                <w:rFonts w:ascii="Times New Roman" w:hAnsi="Times New Roman"/>
                <w:noProof/>
              </w:rPr>
              <w:footnoteReference w:id="24"/>
            </w:r>
          </w:p>
          <w:p w:rsidR="00B602AA" w:rsidRPr="00243E85" w:rsidRDefault="005C5300">
            <w:pPr>
              <w:pStyle w:val="ListParagraph"/>
              <w:numPr>
                <w:ilvl w:val="3"/>
                <w:numId w:val="1"/>
              </w:numPr>
              <w:spacing w:after="120" w:line="240" w:lineRule="auto"/>
              <w:contextualSpacing w:val="0"/>
              <w:rPr>
                <w:rFonts w:ascii="Times New Roman" w:hAnsi="Times New Roman" w:cs="Times New Roman"/>
                <w:noProof/>
              </w:rPr>
            </w:pPr>
            <w:r w:rsidRPr="00243E85">
              <w:rPr>
                <w:rFonts w:ascii="Times New Roman" w:hAnsi="Times New Roman"/>
                <w:noProof/>
              </w:rPr>
              <w:t>Pirminės ir galutinės energijos suvartojimo kiekviename sektoriuje prognozės bent iki 2040 m. (įskaitant 2030 m.) atsižvelgiant į esamą energijos vartojimo efektyvumo politiką, priemones ir programas, nurodytas 1.2 punkto ii papunktyje</w:t>
            </w:r>
            <w:r w:rsidRPr="00243E85">
              <w:rPr>
                <w:rStyle w:val="FootnoteReference"/>
                <w:rFonts w:ascii="Times New Roman" w:hAnsi="Times New Roman"/>
                <w:noProof/>
              </w:rPr>
              <w:footnoteReference w:id="25"/>
            </w:r>
          </w:p>
          <w:p w:rsidR="00B602AA" w:rsidRPr="00243E85" w:rsidRDefault="005C5300">
            <w:pPr>
              <w:pStyle w:val="ListParagraph"/>
              <w:numPr>
                <w:ilvl w:val="3"/>
                <w:numId w:val="1"/>
              </w:numPr>
              <w:spacing w:after="120" w:line="240" w:lineRule="auto"/>
              <w:contextualSpacing w:val="0"/>
              <w:rPr>
                <w:rFonts w:ascii="Times New Roman" w:hAnsi="Times New Roman" w:cs="Times New Roman"/>
                <w:noProof/>
              </w:rPr>
            </w:pPr>
            <w:r w:rsidRPr="00243E85">
              <w:rPr>
                <w:rFonts w:ascii="Times New Roman" w:hAnsi="Times New Roman"/>
                <w:noProof/>
              </w:rPr>
              <w:t>Sąnaudų atžvilgiu optimalūs minimalūs energinio naudingumo reikalavimai, nustatyti remiantis nacionaliniu skaičiavimu, pagal Direktyvos 2010/31/ES 5 straipsnį</w:t>
            </w:r>
          </w:p>
        </w:tc>
      </w:tr>
      <w:tr w:rsidR="00B602AA" w:rsidRPr="00243E85">
        <w:trPr>
          <w:trHeight w:val="826"/>
        </w:trPr>
        <w:tc>
          <w:tcPr>
            <w:tcW w:w="8928" w:type="dxa"/>
            <w:tcBorders>
              <w:bottom w:val="single" w:sz="4" w:space="0" w:color="auto"/>
            </w:tcBorders>
          </w:tcPr>
          <w:p w:rsidR="00B602AA" w:rsidRPr="00243E85" w:rsidRDefault="005C5300">
            <w:pPr>
              <w:pStyle w:val="ListParagraph"/>
              <w:numPr>
                <w:ilvl w:val="1"/>
                <w:numId w:val="1"/>
              </w:numPr>
              <w:spacing w:after="120" w:line="240" w:lineRule="auto"/>
              <w:contextualSpacing w:val="0"/>
              <w:rPr>
                <w:rFonts w:ascii="Times New Roman" w:hAnsi="Times New Roman" w:cs="Times New Roman"/>
                <w:b/>
                <w:noProof/>
              </w:rPr>
            </w:pPr>
            <w:r w:rsidRPr="00243E85">
              <w:rPr>
                <w:rFonts w:ascii="Times New Roman" w:hAnsi="Times New Roman"/>
                <w:b/>
                <w:noProof/>
              </w:rPr>
              <w:lastRenderedPageBreak/>
              <w:t xml:space="preserve">Energetinio saugumo aspektas </w:t>
            </w:r>
          </w:p>
          <w:p w:rsidR="00B602AA" w:rsidRPr="00243E85" w:rsidRDefault="005C5300">
            <w:pPr>
              <w:pStyle w:val="ListParagraph"/>
              <w:numPr>
                <w:ilvl w:val="3"/>
                <w:numId w:val="1"/>
              </w:numPr>
              <w:spacing w:after="120" w:line="240" w:lineRule="auto"/>
              <w:contextualSpacing w:val="0"/>
              <w:rPr>
                <w:rFonts w:ascii="Times New Roman" w:hAnsi="Times New Roman" w:cs="Times New Roman"/>
                <w:noProof/>
              </w:rPr>
            </w:pPr>
            <w:r w:rsidRPr="00243E85">
              <w:rPr>
                <w:rFonts w:ascii="Times New Roman" w:hAnsi="Times New Roman"/>
                <w:noProof/>
              </w:rPr>
              <w:t>Dabartinis energijos rūšių derinys, vidaus energijos šaltiniai, priklausomumas nuo importo, įskaitant susijusią riziką</w:t>
            </w:r>
          </w:p>
          <w:p w:rsidR="00B602AA" w:rsidRPr="00243E85" w:rsidRDefault="005C5300">
            <w:pPr>
              <w:pStyle w:val="ListParagraph"/>
              <w:numPr>
                <w:ilvl w:val="3"/>
                <w:numId w:val="1"/>
              </w:numPr>
              <w:spacing w:after="120" w:line="240" w:lineRule="auto"/>
              <w:contextualSpacing w:val="0"/>
              <w:rPr>
                <w:rFonts w:ascii="Times New Roman" w:hAnsi="Times New Roman" w:cs="Times New Roman"/>
                <w:noProof/>
              </w:rPr>
            </w:pPr>
            <w:r w:rsidRPr="00243E85">
              <w:rPr>
                <w:rFonts w:ascii="Times New Roman" w:hAnsi="Times New Roman"/>
                <w:noProof/>
              </w:rPr>
              <w:t>Pokyčių prognozė atsižvelgiant į esamą nacionalinę ir ES politiką ir priemones bent iki 2040 m. (įskaitant 2030 m.)</w:t>
            </w:r>
          </w:p>
        </w:tc>
      </w:tr>
      <w:tr w:rsidR="00B602AA" w:rsidRPr="00243E85">
        <w:trPr>
          <w:trHeight w:val="826"/>
        </w:trPr>
        <w:tc>
          <w:tcPr>
            <w:tcW w:w="8928" w:type="dxa"/>
            <w:tcBorders>
              <w:bottom w:val="single" w:sz="4" w:space="0" w:color="auto"/>
            </w:tcBorders>
          </w:tcPr>
          <w:p w:rsidR="00B602AA" w:rsidRPr="00243E85" w:rsidRDefault="005C5300">
            <w:pPr>
              <w:pStyle w:val="ListParagraph"/>
              <w:numPr>
                <w:ilvl w:val="1"/>
                <w:numId w:val="1"/>
              </w:numPr>
              <w:spacing w:after="120" w:line="240" w:lineRule="auto"/>
              <w:contextualSpacing w:val="0"/>
              <w:rPr>
                <w:rFonts w:ascii="Times New Roman" w:hAnsi="Times New Roman" w:cs="Times New Roman"/>
                <w:b/>
                <w:noProof/>
              </w:rPr>
            </w:pPr>
            <w:r w:rsidRPr="00243E85">
              <w:rPr>
                <w:rFonts w:ascii="Times New Roman" w:hAnsi="Times New Roman"/>
                <w:b/>
                <w:noProof/>
              </w:rPr>
              <w:t>Energijos vidaus rinkos aspektas</w:t>
            </w:r>
          </w:p>
          <w:p w:rsidR="00B602AA" w:rsidRPr="00243E85" w:rsidRDefault="005C5300">
            <w:pPr>
              <w:pStyle w:val="ListParagraph"/>
              <w:numPr>
                <w:ilvl w:val="2"/>
                <w:numId w:val="1"/>
              </w:numPr>
              <w:spacing w:after="120" w:line="240" w:lineRule="auto"/>
              <w:contextualSpacing w:val="0"/>
              <w:rPr>
                <w:rFonts w:ascii="Times New Roman" w:hAnsi="Times New Roman" w:cs="Times New Roman"/>
                <w:b/>
                <w:noProof/>
              </w:rPr>
            </w:pPr>
            <w:r w:rsidRPr="00243E85">
              <w:rPr>
                <w:rFonts w:ascii="Times New Roman" w:hAnsi="Times New Roman"/>
                <w:b/>
                <w:noProof/>
              </w:rPr>
              <w:t xml:space="preserve">Elektros energijos tinklų sujungimo mastas </w:t>
            </w:r>
          </w:p>
          <w:p w:rsidR="00B602AA" w:rsidRPr="00243E85" w:rsidRDefault="005C5300">
            <w:pPr>
              <w:pStyle w:val="ListParagraph"/>
              <w:numPr>
                <w:ilvl w:val="3"/>
                <w:numId w:val="1"/>
              </w:numPr>
              <w:spacing w:after="120" w:line="240" w:lineRule="auto"/>
              <w:contextualSpacing w:val="0"/>
              <w:rPr>
                <w:rFonts w:ascii="Times New Roman" w:hAnsi="Times New Roman" w:cs="Times New Roman"/>
                <w:noProof/>
              </w:rPr>
            </w:pPr>
            <w:r w:rsidRPr="00243E85">
              <w:rPr>
                <w:rFonts w:ascii="Times New Roman" w:hAnsi="Times New Roman"/>
                <w:noProof/>
              </w:rPr>
              <w:t>Dabartinis tinklų sujungimo mastas ir pagrindinės jungtys</w:t>
            </w:r>
            <w:r w:rsidRPr="00243E85">
              <w:rPr>
                <w:rStyle w:val="FootnoteReference"/>
                <w:rFonts w:ascii="Times New Roman" w:hAnsi="Times New Roman"/>
                <w:noProof/>
              </w:rPr>
              <w:footnoteReference w:id="26"/>
            </w:r>
            <w:r w:rsidRPr="00243E85">
              <w:rPr>
                <w:rFonts w:ascii="Times New Roman" w:hAnsi="Times New Roman"/>
                <w:noProof/>
              </w:rPr>
              <w:t xml:space="preserve">  </w:t>
            </w:r>
          </w:p>
          <w:p w:rsidR="00B602AA" w:rsidRPr="00243E85" w:rsidRDefault="005C5300">
            <w:pPr>
              <w:pStyle w:val="ListParagraph"/>
              <w:numPr>
                <w:ilvl w:val="3"/>
                <w:numId w:val="1"/>
              </w:numPr>
              <w:spacing w:after="120" w:line="240" w:lineRule="auto"/>
              <w:contextualSpacing w:val="0"/>
              <w:rPr>
                <w:rFonts w:ascii="Times New Roman" w:hAnsi="Times New Roman" w:cs="Times New Roman"/>
                <w:noProof/>
              </w:rPr>
            </w:pPr>
            <w:r w:rsidRPr="00243E85">
              <w:rPr>
                <w:rFonts w:ascii="Times New Roman" w:hAnsi="Times New Roman"/>
                <w:noProof/>
              </w:rPr>
              <w:t>Poreikio plėtoti jungtis prognozės bent iki 2040 m. (įskaitant 2030 m.)</w:t>
            </w:r>
            <w:r w:rsidRPr="00243E85">
              <w:rPr>
                <w:rStyle w:val="FootnoteReference"/>
                <w:rFonts w:ascii="Times New Roman" w:hAnsi="Times New Roman"/>
                <w:noProof/>
              </w:rPr>
              <w:footnoteReference w:id="27"/>
            </w:r>
          </w:p>
          <w:p w:rsidR="00B602AA" w:rsidRPr="00243E85" w:rsidRDefault="005C5300">
            <w:pPr>
              <w:pStyle w:val="ListParagraph"/>
              <w:numPr>
                <w:ilvl w:val="2"/>
                <w:numId w:val="1"/>
              </w:numPr>
              <w:spacing w:after="120" w:line="240" w:lineRule="auto"/>
              <w:contextualSpacing w:val="0"/>
              <w:rPr>
                <w:rFonts w:ascii="Times New Roman" w:hAnsi="Times New Roman" w:cs="Times New Roman"/>
                <w:b/>
                <w:noProof/>
              </w:rPr>
            </w:pPr>
            <w:r w:rsidRPr="00243E85">
              <w:rPr>
                <w:rFonts w:ascii="Times New Roman" w:hAnsi="Times New Roman"/>
                <w:b/>
                <w:noProof/>
              </w:rPr>
              <w:t xml:space="preserve">Energijos perdavimo infrastruktūra </w:t>
            </w:r>
          </w:p>
          <w:p w:rsidR="00B602AA" w:rsidRPr="00243E85" w:rsidRDefault="005C5300">
            <w:pPr>
              <w:pStyle w:val="ListParagraph"/>
              <w:numPr>
                <w:ilvl w:val="3"/>
                <w:numId w:val="1"/>
              </w:numPr>
              <w:spacing w:after="120" w:line="240" w:lineRule="auto"/>
              <w:contextualSpacing w:val="0"/>
              <w:rPr>
                <w:rFonts w:ascii="Times New Roman" w:hAnsi="Times New Roman" w:cs="Times New Roman"/>
                <w:noProof/>
              </w:rPr>
            </w:pPr>
            <w:r w:rsidRPr="00243E85">
              <w:rPr>
                <w:rFonts w:ascii="Times New Roman" w:hAnsi="Times New Roman"/>
                <w:noProof/>
              </w:rPr>
              <w:t>Esamos elektros energijos ir dujų perdavimo infrastruktūros pagrindinės charakteristikos</w:t>
            </w:r>
            <w:r w:rsidRPr="00243E85">
              <w:rPr>
                <w:rStyle w:val="FootnoteReference"/>
                <w:rFonts w:ascii="Times New Roman" w:hAnsi="Times New Roman"/>
                <w:noProof/>
              </w:rPr>
              <w:footnoteReference w:id="28"/>
            </w:r>
            <w:r w:rsidRPr="00243E85">
              <w:rPr>
                <w:rFonts w:ascii="Times New Roman" w:hAnsi="Times New Roman"/>
                <w:noProof/>
              </w:rPr>
              <w:t xml:space="preserve"> </w:t>
            </w:r>
          </w:p>
          <w:p w:rsidR="00B602AA" w:rsidRPr="00243E85" w:rsidRDefault="005C5300">
            <w:pPr>
              <w:pStyle w:val="ListParagraph"/>
              <w:numPr>
                <w:ilvl w:val="3"/>
                <w:numId w:val="1"/>
              </w:numPr>
              <w:spacing w:after="120" w:line="240" w:lineRule="auto"/>
              <w:contextualSpacing w:val="0"/>
              <w:rPr>
                <w:rFonts w:ascii="Times New Roman" w:hAnsi="Times New Roman" w:cs="Times New Roman"/>
                <w:noProof/>
              </w:rPr>
            </w:pPr>
            <w:r w:rsidRPr="00243E85">
              <w:rPr>
                <w:rFonts w:ascii="Times New Roman" w:hAnsi="Times New Roman"/>
                <w:noProof/>
              </w:rPr>
              <w:t>Poreikio plėtoti tinklus prognozės bent iki 2040 m. (įskaitant 2030 m.)</w:t>
            </w:r>
            <w:r w:rsidRPr="00243E85">
              <w:rPr>
                <w:rStyle w:val="FootnoteReference"/>
                <w:rFonts w:ascii="Times New Roman" w:hAnsi="Times New Roman"/>
                <w:noProof/>
              </w:rPr>
              <w:footnoteReference w:id="29"/>
            </w:r>
            <w:r w:rsidRPr="00243E85">
              <w:rPr>
                <w:rFonts w:ascii="Times New Roman" w:hAnsi="Times New Roman"/>
                <w:noProof/>
              </w:rPr>
              <w:t xml:space="preserve"> </w:t>
            </w:r>
          </w:p>
          <w:p w:rsidR="00B602AA" w:rsidRPr="00243E85" w:rsidRDefault="005C5300">
            <w:pPr>
              <w:pStyle w:val="ListParagraph"/>
              <w:numPr>
                <w:ilvl w:val="2"/>
                <w:numId w:val="1"/>
              </w:numPr>
              <w:spacing w:after="120" w:line="240" w:lineRule="auto"/>
              <w:ind w:left="1483" w:hanging="763"/>
              <w:contextualSpacing w:val="0"/>
              <w:rPr>
                <w:rFonts w:ascii="Times New Roman" w:hAnsi="Times New Roman" w:cs="Times New Roman"/>
                <w:b/>
                <w:noProof/>
              </w:rPr>
            </w:pPr>
            <w:r w:rsidRPr="00243E85">
              <w:rPr>
                <w:rFonts w:ascii="Times New Roman" w:hAnsi="Times New Roman"/>
                <w:b/>
                <w:noProof/>
              </w:rPr>
              <w:t>Elektros energijos ir dujų rinkos, energijos kainos</w:t>
            </w:r>
          </w:p>
          <w:p w:rsidR="00B602AA" w:rsidRPr="00243E85" w:rsidRDefault="005C5300">
            <w:pPr>
              <w:pStyle w:val="ListParagraph"/>
              <w:numPr>
                <w:ilvl w:val="3"/>
                <w:numId w:val="1"/>
              </w:numPr>
              <w:spacing w:after="120" w:line="240" w:lineRule="auto"/>
              <w:contextualSpacing w:val="0"/>
              <w:rPr>
                <w:rFonts w:ascii="Times New Roman" w:hAnsi="Times New Roman" w:cs="Times New Roman"/>
                <w:noProof/>
              </w:rPr>
            </w:pPr>
            <w:r w:rsidRPr="00243E85">
              <w:rPr>
                <w:rFonts w:ascii="Times New Roman" w:hAnsi="Times New Roman"/>
                <w:noProof/>
              </w:rPr>
              <w:t xml:space="preserve">Dabartinė padėtis elektros energijos ir dujų rinkose, įskaitant energijos kainas </w:t>
            </w:r>
          </w:p>
          <w:p w:rsidR="00B602AA" w:rsidRPr="00243E85" w:rsidRDefault="005C5300">
            <w:pPr>
              <w:pStyle w:val="ListParagraph"/>
              <w:numPr>
                <w:ilvl w:val="3"/>
                <w:numId w:val="1"/>
              </w:numPr>
              <w:spacing w:after="120" w:line="240" w:lineRule="auto"/>
              <w:contextualSpacing w:val="0"/>
              <w:rPr>
                <w:rFonts w:ascii="Times New Roman" w:hAnsi="Times New Roman" w:cs="Times New Roman"/>
                <w:b/>
                <w:noProof/>
              </w:rPr>
            </w:pPr>
            <w:r w:rsidRPr="00243E85">
              <w:rPr>
                <w:rFonts w:ascii="Times New Roman" w:hAnsi="Times New Roman"/>
                <w:noProof/>
              </w:rPr>
              <w:t>Pokyčių prognozė atsižvelgiant į esamą nacionalinę ir ES politiką ir priemones bent iki 2040 m. (įskaitant 2030 m.)</w:t>
            </w:r>
          </w:p>
        </w:tc>
      </w:tr>
      <w:tr w:rsidR="00B602AA" w:rsidRPr="00243E85">
        <w:trPr>
          <w:trHeight w:val="283"/>
        </w:trPr>
        <w:tc>
          <w:tcPr>
            <w:tcW w:w="8928" w:type="dxa"/>
            <w:tcBorders>
              <w:bottom w:val="single" w:sz="4" w:space="0" w:color="auto"/>
            </w:tcBorders>
          </w:tcPr>
          <w:p w:rsidR="00B602AA" w:rsidRPr="00243E85" w:rsidRDefault="005C5300">
            <w:pPr>
              <w:pStyle w:val="ListParagraph"/>
              <w:numPr>
                <w:ilvl w:val="1"/>
                <w:numId w:val="1"/>
              </w:numPr>
              <w:spacing w:after="120" w:line="240" w:lineRule="auto"/>
              <w:contextualSpacing w:val="0"/>
              <w:rPr>
                <w:rFonts w:ascii="Times New Roman" w:hAnsi="Times New Roman" w:cs="Times New Roman"/>
                <w:b/>
                <w:noProof/>
              </w:rPr>
            </w:pPr>
            <w:r w:rsidRPr="00243E85">
              <w:rPr>
                <w:rFonts w:ascii="Times New Roman" w:hAnsi="Times New Roman"/>
                <w:b/>
                <w:noProof/>
              </w:rPr>
              <w:t>Mokslinių tyrimų, inovacijų ir konkurencingumo aspektas</w:t>
            </w:r>
          </w:p>
          <w:p w:rsidR="00B602AA" w:rsidRPr="00243E85" w:rsidRDefault="005C5300">
            <w:pPr>
              <w:pStyle w:val="ListParagraph"/>
              <w:numPr>
                <w:ilvl w:val="3"/>
                <w:numId w:val="1"/>
              </w:numPr>
              <w:spacing w:after="120" w:line="240" w:lineRule="auto"/>
              <w:contextualSpacing w:val="0"/>
              <w:rPr>
                <w:rFonts w:ascii="Times New Roman" w:hAnsi="Times New Roman" w:cs="Times New Roman"/>
                <w:noProof/>
              </w:rPr>
            </w:pPr>
            <w:r w:rsidRPr="00243E85">
              <w:rPr>
                <w:rFonts w:ascii="Times New Roman" w:hAnsi="Times New Roman"/>
                <w:noProof/>
              </w:rPr>
              <w:t xml:space="preserve">Dabartinė situacija mažo anglies dioksido kiekio technologijų sektoriuje ir jo pozicija pasaulinėje rinkoje </w:t>
            </w:r>
          </w:p>
          <w:p w:rsidR="00B602AA" w:rsidRPr="00243E85" w:rsidRDefault="005C5300">
            <w:pPr>
              <w:pStyle w:val="ListParagraph"/>
              <w:numPr>
                <w:ilvl w:val="3"/>
                <w:numId w:val="1"/>
              </w:numPr>
              <w:spacing w:after="120" w:line="240" w:lineRule="auto"/>
              <w:contextualSpacing w:val="0"/>
              <w:rPr>
                <w:rFonts w:ascii="Times New Roman" w:hAnsi="Times New Roman" w:cs="Times New Roman"/>
                <w:noProof/>
              </w:rPr>
            </w:pPr>
            <w:r w:rsidRPr="00243E85">
              <w:rPr>
                <w:rFonts w:ascii="Times New Roman" w:hAnsi="Times New Roman"/>
                <w:noProof/>
              </w:rPr>
              <w:t>Dabartinis viešųjų ir privačiųjų mokslinių tyrimų ir inovacijų išlaidų, skiriamų mažo anglies dioksido kiekio technologijoms, lygis, dabartinis patentų skaičius ir dabartinis tyrėjų skaičius</w:t>
            </w:r>
          </w:p>
          <w:p w:rsidR="00B602AA" w:rsidRPr="00243E85" w:rsidRDefault="005C5300">
            <w:pPr>
              <w:pStyle w:val="ListParagraph"/>
              <w:numPr>
                <w:ilvl w:val="3"/>
                <w:numId w:val="1"/>
              </w:numPr>
              <w:spacing w:after="120" w:line="240" w:lineRule="auto"/>
              <w:contextualSpacing w:val="0"/>
              <w:rPr>
                <w:rFonts w:ascii="Times New Roman" w:hAnsi="Times New Roman" w:cs="Times New Roman"/>
                <w:noProof/>
              </w:rPr>
            </w:pPr>
            <w:r w:rsidRPr="00243E85">
              <w:rPr>
                <w:rFonts w:ascii="Times New Roman" w:hAnsi="Times New Roman"/>
                <w:noProof/>
              </w:rPr>
              <w:t>Dabartinis energijos sąnaudų lygis, įskaitant tarptautinį kontekstą</w:t>
            </w:r>
          </w:p>
          <w:p w:rsidR="00B602AA" w:rsidRPr="00243E85" w:rsidRDefault="005C5300">
            <w:pPr>
              <w:pStyle w:val="ListParagraph"/>
              <w:numPr>
                <w:ilvl w:val="3"/>
                <w:numId w:val="1"/>
              </w:numPr>
              <w:spacing w:after="120" w:line="240" w:lineRule="auto"/>
              <w:contextualSpacing w:val="0"/>
              <w:rPr>
                <w:rFonts w:ascii="Times New Roman" w:hAnsi="Times New Roman" w:cs="Times New Roman"/>
                <w:noProof/>
              </w:rPr>
            </w:pPr>
            <w:r w:rsidRPr="00243E85">
              <w:rPr>
                <w:rFonts w:ascii="Times New Roman" w:hAnsi="Times New Roman"/>
                <w:noProof/>
              </w:rPr>
              <w:t>i–iii papunkčiuose nurodytų veiksnių pokyčių prognozė atsižvelgiant į esamą nacionalinę ir ES politiką ir priemones bent iki 2040 m. (įskaitant 2030 m.)</w:t>
            </w:r>
          </w:p>
        </w:tc>
      </w:tr>
      <w:tr w:rsidR="00B602AA" w:rsidRPr="00243E85">
        <w:trPr>
          <w:trHeight w:val="406"/>
        </w:trPr>
        <w:tc>
          <w:tcPr>
            <w:tcW w:w="8928" w:type="dxa"/>
            <w:shd w:val="clear" w:color="auto" w:fill="D9D9D9" w:themeFill="background1" w:themeFillShade="D9"/>
          </w:tcPr>
          <w:p w:rsidR="00B602AA" w:rsidRPr="00243E85" w:rsidRDefault="005C5300">
            <w:pPr>
              <w:pStyle w:val="ListParagraph"/>
              <w:numPr>
                <w:ilvl w:val="0"/>
                <w:numId w:val="1"/>
              </w:numPr>
              <w:spacing w:after="120" w:line="240" w:lineRule="auto"/>
              <w:contextualSpacing w:val="0"/>
              <w:rPr>
                <w:rFonts w:ascii="Times New Roman" w:hAnsi="Times New Roman" w:cs="Times New Roman"/>
                <w:b/>
                <w:noProof/>
              </w:rPr>
            </w:pPr>
            <w:r w:rsidRPr="00243E85">
              <w:rPr>
                <w:rFonts w:ascii="Times New Roman" w:hAnsi="Times New Roman"/>
                <w:b/>
                <w:noProof/>
              </w:rPr>
              <w:lastRenderedPageBreak/>
              <w:t>PLANUOJAMOS POLITIKOS IR PRIEMONIŲ</w:t>
            </w:r>
            <w:r w:rsidRPr="00243E85">
              <w:rPr>
                <w:rStyle w:val="FootnoteReference"/>
                <w:rFonts w:ascii="Times New Roman" w:hAnsi="Times New Roman"/>
                <w:b/>
                <w:noProof/>
              </w:rPr>
              <w:footnoteReference w:id="30"/>
            </w:r>
            <w:r w:rsidRPr="00243E85">
              <w:rPr>
                <w:rFonts w:ascii="Times New Roman" w:hAnsi="Times New Roman"/>
                <w:b/>
                <w:noProof/>
              </w:rPr>
              <w:t xml:space="preserve"> POVEIKIO VERTINIMAS</w:t>
            </w:r>
          </w:p>
        </w:tc>
      </w:tr>
      <w:tr w:rsidR="00B602AA" w:rsidRPr="00243E85">
        <w:trPr>
          <w:trHeight w:val="274"/>
        </w:trPr>
        <w:tc>
          <w:tcPr>
            <w:tcW w:w="8928" w:type="dxa"/>
          </w:tcPr>
          <w:p w:rsidR="00B602AA" w:rsidRPr="00243E85" w:rsidRDefault="005C5300">
            <w:pPr>
              <w:pStyle w:val="ListParagraph"/>
              <w:numPr>
                <w:ilvl w:val="1"/>
                <w:numId w:val="1"/>
              </w:numPr>
              <w:spacing w:after="120" w:line="240" w:lineRule="auto"/>
              <w:contextualSpacing w:val="0"/>
              <w:rPr>
                <w:rFonts w:ascii="Times New Roman" w:hAnsi="Times New Roman" w:cs="Times New Roman"/>
                <w:noProof/>
              </w:rPr>
            </w:pPr>
            <w:r w:rsidRPr="00243E85">
              <w:rPr>
                <w:rFonts w:ascii="Times New Roman" w:hAnsi="Times New Roman"/>
                <w:b/>
                <w:noProof/>
              </w:rPr>
              <w:t>3 skirsnyje aprašytos planuojamos politikos ir priemonių poveikis energetikos sistemai ir išmetamam ir pašalinamam ŠESD kiekiui</w:t>
            </w:r>
            <w:r w:rsidRPr="00243E85">
              <w:rPr>
                <w:rFonts w:ascii="Times New Roman" w:hAnsi="Times New Roman"/>
                <w:noProof/>
              </w:rPr>
              <w:t>, įskaitant palyginimą su prognozėmis pagal esamą politiką ir priemones (kaip aprašyta 4 skirsnyje)</w:t>
            </w:r>
          </w:p>
          <w:p w:rsidR="00B602AA" w:rsidRPr="00243E85" w:rsidRDefault="005C5300" w:rsidP="002A64C6">
            <w:pPr>
              <w:pStyle w:val="ListParagraph"/>
              <w:numPr>
                <w:ilvl w:val="3"/>
                <w:numId w:val="1"/>
              </w:numPr>
              <w:spacing w:after="120" w:line="240" w:lineRule="auto"/>
              <w:contextualSpacing w:val="0"/>
              <w:rPr>
                <w:rFonts w:ascii="Times New Roman" w:hAnsi="Times New Roman" w:cs="Times New Roman"/>
                <w:noProof/>
              </w:rPr>
            </w:pPr>
            <w:r w:rsidRPr="00243E85">
              <w:rPr>
                <w:rFonts w:ascii="Times New Roman" w:hAnsi="Times New Roman"/>
                <w:noProof/>
              </w:rPr>
              <w:t>Prognozės, kaip, taikant planuojamas priemones, įskaitant susijusią ES politiką ir priemones, energetikos sistema ir išmetamas ir pašalinamas ŠESD kiekis, taip pat išmetamųjų oro teršalų kiekis pagal Direktyvą [žr. pasiūlymą COM(2013)0920]</w:t>
            </w:r>
            <w:r w:rsidRPr="00243E85">
              <w:rPr>
                <w:rStyle w:val="FootnoteReference"/>
                <w:rFonts w:ascii="Times New Roman" w:hAnsi="Times New Roman"/>
                <w:noProof/>
              </w:rPr>
              <w:footnoteReference w:id="31"/>
            </w:r>
            <w:r w:rsidRPr="00243E85">
              <w:rPr>
                <w:rFonts w:ascii="Times New Roman" w:hAnsi="Times New Roman"/>
                <w:noProof/>
              </w:rPr>
              <w:t xml:space="preserve"> keisis bent per dešimtmetį po laikotarpio, kurį apima planas (įskaitant paskutiniuosius laikotarpio, kurį apima planas, metus)</w:t>
            </w:r>
          </w:p>
          <w:p w:rsidR="00B602AA" w:rsidRPr="00243E85" w:rsidRDefault="005C5300">
            <w:pPr>
              <w:pStyle w:val="ListParagraph"/>
              <w:numPr>
                <w:ilvl w:val="3"/>
                <w:numId w:val="1"/>
              </w:numPr>
              <w:spacing w:after="120" w:line="240" w:lineRule="auto"/>
              <w:contextualSpacing w:val="0"/>
              <w:rPr>
                <w:rFonts w:ascii="Times New Roman" w:hAnsi="Times New Roman" w:cs="Times New Roman"/>
                <w:noProof/>
              </w:rPr>
            </w:pPr>
            <w:r w:rsidRPr="00243E85">
              <w:rPr>
                <w:rFonts w:ascii="Times New Roman" w:hAnsi="Times New Roman"/>
                <w:noProof/>
              </w:rPr>
              <w:t>Įvairių politikos krypčių (esamos ir planuojamos politikos ir priemonių sąveika vienoje politinėje sferoje, taip pat esamos ir planuojamos politikos ir priemonių sąveika įvairiose sferose) sąveikos bent iki paskutiniųjų laikotarpio, kurį apima planas, metų vertinimas</w:t>
            </w:r>
          </w:p>
        </w:tc>
      </w:tr>
      <w:tr w:rsidR="00B602AA" w:rsidRPr="00243E85">
        <w:trPr>
          <w:trHeight w:val="548"/>
        </w:trPr>
        <w:tc>
          <w:tcPr>
            <w:tcW w:w="8928" w:type="dxa"/>
          </w:tcPr>
          <w:p w:rsidR="00B602AA" w:rsidRPr="00243E85" w:rsidRDefault="005C5300">
            <w:pPr>
              <w:pStyle w:val="ListParagraph"/>
              <w:numPr>
                <w:ilvl w:val="1"/>
                <w:numId w:val="1"/>
              </w:numPr>
              <w:spacing w:after="120" w:line="240" w:lineRule="auto"/>
              <w:contextualSpacing w:val="0"/>
              <w:rPr>
                <w:rFonts w:ascii="Times New Roman" w:hAnsi="Times New Roman" w:cs="Times New Roman"/>
                <w:b/>
                <w:noProof/>
              </w:rPr>
            </w:pPr>
            <w:r w:rsidRPr="00243E85">
              <w:rPr>
                <w:rFonts w:ascii="Times New Roman" w:hAnsi="Times New Roman"/>
                <w:b/>
                <w:noProof/>
              </w:rPr>
              <w:t xml:space="preserve">3 skirsnyje aprašytos planuojamos politikos ir priemonių poveikis (vertinant pagal sąnaudas ir naudą, taip pat pagal sąnaudų efektyvumą) makroekonomikos, aplinkos apsaugos, gebėjimų ir socialiniu atžvilgiais </w:t>
            </w:r>
            <w:r w:rsidRPr="00243E85">
              <w:rPr>
                <w:rFonts w:ascii="Times New Roman" w:hAnsi="Times New Roman"/>
                <w:noProof/>
              </w:rPr>
              <w:t>bent iki paskutiniųjų laikotarpio, kurį apima planas, metų, įskaitant palyginimą su prognozėmis pagal esamą politiką ir priemones</w:t>
            </w:r>
            <w:r w:rsidRPr="00243E85">
              <w:rPr>
                <w:rFonts w:ascii="Times New Roman" w:hAnsi="Times New Roman"/>
                <w:b/>
                <w:noProof/>
              </w:rPr>
              <w:t xml:space="preserve">  </w:t>
            </w:r>
          </w:p>
        </w:tc>
      </w:tr>
      <w:tr w:rsidR="00B602AA" w:rsidRPr="00243E85">
        <w:tc>
          <w:tcPr>
            <w:tcW w:w="8928" w:type="dxa"/>
          </w:tcPr>
          <w:p w:rsidR="00B602AA" w:rsidRPr="00243E85" w:rsidRDefault="005C5300">
            <w:pPr>
              <w:pStyle w:val="ListParagraph"/>
              <w:numPr>
                <w:ilvl w:val="1"/>
                <w:numId w:val="1"/>
              </w:numPr>
              <w:spacing w:after="120" w:line="240" w:lineRule="auto"/>
              <w:contextualSpacing w:val="0"/>
              <w:rPr>
                <w:rFonts w:ascii="Times New Roman" w:hAnsi="Times New Roman" w:cs="Times New Roman"/>
                <w:b/>
                <w:noProof/>
              </w:rPr>
            </w:pPr>
            <w:r w:rsidRPr="00243E85">
              <w:rPr>
                <w:rFonts w:ascii="Times New Roman" w:hAnsi="Times New Roman"/>
                <w:b/>
                <w:noProof/>
              </w:rPr>
              <w:t xml:space="preserve">3 skirsnyje aprašytos planuojamos politikos ir priemonių poveikis kitoms valstybėms narėms ir regioniniam bendradarbiavimui </w:t>
            </w:r>
            <w:r w:rsidRPr="00243E85">
              <w:rPr>
                <w:rFonts w:ascii="Times New Roman" w:hAnsi="Times New Roman"/>
                <w:noProof/>
              </w:rPr>
              <w:t>bent iki paskutiniųjų laikotarpio, kurį apima planas, metų, įskaitant palyginimą su prognozėmis pagal esamą politiką ir priemones</w:t>
            </w:r>
          </w:p>
          <w:p w:rsidR="00B602AA" w:rsidRPr="00243E85" w:rsidRDefault="005C5300">
            <w:pPr>
              <w:pStyle w:val="ListParagraph"/>
              <w:numPr>
                <w:ilvl w:val="3"/>
                <w:numId w:val="1"/>
              </w:numPr>
              <w:spacing w:after="120" w:line="240" w:lineRule="auto"/>
              <w:contextualSpacing w:val="0"/>
              <w:rPr>
                <w:rFonts w:ascii="Times New Roman" w:hAnsi="Times New Roman" w:cs="Times New Roman"/>
                <w:noProof/>
              </w:rPr>
            </w:pPr>
            <w:r w:rsidRPr="00243E85">
              <w:rPr>
                <w:rFonts w:ascii="Times New Roman" w:hAnsi="Times New Roman"/>
                <w:noProof/>
              </w:rPr>
              <w:t>Poveikis energetikos sistemai regiono kaimyninėse ir kitose valstybėse narėse kuo didesniu mastu</w:t>
            </w:r>
          </w:p>
          <w:p w:rsidR="00B602AA" w:rsidRPr="00243E85" w:rsidRDefault="005C5300">
            <w:pPr>
              <w:pStyle w:val="ListParagraph"/>
              <w:numPr>
                <w:ilvl w:val="3"/>
                <w:numId w:val="1"/>
              </w:numPr>
              <w:spacing w:after="120" w:line="240" w:lineRule="auto"/>
              <w:contextualSpacing w:val="0"/>
              <w:rPr>
                <w:rFonts w:ascii="Times New Roman" w:hAnsi="Times New Roman" w:cs="Times New Roman"/>
                <w:noProof/>
              </w:rPr>
            </w:pPr>
            <w:r w:rsidRPr="00243E85">
              <w:rPr>
                <w:rFonts w:ascii="Times New Roman" w:hAnsi="Times New Roman"/>
                <w:noProof/>
              </w:rPr>
              <w:t>Poveikis energijos kainoms, komunalinių ir energetikos rinkų integravimui</w:t>
            </w:r>
          </w:p>
          <w:p w:rsidR="00B602AA" w:rsidRPr="00243E85" w:rsidRDefault="005C5300">
            <w:pPr>
              <w:pStyle w:val="ListParagraph"/>
              <w:numPr>
                <w:ilvl w:val="3"/>
                <w:numId w:val="1"/>
              </w:numPr>
              <w:spacing w:after="120" w:line="240" w:lineRule="auto"/>
              <w:contextualSpacing w:val="0"/>
              <w:rPr>
                <w:rFonts w:ascii="Times New Roman" w:hAnsi="Times New Roman" w:cs="Times New Roman"/>
                <w:b/>
                <w:noProof/>
              </w:rPr>
            </w:pPr>
            <w:r w:rsidRPr="00243E85">
              <w:rPr>
                <w:rFonts w:ascii="Times New Roman" w:hAnsi="Times New Roman"/>
                <w:noProof/>
              </w:rPr>
              <w:t>Poveikis regioniniam bendradarbiavimui</w:t>
            </w:r>
          </w:p>
        </w:tc>
      </w:tr>
    </w:tbl>
    <w:p w:rsidR="00B602AA" w:rsidRPr="00243E85" w:rsidRDefault="00B602AA">
      <w:pPr>
        <w:rPr>
          <w:noProof/>
        </w:rPr>
      </w:pPr>
    </w:p>
    <w:p w:rsidR="00B532D7" w:rsidRPr="00243E85" w:rsidRDefault="005C5300" w:rsidP="00056BCA">
      <w:pPr>
        <w:jc w:val="center"/>
        <w:rPr>
          <w:rFonts w:eastAsia="Times New Roman"/>
          <w:b/>
          <w:noProof/>
          <w:color w:val="000000"/>
          <w:szCs w:val="24"/>
        </w:rPr>
      </w:pPr>
      <w:r w:rsidRPr="00243E85">
        <w:rPr>
          <w:b/>
          <w:noProof/>
          <w:color w:val="000000"/>
        </w:rPr>
        <w:t>2 dalis</w:t>
      </w:r>
    </w:p>
    <w:p w:rsidR="00B602AA" w:rsidRPr="00243E85" w:rsidRDefault="005C5300" w:rsidP="00056BCA">
      <w:pPr>
        <w:jc w:val="center"/>
        <w:rPr>
          <w:rFonts w:eastAsia="Times New Roman"/>
          <w:i/>
          <w:noProof/>
          <w:color w:val="000000"/>
          <w:szCs w:val="24"/>
        </w:rPr>
      </w:pPr>
      <w:r w:rsidRPr="00243E85">
        <w:rPr>
          <w:i/>
          <w:noProof/>
          <w:color w:val="000000"/>
        </w:rPr>
        <w:t>Parametrų ir kintamųjų, kurie turi būti įrašomi į plano B dalį, sąrašas</w:t>
      </w:r>
      <w:r w:rsidRPr="00243E85">
        <w:rPr>
          <w:rStyle w:val="FootnoteReference"/>
          <w:i/>
          <w:noProof/>
          <w:color w:val="000000"/>
        </w:rPr>
        <w:footnoteReference w:id="32"/>
      </w:r>
      <w:r w:rsidRPr="00243E85">
        <w:rPr>
          <w:i/>
          <w:noProof/>
          <w:color w:val="000000"/>
        </w:rPr>
        <w:t xml:space="preserve"> </w:t>
      </w:r>
      <w:r w:rsidRPr="00243E85">
        <w:rPr>
          <w:rStyle w:val="FootnoteReference"/>
          <w:i/>
          <w:noProof/>
          <w:color w:val="000000"/>
        </w:rPr>
        <w:footnoteReference w:id="33"/>
      </w:r>
      <w:r w:rsidRPr="00243E85">
        <w:rPr>
          <w:i/>
          <w:noProof/>
          <w:color w:val="000000"/>
        </w:rPr>
        <w:t xml:space="preserve"> </w:t>
      </w:r>
      <w:r w:rsidRPr="00243E85">
        <w:rPr>
          <w:rStyle w:val="FootnoteReference"/>
          <w:i/>
          <w:noProof/>
          <w:color w:val="000000"/>
        </w:rPr>
        <w:footnoteReference w:id="34"/>
      </w:r>
      <w:r w:rsidRPr="00243E85">
        <w:rPr>
          <w:i/>
          <w:noProof/>
          <w:color w:val="000000"/>
        </w:rPr>
        <w:t xml:space="preserve"> </w:t>
      </w:r>
      <w:r w:rsidRPr="00243E85">
        <w:rPr>
          <w:rStyle w:val="FootnoteReference"/>
          <w:i/>
          <w:noProof/>
          <w:color w:val="000000"/>
        </w:rPr>
        <w:footnoteReference w:id="35"/>
      </w:r>
    </w:p>
    <w:p w:rsidR="00B602AA" w:rsidRPr="00243E85" w:rsidRDefault="005C5300">
      <w:pPr>
        <w:rPr>
          <w:rFonts w:eastAsia="Times New Roman"/>
          <w:noProof/>
          <w:szCs w:val="24"/>
          <w:u w:val="single"/>
        </w:rPr>
      </w:pPr>
      <w:r w:rsidRPr="00243E85">
        <w:rPr>
          <w:noProof/>
          <w:u w:val="single"/>
        </w:rPr>
        <w:t>Apie šiuos parametrus, kintamuosius, energijos balansus ir rodiklius turi būti pranešama nacionalinių planų B skirsnyje „Analitinis pagrindas“</w:t>
      </w:r>
    </w:p>
    <w:p w:rsidR="00B602AA" w:rsidRPr="00243E85" w:rsidRDefault="005C5300">
      <w:pPr>
        <w:pStyle w:val="NumPar1"/>
        <w:numPr>
          <w:ilvl w:val="0"/>
          <w:numId w:val="36"/>
        </w:numPr>
        <w:rPr>
          <w:b/>
          <w:noProof/>
        </w:rPr>
      </w:pPr>
      <w:r w:rsidRPr="00243E85">
        <w:rPr>
          <w:b/>
          <w:noProof/>
        </w:rPr>
        <w:lastRenderedPageBreak/>
        <w:t>Bendrieji parametrai ir kintamieji</w:t>
      </w:r>
    </w:p>
    <w:p w:rsidR="00B602AA" w:rsidRPr="00243E85" w:rsidRDefault="005C5300">
      <w:pPr>
        <w:pStyle w:val="Point0number"/>
        <w:numPr>
          <w:ilvl w:val="0"/>
          <w:numId w:val="37"/>
        </w:numPr>
        <w:rPr>
          <w:rFonts w:eastAsia="Times New Roman"/>
          <w:noProof/>
          <w:szCs w:val="24"/>
        </w:rPr>
      </w:pPr>
      <w:r w:rsidRPr="00243E85">
        <w:t>Gyventojų skaičius [mln.]</w:t>
      </w:r>
    </w:p>
    <w:p w:rsidR="00B602AA" w:rsidRPr="00243E85" w:rsidRDefault="005C5300">
      <w:pPr>
        <w:pStyle w:val="Point0number"/>
        <w:rPr>
          <w:rFonts w:eastAsia="Times New Roman"/>
          <w:noProof/>
          <w:szCs w:val="24"/>
        </w:rPr>
      </w:pPr>
      <w:r w:rsidRPr="00243E85">
        <w:t>BVP [mln. EUR]</w:t>
      </w:r>
    </w:p>
    <w:p w:rsidR="00B602AA" w:rsidRPr="00243E85" w:rsidRDefault="005C5300">
      <w:pPr>
        <w:pStyle w:val="Point0number"/>
        <w:rPr>
          <w:rFonts w:eastAsia="Times New Roman"/>
          <w:noProof/>
          <w:szCs w:val="24"/>
        </w:rPr>
      </w:pPr>
      <w:r w:rsidRPr="00243E85">
        <w:t>Sektorių (įskaitant pagrindinius pramonės, statybos, paslaugų ir žemės ūkio sektorius) bendroji pridėtinė vertė [mln. EUR]</w:t>
      </w:r>
    </w:p>
    <w:p w:rsidR="00B602AA" w:rsidRPr="00243E85" w:rsidRDefault="005C5300">
      <w:pPr>
        <w:pStyle w:val="Point0number"/>
        <w:rPr>
          <w:rFonts w:eastAsia="Times New Roman"/>
          <w:noProof/>
          <w:szCs w:val="24"/>
        </w:rPr>
      </w:pPr>
      <w:r w:rsidRPr="00243E85">
        <w:t>Namų ūkių skaičius [tūkst.]</w:t>
      </w:r>
    </w:p>
    <w:p w:rsidR="00B602AA" w:rsidRPr="00243E85" w:rsidRDefault="005C5300">
      <w:pPr>
        <w:pStyle w:val="Point0number"/>
        <w:rPr>
          <w:rFonts w:eastAsia="Times New Roman"/>
          <w:noProof/>
          <w:szCs w:val="24"/>
        </w:rPr>
      </w:pPr>
      <w:r w:rsidRPr="00243E85">
        <w:t>Namų ūkio dydis [gyventojai / namų ūkiai]</w:t>
      </w:r>
    </w:p>
    <w:p w:rsidR="00B602AA" w:rsidRPr="00243E85" w:rsidRDefault="005C5300">
      <w:pPr>
        <w:pStyle w:val="Point0number"/>
        <w:rPr>
          <w:rFonts w:eastAsia="Times New Roman"/>
          <w:noProof/>
          <w:szCs w:val="24"/>
        </w:rPr>
      </w:pPr>
      <w:r w:rsidRPr="00243E85">
        <w:t>Namų ūkių grynosios pajamos [EUR]</w:t>
      </w:r>
    </w:p>
    <w:p w:rsidR="00B602AA" w:rsidRPr="00243E85" w:rsidRDefault="005C5300">
      <w:pPr>
        <w:pStyle w:val="Point0number"/>
        <w:rPr>
          <w:noProof/>
        </w:rPr>
      </w:pPr>
      <w:r w:rsidRPr="00243E85">
        <w:t>Keleivio kilometrų skaičius, visų rūšių transporto, t. y. kelių transporto (automobilių ir autobusų keleivio kilometrų skaičius atskirai, jei įmanoma), geležinkelio, oro susisiekimo ir vidaus laivybos (jei aktualu) kilometrų skaičiaus pateikiamas atskirai [mln. keleivio kilometrų]</w:t>
      </w:r>
    </w:p>
    <w:p w:rsidR="00B602AA" w:rsidRPr="00243E85" w:rsidRDefault="005C5300">
      <w:pPr>
        <w:pStyle w:val="Point0number"/>
        <w:rPr>
          <w:rFonts w:eastAsia="Times New Roman"/>
          <w:noProof/>
          <w:szCs w:val="24"/>
        </w:rPr>
      </w:pPr>
      <w:r w:rsidRPr="00243E85">
        <w:t>Krovinių transporto tonkilometriai, visų rūšių transporto, išskyrus tarptautinę jūrų laivybą, t. y. kelių transporto, geležinkelio, oro susisiekimo, vidaus laivybos (vidaus vandenų ir nacionalinės jūrų laivybos) tonkilometrių skaičius pateikiamas atskirai [mln. tkm]</w:t>
      </w:r>
    </w:p>
    <w:p w:rsidR="00B602AA" w:rsidRPr="00243E85" w:rsidRDefault="005C5300">
      <w:pPr>
        <w:pStyle w:val="Point0number"/>
        <w:rPr>
          <w:rFonts w:eastAsia="Times New Roman"/>
          <w:noProof/>
          <w:szCs w:val="24"/>
        </w:rPr>
      </w:pPr>
      <w:r w:rsidRPr="00243E85">
        <w:t>Tarptautinės naftos, dujų ir anglių kuro importo kainos [EUR/GJ arba EUR/tne], suderintos su Komisijos rekomendacijomis</w:t>
      </w:r>
    </w:p>
    <w:p w:rsidR="00B602AA" w:rsidRPr="00243E85" w:rsidRDefault="005C5300">
      <w:pPr>
        <w:pStyle w:val="Point0number"/>
        <w:rPr>
          <w:rFonts w:eastAsia="Times New Roman"/>
          <w:noProof/>
          <w:szCs w:val="24"/>
        </w:rPr>
      </w:pPr>
      <w:r w:rsidRPr="00243E85">
        <w:t>ES ATLPS anglies dioksido kaina [EUR už apyvartinį taršos leidimą], suderinta su Komisijos rekomendacijomis</w:t>
      </w:r>
    </w:p>
    <w:p w:rsidR="00B602AA" w:rsidRPr="00243E85" w:rsidRDefault="005C5300">
      <w:pPr>
        <w:pStyle w:val="Point0number"/>
        <w:rPr>
          <w:rFonts w:eastAsia="Times New Roman"/>
          <w:noProof/>
          <w:szCs w:val="24"/>
        </w:rPr>
      </w:pPr>
      <w:r w:rsidRPr="00243E85">
        <w:t>Euro ir JAV dolerio (jei taikoma) kurso prielaidos [EUR / valiuta ir USD / valiuta]</w:t>
      </w:r>
    </w:p>
    <w:p w:rsidR="00B602AA" w:rsidRPr="00243E85" w:rsidRDefault="005C5300">
      <w:pPr>
        <w:pStyle w:val="Point0number"/>
        <w:rPr>
          <w:rFonts w:eastAsia="Times New Roman"/>
          <w:noProof/>
          <w:szCs w:val="24"/>
        </w:rPr>
      </w:pPr>
      <w:r w:rsidRPr="00243E85">
        <w:t>Šildymo dienolaipsnių skaičius</w:t>
      </w:r>
    </w:p>
    <w:p w:rsidR="00B602AA" w:rsidRPr="00243E85" w:rsidRDefault="005C5300">
      <w:pPr>
        <w:pStyle w:val="Point0number"/>
        <w:rPr>
          <w:rFonts w:eastAsia="Times New Roman"/>
          <w:noProof/>
          <w:szCs w:val="24"/>
        </w:rPr>
      </w:pPr>
      <w:r w:rsidRPr="00243E85">
        <w:t>Vėsinimo dienolaipsnių skaičius</w:t>
      </w:r>
    </w:p>
    <w:p w:rsidR="00B602AA" w:rsidRPr="00243E85" w:rsidRDefault="005C5300">
      <w:pPr>
        <w:pStyle w:val="Point0number"/>
        <w:rPr>
          <w:rFonts w:eastAsia="Times New Roman"/>
          <w:noProof/>
          <w:szCs w:val="24"/>
        </w:rPr>
      </w:pPr>
      <w:r w:rsidRPr="00243E85">
        <w:t>Modeliuojant darytos prielaidos apie pagrindinių svarbių technologijų kainas</w:t>
      </w:r>
    </w:p>
    <w:p w:rsidR="00B602AA" w:rsidRPr="00243E85" w:rsidRDefault="00B602AA">
      <w:pPr>
        <w:pStyle w:val="ListParagraph"/>
        <w:spacing w:after="120"/>
        <w:jc w:val="both"/>
        <w:rPr>
          <w:rFonts w:ascii="Times New Roman" w:eastAsia="Times New Roman" w:hAnsi="Times New Roman" w:cs="Times New Roman"/>
          <w:noProof/>
          <w:sz w:val="24"/>
          <w:szCs w:val="24"/>
        </w:rPr>
      </w:pPr>
    </w:p>
    <w:p w:rsidR="00B602AA" w:rsidRPr="00243E85" w:rsidRDefault="005C5300">
      <w:pPr>
        <w:pStyle w:val="NumPar1"/>
        <w:rPr>
          <w:b/>
          <w:noProof/>
        </w:rPr>
      </w:pPr>
      <w:r w:rsidRPr="00243E85">
        <w:rPr>
          <w:b/>
          <w:noProof/>
        </w:rPr>
        <w:t>Energijos balansai ir rodikliai</w:t>
      </w:r>
    </w:p>
    <w:p w:rsidR="00B602AA" w:rsidRPr="00243E85" w:rsidRDefault="005C5300">
      <w:pPr>
        <w:pStyle w:val="NumPar2"/>
        <w:rPr>
          <w:rFonts w:eastAsia="Times New Roman"/>
          <w:b/>
          <w:noProof/>
          <w:szCs w:val="24"/>
        </w:rPr>
      </w:pPr>
      <w:r w:rsidRPr="00243E85">
        <w:rPr>
          <w:b/>
          <w:noProof/>
        </w:rPr>
        <w:t>Energijos tiekimas</w:t>
      </w:r>
    </w:p>
    <w:p w:rsidR="00B602AA" w:rsidRPr="00243E85" w:rsidRDefault="005C5300">
      <w:pPr>
        <w:pStyle w:val="Point0number"/>
        <w:numPr>
          <w:ilvl w:val="0"/>
          <w:numId w:val="2"/>
        </w:numPr>
        <w:rPr>
          <w:rFonts w:eastAsia="Times New Roman"/>
          <w:noProof/>
          <w:szCs w:val="24"/>
        </w:rPr>
      </w:pPr>
      <w:r w:rsidRPr="00243E85">
        <w:t>Vietinė gamyba pagal kuro rūšis (visų energijos produktų: anglių, žalios naftos, gamtinių dujų, branduolinės energijos, atsinaujinančiųjų energijos išteklių) [naftos ekvivalento kilotonomis, ktne]</w:t>
      </w:r>
    </w:p>
    <w:p w:rsidR="00B602AA" w:rsidRPr="00243E85" w:rsidRDefault="005C5300">
      <w:pPr>
        <w:pStyle w:val="Point0number"/>
        <w:rPr>
          <w:rFonts w:eastAsia="Times New Roman"/>
          <w:noProof/>
          <w:szCs w:val="24"/>
        </w:rPr>
      </w:pPr>
      <w:r w:rsidRPr="00243E85">
        <w:t xml:space="preserve">Grynasis importas pagal kuro rūšis (įskaitant elektros energiją; grynasis importas ES viduje ir grynasis importas iš jos išorės nurodomi atskirai) [ktne] </w:t>
      </w:r>
    </w:p>
    <w:p w:rsidR="00B602AA" w:rsidRPr="00243E85" w:rsidRDefault="005C5300">
      <w:pPr>
        <w:pStyle w:val="Point0number"/>
        <w:rPr>
          <w:rFonts w:eastAsia="Times New Roman"/>
          <w:noProof/>
          <w:szCs w:val="24"/>
        </w:rPr>
      </w:pPr>
      <w:r w:rsidRPr="00243E85">
        <w:t>Priklausomumas nuo importo iš trečiųjų šalių [proc.]</w:t>
      </w:r>
    </w:p>
    <w:p w:rsidR="00B602AA" w:rsidRPr="00243E85" w:rsidRDefault="005C5300">
      <w:pPr>
        <w:pStyle w:val="Point0number"/>
        <w:rPr>
          <w:rFonts w:eastAsia="Times New Roman"/>
          <w:noProof/>
          <w:szCs w:val="24"/>
        </w:rPr>
      </w:pPr>
      <w:r w:rsidRPr="00243E85">
        <w:t>Pagrindiniai svarbiausių energijos nešiklių (įskaitant dujas ir elektros energiją) importo šaltiniai</w:t>
      </w:r>
    </w:p>
    <w:p w:rsidR="00B602AA" w:rsidRPr="00243E85" w:rsidRDefault="005C5300">
      <w:pPr>
        <w:pStyle w:val="Point0number"/>
        <w:rPr>
          <w:rFonts w:eastAsia="Times New Roman"/>
          <w:noProof/>
          <w:szCs w:val="24"/>
        </w:rPr>
      </w:pPr>
      <w:r w:rsidRPr="00243E85">
        <w:t>Bendrasis vidaus vartojimas pagal kuro rūšies šaltinius (įskaitant kietąjį kurą, visus energijos produktus: anglis, žalią naftą ir naftos produktus, gamtines dujas, branduolinę energiją, elektros energiją, antrinę šilumą, atsinaujinančiuosius išteklius, atliekas) [ktne]</w:t>
      </w:r>
    </w:p>
    <w:p w:rsidR="00B602AA" w:rsidRPr="00243E85" w:rsidRDefault="005C5300">
      <w:pPr>
        <w:pStyle w:val="NumPar2"/>
        <w:rPr>
          <w:rFonts w:eastAsia="Times New Roman"/>
          <w:b/>
          <w:noProof/>
          <w:szCs w:val="24"/>
        </w:rPr>
      </w:pPr>
      <w:r w:rsidRPr="00243E85">
        <w:rPr>
          <w:b/>
          <w:noProof/>
        </w:rPr>
        <w:t>Elektros energija ir šiluma</w:t>
      </w:r>
    </w:p>
    <w:p w:rsidR="00B602AA" w:rsidRPr="00243E85" w:rsidRDefault="005C5300">
      <w:pPr>
        <w:pStyle w:val="Point0number"/>
        <w:numPr>
          <w:ilvl w:val="0"/>
          <w:numId w:val="22"/>
        </w:numPr>
        <w:rPr>
          <w:rFonts w:eastAsia="Times New Roman"/>
          <w:noProof/>
          <w:szCs w:val="24"/>
        </w:rPr>
      </w:pPr>
      <w:r w:rsidRPr="00243E85">
        <w:lastRenderedPageBreak/>
        <w:t>Bendras pagamintos elektros energijos kiekis [GWh]</w:t>
      </w:r>
    </w:p>
    <w:p w:rsidR="00B602AA" w:rsidRPr="00243E85" w:rsidRDefault="005C5300">
      <w:pPr>
        <w:pStyle w:val="Point0number"/>
        <w:numPr>
          <w:ilvl w:val="0"/>
          <w:numId w:val="2"/>
        </w:numPr>
        <w:rPr>
          <w:rFonts w:eastAsia="Times New Roman"/>
          <w:noProof/>
          <w:szCs w:val="24"/>
        </w:rPr>
      </w:pPr>
      <w:r w:rsidRPr="00243E85">
        <w:t>Bendras pagamintos elektros energijos kiekis pagal kuro rūšis (visų energijos produktų) [GWh]</w:t>
      </w:r>
    </w:p>
    <w:p w:rsidR="00B602AA" w:rsidRPr="00243E85" w:rsidRDefault="005C5300">
      <w:pPr>
        <w:pStyle w:val="Point0number"/>
        <w:numPr>
          <w:ilvl w:val="0"/>
          <w:numId w:val="2"/>
        </w:numPr>
        <w:rPr>
          <w:rFonts w:eastAsia="Times New Roman"/>
          <w:noProof/>
          <w:szCs w:val="24"/>
        </w:rPr>
      </w:pPr>
      <w:r w:rsidRPr="00243E85">
        <w:t xml:space="preserve">Kogeneracijos dalis, palyginti su visa elektros energijos ir šilumos gamyba [proc.] </w:t>
      </w:r>
    </w:p>
    <w:p w:rsidR="00B602AA" w:rsidRPr="00243E85" w:rsidRDefault="005C5300">
      <w:pPr>
        <w:pStyle w:val="Point0number"/>
        <w:numPr>
          <w:ilvl w:val="0"/>
          <w:numId w:val="2"/>
        </w:numPr>
        <w:rPr>
          <w:rFonts w:eastAsia="Times New Roman"/>
          <w:noProof/>
          <w:szCs w:val="24"/>
        </w:rPr>
      </w:pPr>
      <w:r w:rsidRPr="00243E85">
        <w:t>Elektros energijos gamybos pajėgumas pagal šaltinius, įskaitant nurašomą pajėgumą ir naujas investicijas [MW]</w:t>
      </w:r>
    </w:p>
    <w:p w:rsidR="00B602AA" w:rsidRPr="00243E85" w:rsidRDefault="005C5300">
      <w:pPr>
        <w:pStyle w:val="Point0number"/>
        <w:numPr>
          <w:ilvl w:val="0"/>
          <w:numId w:val="2"/>
        </w:numPr>
        <w:rPr>
          <w:rFonts w:eastAsia="Times New Roman"/>
          <w:noProof/>
          <w:szCs w:val="24"/>
        </w:rPr>
      </w:pPr>
      <w:r w:rsidRPr="00243E85">
        <w:t>Šiluminėse jėgainėse pagaminta šiluma</w:t>
      </w:r>
    </w:p>
    <w:p w:rsidR="00B602AA" w:rsidRPr="00243E85" w:rsidRDefault="005C5300">
      <w:pPr>
        <w:pStyle w:val="Point0number"/>
        <w:numPr>
          <w:ilvl w:val="0"/>
          <w:numId w:val="2"/>
        </w:numPr>
        <w:rPr>
          <w:rFonts w:eastAsia="Times New Roman"/>
          <w:noProof/>
          <w:szCs w:val="24"/>
        </w:rPr>
      </w:pPr>
      <w:r w:rsidRPr="00243E85">
        <w:t>Kogeneracinėse elektrinėse pagaminta šiluma, įskaitant pramonės įmonių atliekinę šilumą</w:t>
      </w:r>
    </w:p>
    <w:p w:rsidR="00B602AA" w:rsidRPr="00243E85" w:rsidRDefault="005C5300">
      <w:pPr>
        <w:pStyle w:val="Point0number"/>
        <w:rPr>
          <w:rFonts w:eastAsia="Times New Roman"/>
          <w:noProof/>
          <w:szCs w:val="24"/>
        </w:rPr>
      </w:pPr>
      <w:r w:rsidRPr="00243E85">
        <w:t>Tarpvalstybinių dujų ir elektros energijos jungčių pajėgumas [elektros energijos jungčių pajėgumas apibrėžiamas pagal vykstančių diskusijų rezultatą remiantis 15 proc. jungčių rodikliu] ir prognozuojamas jo naudojimo įvertis</w:t>
      </w:r>
    </w:p>
    <w:p w:rsidR="00B602AA" w:rsidRPr="00243E85" w:rsidRDefault="005C5300">
      <w:pPr>
        <w:pStyle w:val="NumPar2"/>
        <w:rPr>
          <w:rFonts w:eastAsia="Times New Roman"/>
          <w:b/>
          <w:noProof/>
          <w:szCs w:val="24"/>
        </w:rPr>
      </w:pPr>
      <w:r w:rsidRPr="00243E85">
        <w:rPr>
          <w:b/>
          <w:noProof/>
        </w:rPr>
        <w:t>Transformavimo sektorius</w:t>
      </w:r>
    </w:p>
    <w:p w:rsidR="00B602AA" w:rsidRPr="00243E85" w:rsidRDefault="005C5300">
      <w:pPr>
        <w:pStyle w:val="Point0number"/>
        <w:numPr>
          <w:ilvl w:val="0"/>
          <w:numId w:val="23"/>
        </w:numPr>
        <w:rPr>
          <w:noProof/>
        </w:rPr>
      </w:pPr>
      <w:r w:rsidRPr="00243E85">
        <w:t xml:space="preserve">Šiluminių jėgainių kuro sąnaudos (įskaitant kietąjį kurą, naftą, dujas) [ktne] </w:t>
      </w:r>
    </w:p>
    <w:p w:rsidR="00B602AA" w:rsidRPr="00243E85" w:rsidRDefault="005C5300">
      <w:pPr>
        <w:pStyle w:val="Point0number"/>
        <w:numPr>
          <w:ilvl w:val="0"/>
          <w:numId w:val="2"/>
        </w:numPr>
        <w:rPr>
          <w:noProof/>
        </w:rPr>
      </w:pPr>
      <w:r w:rsidRPr="00243E85">
        <w:t>Kitų konversijos procesų kuro sąnaudos [ktne]</w:t>
      </w:r>
    </w:p>
    <w:p w:rsidR="00B602AA" w:rsidRPr="00243E85" w:rsidRDefault="005C5300">
      <w:pPr>
        <w:pStyle w:val="NumPar2"/>
        <w:rPr>
          <w:rFonts w:eastAsia="Times New Roman"/>
          <w:b/>
          <w:noProof/>
          <w:szCs w:val="24"/>
        </w:rPr>
      </w:pPr>
      <w:r w:rsidRPr="00243E85">
        <w:rPr>
          <w:b/>
          <w:noProof/>
        </w:rPr>
        <w:t>Energijos suvartojimas</w:t>
      </w:r>
    </w:p>
    <w:p w:rsidR="00B602AA" w:rsidRPr="00243E85" w:rsidRDefault="005C5300">
      <w:pPr>
        <w:pStyle w:val="Point0number"/>
        <w:numPr>
          <w:ilvl w:val="0"/>
          <w:numId w:val="24"/>
        </w:numPr>
        <w:rPr>
          <w:rFonts w:eastAsia="Times New Roman"/>
          <w:noProof/>
          <w:szCs w:val="24"/>
        </w:rPr>
      </w:pPr>
      <w:r w:rsidRPr="00243E85">
        <w:t>Pirminės arba galutinės energijos suvartojimas [ktne]</w:t>
      </w:r>
    </w:p>
    <w:p w:rsidR="00B602AA" w:rsidRPr="00243E85" w:rsidRDefault="005C5300">
      <w:pPr>
        <w:pStyle w:val="Point0number"/>
        <w:rPr>
          <w:rFonts w:eastAsia="Times New Roman"/>
          <w:noProof/>
          <w:szCs w:val="24"/>
        </w:rPr>
      </w:pPr>
      <w:r w:rsidRPr="00243E85">
        <w:t xml:space="preserve">Galutinės energijos vartojimas pagal sektorius (įskaitant pramonės, būsto, paslaugų, žemės ūkio ir transporto (išskirti keleivinį ir krovininį transportą, jei yra duomenų)) [ktne] </w:t>
      </w:r>
    </w:p>
    <w:p w:rsidR="00B602AA" w:rsidRPr="00243E85" w:rsidRDefault="005C5300">
      <w:pPr>
        <w:pStyle w:val="Point0number"/>
        <w:rPr>
          <w:rFonts w:eastAsia="Times New Roman"/>
          <w:noProof/>
          <w:szCs w:val="24"/>
        </w:rPr>
      </w:pPr>
      <w:r w:rsidRPr="00243E85">
        <w:t>Galutinės energijos suvartojimas pagal kuro rūšis (visus energijos produktus) [ktne]</w:t>
      </w:r>
    </w:p>
    <w:p w:rsidR="00B602AA" w:rsidRPr="00243E85" w:rsidRDefault="005C5300">
      <w:pPr>
        <w:pStyle w:val="Point0number"/>
        <w:rPr>
          <w:rFonts w:eastAsia="Times New Roman"/>
          <w:noProof/>
          <w:szCs w:val="24"/>
        </w:rPr>
      </w:pPr>
      <w:r w:rsidRPr="00243E85">
        <w:t>Galutinis ne energetikos suvartojimas [ktne]</w:t>
      </w:r>
    </w:p>
    <w:p w:rsidR="00B602AA" w:rsidRPr="00243E85" w:rsidRDefault="005C5300">
      <w:pPr>
        <w:pStyle w:val="Point0number"/>
        <w:rPr>
          <w:rFonts w:eastAsia="Times New Roman"/>
          <w:noProof/>
          <w:szCs w:val="24"/>
        </w:rPr>
      </w:pPr>
      <w:r w:rsidRPr="00243E85">
        <w:t>Pirminės energijos vartojimo intensyvumas visame ūkyje (pirminės energijos suvartojimo ir BVP santykis) [tne/EUR]</w:t>
      </w:r>
    </w:p>
    <w:p w:rsidR="00B602AA" w:rsidRPr="00243E85" w:rsidRDefault="005C5300">
      <w:pPr>
        <w:pStyle w:val="Point0number"/>
        <w:rPr>
          <w:rFonts w:eastAsia="Times New Roman"/>
          <w:noProof/>
          <w:szCs w:val="24"/>
        </w:rPr>
      </w:pPr>
      <w:r w:rsidRPr="00243E85">
        <w:t>Galutinės energijos vartojimo intensyvumas pagal sektorius (įskaitant pramonės, būsto, paslaugų ir transporto (išskirti keleivinį ir krovininį transportą, jei yra duomenų))</w:t>
      </w:r>
    </w:p>
    <w:p w:rsidR="00B602AA" w:rsidRPr="00243E85" w:rsidRDefault="005C5300">
      <w:pPr>
        <w:pStyle w:val="NumPar2"/>
        <w:rPr>
          <w:rFonts w:eastAsia="Times New Roman"/>
          <w:b/>
          <w:noProof/>
          <w:szCs w:val="24"/>
        </w:rPr>
      </w:pPr>
      <w:r w:rsidRPr="00243E85">
        <w:rPr>
          <w:b/>
          <w:noProof/>
        </w:rPr>
        <w:t>Kainos</w:t>
      </w:r>
    </w:p>
    <w:p w:rsidR="00B602AA" w:rsidRPr="00243E85" w:rsidRDefault="005C5300">
      <w:pPr>
        <w:pStyle w:val="Point0number"/>
        <w:numPr>
          <w:ilvl w:val="0"/>
          <w:numId w:val="25"/>
        </w:numPr>
        <w:rPr>
          <w:rFonts w:eastAsia="Times New Roman"/>
          <w:noProof/>
          <w:szCs w:val="24"/>
        </w:rPr>
      </w:pPr>
      <w:r w:rsidRPr="00243E85">
        <w:t>Elektros energijos kainos pagal energiją vartojančių (būsto, pramonės, paslaugų) sektorių rūšis</w:t>
      </w:r>
    </w:p>
    <w:p w:rsidR="00B602AA" w:rsidRPr="00243E85" w:rsidRDefault="005C5300">
      <w:pPr>
        <w:pStyle w:val="Point0number"/>
        <w:rPr>
          <w:rFonts w:eastAsia="Times New Roman"/>
          <w:noProof/>
          <w:szCs w:val="24"/>
        </w:rPr>
      </w:pPr>
      <w:r w:rsidRPr="00243E85">
        <w:t>Nacionalinės mažmeninės kuro kainos (įskaitant mokesčius, pagal šaltinius ir sektorius) [EUR/ktne]</w:t>
      </w:r>
    </w:p>
    <w:p w:rsidR="00B602AA" w:rsidRPr="00243E85" w:rsidRDefault="005C5300">
      <w:pPr>
        <w:pStyle w:val="NumPar2"/>
        <w:rPr>
          <w:rFonts w:eastAsia="Times New Roman"/>
          <w:b/>
          <w:noProof/>
          <w:szCs w:val="24"/>
        </w:rPr>
      </w:pPr>
      <w:r w:rsidRPr="00243E85">
        <w:rPr>
          <w:b/>
          <w:noProof/>
        </w:rPr>
        <w:t>Investicijos</w:t>
      </w:r>
    </w:p>
    <w:p w:rsidR="00B602AA" w:rsidRPr="00243E85" w:rsidRDefault="005C5300">
      <w:pPr>
        <w:pStyle w:val="ListParagraph"/>
        <w:spacing w:after="120"/>
        <w:ind w:left="851"/>
        <w:jc w:val="both"/>
        <w:rPr>
          <w:rFonts w:ascii="Times New Roman" w:eastAsia="Times New Roman" w:hAnsi="Times New Roman" w:cs="Times New Roman"/>
          <w:noProof/>
          <w:sz w:val="24"/>
          <w:szCs w:val="24"/>
        </w:rPr>
      </w:pPr>
      <w:r w:rsidRPr="00243E85">
        <w:rPr>
          <w:rFonts w:ascii="Times New Roman" w:hAnsi="Times New Roman"/>
          <w:noProof/>
          <w:sz w:val="24"/>
        </w:rPr>
        <w:t>Su energetika susijusios investicinės sąnaudos, palyginti su BVP (ir palyginti su pramonės sektoriaus bendrąją pridėtine verte)</w:t>
      </w:r>
    </w:p>
    <w:p w:rsidR="00B602AA" w:rsidRPr="00243E85" w:rsidRDefault="005C5300">
      <w:pPr>
        <w:pStyle w:val="NumPar2"/>
        <w:rPr>
          <w:rFonts w:eastAsia="Times New Roman"/>
          <w:b/>
          <w:noProof/>
          <w:szCs w:val="24"/>
        </w:rPr>
      </w:pPr>
      <w:r w:rsidRPr="00243E85">
        <w:rPr>
          <w:b/>
          <w:noProof/>
        </w:rPr>
        <w:t>Atsinaujinantieji energijos ištekliai</w:t>
      </w:r>
    </w:p>
    <w:p w:rsidR="00B602AA" w:rsidRPr="00243E85" w:rsidRDefault="005C5300">
      <w:pPr>
        <w:pStyle w:val="Point0number"/>
        <w:numPr>
          <w:ilvl w:val="0"/>
          <w:numId w:val="26"/>
        </w:numPr>
        <w:rPr>
          <w:rFonts w:eastAsia="Times New Roman"/>
          <w:noProof/>
          <w:szCs w:val="24"/>
        </w:rPr>
      </w:pPr>
      <w:r w:rsidRPr="00243E85">
        <w:t>Bendras galutinės energijos, pagamintos iš atsinaujinančiųjų energijos išteklių, suvartojimas ir energijos, pagamintos iš atsinaujinančiųjų išteklių, dalis, palyginti su bendru suvartojamu galutinės energijos kiekiu, pagal (elektros energijos, šildymo ir vėsinimo, transporto) sektorius ir pagal technologijas</w:t>
      </w:r>
    </w:p>
    <w:p w:rsidR="00B602AA" w:rsidRPr="00243E85" w:rsidRDefault="005C5300">
      <w:pPr>
        <w:pStyle w:val="Point0number"/>
        <w:rPr>
          <w:noProof/>
          <w:szCs w:val="24"/>
        </w:rPr>
      </w:pPr>
      <w:r w:rsidRPr="00243E85">
        <w:lastRenderedPageBreak/>
        <w:t>elektros energijos ir šilumos gamyba pastatuose iš atsinaujinančiųjų išteklių energijos (kaip apibrėžta Direktyvos 2010/31/ES 2 straipsnio 1 dalyje); čia išskaidytai pateikiami duomenys apie tai, kiek energijos pagamino fotovoltinės saulės energijos sistemos, saulės šilumos energijos sistemos, biomasės sistemos, šilumos siurbliai, geoterminės sistemos ir visos kitos decentralizuotos atsinaujinančiųjų išteklių energijos sistemos, kiek tokios energijos suvartota ir kiek atiduota į tinklą);</w:t>
      </w:r>
    </w:p>
    <w:p w:rsidR="00B602AA" w:rsidRPr="00243E85" w:rsidRDefault="005C5300">
      <w:pPr>
        <w:pStyle w:val="Point0number"/>
        <w:rPr>
          <w:rFonts w:eastAsia="Times New Roman"/>
          <w:noProof/>
          <w:szCs w:val="24"/>
        </w:rPr>
      </w:pPr>
      <w:r w:rsidRPr="00243E85">
        <w:t>jei taikoma, kitos nacionalinės trajektorijos, įskaitant ilgalaikes ir sektorių trajektorijas, (maistinės kilmės biodegalų ir pažangiųjų biodegalų dalis, centralizuotam šilumos tiekimui naudojamos atsinaujinančiųjų išteklių energijos dalis, taip pat miestų ir energijos bendruomenių pagaminta atsinaujinančiųjų išteklių energija, kaip apibrėžta [naujos Direktyvos 2009/28/EB redakcijos, parengtos pagal pasiūlymą COM(2016)767] 22 straipsnyje]).</w:t>
      </w:r>
    </w:p>
    <w:p w:rsidR="00B602AA" w:rsidRPr="00243E85" w:rsidRDefault="005C5300">
      <w:pPr>
        <w:pStyle w:val="NumPar1"/>
        <w:rPr>
          <w:b/>
          <w:noProof/>
        </w:rPr>
      </w:pPr>
      <w:r w:rsidRPr="00243E85">
        <w:rPr>
          <w:b/>
          <w:noProof/>
        </w:rPr>
        <w:t>Rodikliai, susiję su ŠESD išmetimu ir šalinimu</w:t>
      </w:r>
    </w:p>
    <w:p w:rsidR="00B602AA" w:rsidRPr="00243E85" w:rsidRDefault="005C5300">
      <w:pPr>
        <w:pStyle w:val="Point0number"/>
        <w:numPr>
          <w:ilvl w:val="0"/>
          <w:numId w:val="27"/>
        </w:numPr>
        <w:rPr>
          <w:rFonts w:eastAsia="Times New Roman"/>
          <w:noProof/>
        </w:rPr>
      </w:pPr>
      <w:r w:rsidRPr="00243E85">
        <w:t>ŠESD išmetimas pagal politikos sektorius (ES ATLPS, Reglamentas [ ] [ESR], žemės naudojimas, žemės naudojimo keitimas ir miškininkystė)</w:t>
      </w:r>
    </w:p>
    <w:p w:rsidR="00B602AA" w:rsidRPr="00243E85" w:rsidRDefault="005C5300">
      <w:pPr>
        <w:pStyle w:val="Point0number"/>
        <w:rPr>
          <w:rFonts w:eastAsia="Times New Roman"/>
          <w:noProof/>
          <w:szCs w:val="24"/>
        </w:rPr>
      </w:pPr>
      <w:r w:rsidRPr="00243E85">
        <w:t>ŠESD išmetimas pagal Tarpvyriausybinės klimato kaitos komisijos sektorius ir pagal dujų rūšis (jei dera, išskirti ES ATLPS ir pastangų pasidalijimo sektoriai) [tCO</w:t>
      </w:r>
      <w:r w:rsidRPr="00243E85">
        <w:rPr>
          <w:noProof/>
          <w:vertAlign w:val="subscript"/>
        </w:rPr>
        <w:t>2</w:t>
      </w:r>
      <w:r w:rsidRPr="00243E85">
        <w:t>ekv.]</w:t>
      </w:r>
    </w:p>
    <w:p w:rsidR="00B602AA" w:rsidRPr="00243E85" w:rsidRDefault="005C5300">
      <w:pPr>
        <w:pStyle w:val="Point0number"/>
        <w:rPr>
          <w:rFonts w:eastAsia="Times New Roman"/>
          <w:noProof/>
          <w:szCs w:val="24"/>
        </w:rPr>
      </w:pPr>
      <w:r w:rsidRPr="00243E85">
        <w:t>Taršos anglies dioksidu intensyvumas visame ūkyje [tCO</w:t>
      </w:r>
      <w:r w:rsidRPr="00243E85">
        <w:rPr>
          <w:noProof/>
          <w:vertAlign w:val="subscript"/>
        </w:rPr>
        <w:t>2</w:t>
      </w:r>
      <w:r w:rsidRPr="00243E85">
        <w:t>ekv./BVP]</w:t>
      </w:r>
    </w:p>
    <w:p w:rsidR="00B602AA" w:rsidRPr="00243E85" w:rsidRDefault="005C5300">
      <w:pPr>
        <w:pStyle w:val="Point0number"/>
        <w:rPr>
          <w:rFonts w:eastAsia="Times New Roman"/>
          <w:noProof/>
          <w:szCs w:val="24"/>
        </w:rPr>
      </w:pPr>
      <w:r w:rsidRPr="00243E85">
        <w:t>CO</w:t>
      </w:r>
      <w:r w:rsidRPr="00243E85">
        <w:rPr>
          <w:noProof/>
          <w:vertAlign w:val="subscript"/>
        </w:rPr>
        <w:t>2</w:t>
      </w:r>
      <w:r w:rsidRPr="00243E85">
        <w:t xml:space="preserve"> išmetimo rodikliai</w:t>
      </w:r>
    </w:p>
    <w:p w:rsidR="00B602AA" w:rsidRPr="00243E85" w:rsidRDefault="005C5300">
      <w:pPr>
        <w:pStyle w:val="Point1letter"/>
        <w:rPr>
          <w:rFonts w:eastAsia="Times New Roman"/>
          <w:noProof/>
          <w:szCs w:val="24"/>
        </w:rPr>
      </w:pPr>
      <w:r w:rsidRPr="00243E85">
        <w:t>Taršos anglies dioksidu intensyvumas gaminant elektros energiją ir garą [tCO</w:t>
      </w:r>
      <w:r w:rsidRPr="00243E85">
        <w:rPr>
          <w:noProof/>
          <w:vertAlign w:val="subscript"/>
        </w:rPr>
        <w:t>2</w:t>
      </w:r>
      <w:r w:rsidRPr="00243E85">
        <w:t>ekv./MWh]</w:t>
      </w:r>
    </w:p>
    <w:p w:rsidR="00B602AA" w:rsidRPr="00243E85" w:rsidRDefault="005C5300">
      <w:pPr>
        <w:pStyle w:val="Point1letter"/>
        <w:rPr>
          <w:rFonts w:eastAsia="Times New Roman"/>
          <w:noProof/>
          <w:szCs w:val="24"/>
        </w:rPr>
      </w:pPr>
      <w:r w:rsidRPr="00243E85">
        <w:t>Galutinės energijos poreikio taršos anglies dioksidu intensyvumas atskiruose sektoriuose (įskaitant pramonę, būstą, paslaugas, keleivinį transportą, krovininį transportą) [tCO</w:t>
      </w:r>
      <w:r w:rsidRPr="00243E85">
        <w:rPr>
          <w:noProof/>
          <w:vertAlign w:val="subscript"/>
        </w:rPr>
        <w:t>2</w:t>
      </w:r>
      <w:r w:rsidRPr="00243E85">
        <w:t xml:space="preserve">ekv./tne] </w:t>
      </w:r>
    </w:p>
    <w:p w:rsidR="00B602AA" w:rsidRPr="00243E85" w:rsidRDefault="005C5300">
      <w:pPr>
        <w:pStyle w:val="Point0number"/>
        <w:rPr>
          <w:rFonts w:eastAsia="Times New Roman"/>
          <w:noProof/>
          <w:szCs w:val="24"/>
        </w:rPr>
      </w:pPr>
      <w:r w:rsidRPr="00243E85">
        <w:t>Kitų (ne CO</w:t>
      </w:r>
      <w:r w:rsidRPr="00243E85">
        <w:rPr>
          <w:noProof/>
          <w:vertAlign w:val="subscript"/>
        </w:rPr>
        <w:t>2</w:t>
      </w:r>
      <w:r w:rsidRPr="00243E85">
        <w:t>) teršalų išmetimo parametrai</w:t>
      </w:r>
    </w:p>
    <w:p w:rsidR="00B602AA" w:rsidRPr="00243E85" w:rsidRDefault="005C5300">
      <w:pPr>
        <w:pStyle w:val="Point1letter"/>
        <w:rPr>
          <w:rFonts w:eastAsia="Times New Roman"/>
          <w:noProof/>
          <w:szCs w:val="24"/>
        </w:rPr>
      </w:pPr>
      <w:r w:rsidRPr="00243E85">
        <w:t>Ūkiniai gyvūnai: pieniniai galvijai [1 000 vnt.], nepieniniai galvijai [1 000 vnt.], avys [1 000 vnt.], kiaulės [1 000 vnt.], naminiai paukščiai [1 000 vnt.]</w:t>
      </w:r>
    </w:p>
    <w:p w:rsidR="00B602AA" w:rsidRPr="00243E85" w:rsidRDefault="005C5300">
      <w:pPr>
        <w:pStyle w:val="Point1letter"/>
        <w:rPr>
          <w:rFonts w:eastAsia="Times New Roman"/>
          <w:noProof/>
          <w:szCs w:val="24"/>
        </w:rPr>
      </w:pPr>
      <w:r w:rsidRPr="00243E85">
        <w:t>Iš sintetinių trąšų į dirvą patenkančio azoto kiekis [kt azoto]</w:t>
      </w:r>
    </w:p>
    <w:p w:rsidR="00B602AA" w:rsidRPr="00243E85" w:rsidRDefault="005C5300">
      <w:pPr>
        <w:pStyle w:val="Point1letter"/>
        <w:rPr>
          <w:rFonts w:eastAsia="Times New Roman"/>
          <w:noProof/>
          <w:szCs w:val="24"/>
        </w:rPr>
      </w:pPr>
      <w:r w:rsidRPr="00243E85">
        <w:t>Iš mėšlo į dirvą patenkančio azoto kiekis [kt azoto]</w:t>
      </w:r>
    </w:p>
    <w:p w:rsidR="00B602AA" w:rsidRPr="00243E85" w:rsidRDefault="005C5300">
      <w:pPr>
        <w:pStyle w:val="Point1letter"/>
        <w:rPr>
          <w:rFonts w:eastAsia="Times New Roman"/>
          <w:noProof/>
          <w:szCs w:val="24"/>
        </w:rPr>
      </w:pPr>
      <w:r w:rsidRPr="00243E85">
        <w:t>Azotą kaupiančių augalų sukaupto azoto kiekis [kt azoto]</w:t>
      </w:r>
    </w:p>
    <w:p w:rsidR="00B602AA" w:rsidRPr="00243E85" w:rsidRDefault="005C5300">
      <w:pPr>
        <w:pStyle w:val="Point1letter"/>
        <w:rPr>
          <w:rFonts w:eastAsia="Times New Roman"/>
          <w:noProof/>
          <w:szCs w:val="24"/>
        </w:rPr>
      </w:pPr>
      <w:r w:rsidRPr="00243E85">
        <w:t>Iš augalų liekanų į dirvą grįžtančio azoto kiekis [kt azoto]</w:t>
      </w:r>
    </w:p>
    <w:p w:rsidR="00B602AA" w:rsidRPr="00243E85" w:rsidRDefault="005C5300">
      <w:pPr>
        <w:pStyle w:val="Point1letter"/>
        <w:rPr>
          <w:rFonts w:eastAsia="Times New Roman"/>
          <w:noProof/>
          <w:szCs w:val="24"/>
        </w:rPr>
      </w:pPr>
      <w:r w:rsidRPr="00243E85">
        <w:t>Dirbamų organinių dirvožemių plotas [hektarais]</w:t>
      </w:r>
    </w:p>
    <w:p w:rsidR="00B602AA" w:rsidRPr="00243E85" w:rsidRDefault="005C5300">
      <w:pPr>
        <w:pStyle w:val="Point1letter"/>
        <w:rPr>
          <w:rFonts w:eastAsia="Times New Roman"/>
          <w:noProof/>
          <w:szCs w:val="24"/>
        </w:rPr>
      </w:pPr>
      <w:r w:rsidRPr="00243E85">
        <w:t>Susidaręs kietųjų komunalinių atliekų kiekis</w:t>
      </w:r>
    </w:p>
    <w:p w:rsidR="00B602AA" w:rsidRPr="00243E85" w:rsidRDefault="005C5300">
      <w:pPr>
        <w:pStyle w:val="Point1letter"/>
        <w:rPr>
          <w:rFonts w:eastAsia="Times New Roman"/>
          <w:noProof/>
          <w:szCs w:val="24"/>
        </w:rPr>
      </w:pPr>
      <w:r w:rsidRPr="00243E85">
        <w:t>Į sąvartynus išvežamų kietųjų komunalinių atliekų kiekis</w:t>
      </w:r>
    </w:p>
    <w:p w:rsidR="00B602AA" w:rsidRPr="00243E85" w:rsidRDefault="005C5300">
      <w:pPr>
        <w:pStyle w:val="Point1letter"/>
        <w:rPr>
          <w:rFonts w:eastAsia="Times New Roman"/>
          <w:noProof/>
          <w:szCs w:val="24"/>
        </w:rPr>
      </w:pPr>
      <w:r w:rsidRPr="00243E85">
        <w:t>Viso sąvartynuose susidariusio CH</w:t>
      </w:r>
      <w:r w:rsidRPr="00243E85">
        <w:rPr>
          <w:noProof/>
          <w:vertAlign w:val="subscript"/>
        </w:rPr>
        <w:t>4</w:t>
      </w:r>
      <w:r w:rsidRPr="00243E85">
        <w:t xml:space="preserve"> surinkta CH</w:t>
      </w:r>
      <w:r w:rsidRPr="00243E85">
        <w:rPr>
          <w:noProof/>
          <w:vertAlign w:val="subscript"/>
        </w:rPr>
        <w:t>4</w:t>
      </w:r>
      <w:r w:rsidRPr="00243E85">
        <w:t xml:space="preserve"> dalis [proc.]</w:t>
      </w:r>
    </w:p>
    <w:p w:rsidR="00B602AA" w:rsidRPr="00243E85" w:rsidRDefault="005C5300">
      <w:pPr>
        <w:rPr>
          <w:b/>
          <w:noProof/>
          <w:szCs w:val="24"/>
        </w:rPr>
      </w:pPr>
      <w:r w:rsidRPr="00243E85">
        <w:br w:type="page"/>
      </w:r>
    </w:p>
    <w:p w:rsidR="0056435C" w:rsidRPr="00243E85" w:rsidRDefault="005C5300" w:rsidP="00056BCA">
      <w:pPr>
        <w:pStyle w:val="Annexetitre"/>
        <w:rPr>
          <w:b w:val="0"/>
          <w:i/>
          <w:noProof/>
          <w:szCs w:val="24"/>
          <w:u w:val="none"/>
        </w:rPr>
      </w:pPr>
      <w:r w:rsidRPr="00243E85">
        <w:rPr>
          <w:b w:val="0"/>
          <w:i/>
          <w:noProof/>
          <w:u w:val="none"/>
        </w:rPr>
        <w:lastRenderedPageBreak/>
        <w:t>II PRIEDAS</w:t>
      </w:r>
    </w:p>
    <w:p w:rsidR="00B602AA" w:rsidRPr="00243E85" w:rsidRDefault="0056435C" w:rsidP="00056BCA">
      <w:pPr>
        <w:jc w:val="center"/>
        <w:rPr>
          <w:noProof/>
        </w:rPr>
      </w:pPr>
      <w:r w:rsidRPr="00243E85">
        <w:rPr>
          <w:b/>
          <w:noProof/>
        </w:rPr>
        <w:t>PRANEŠIMAS APIE VALSTYBIŲ NARIŲ PRIEMONES IR METODIKAS, KURIOMIS JOS ĮGYVENDINA DIREKTYVOS 2012/27/ES [REDAKCIJA SU PAKEITIMAIS, PADARYTAIS PAGAL PASIŪLYMĄ COM(2016)761] 7 STRAIPSNĮ</w:t>
      </w:r>
    </w:p>
    <w:p w:rsidR="00B602AA" w:rsidRPr="00243E85" w:rsidRDefault="005C5300">
      <w:pPr>
        <w:pStyle w:val="Text2"/>
        <w:ind w:left="0"/>
        <w:rPr>
          <w:noProof/>
          <w:szCs w:val="24"/>
        </w:rPr>
      </w:pPr>
      <w:r w:rsidRPr="00243E85">
        <w:t xml:space="preserve">Pagal Direktyvos 2012/27/ES V priedo 5 dalį valstybės narės Komisijai praneša apie jų siūlomą išsamią metodiką, taikomą energijos vartojimo efektyvumo įpareigojimų sistemų ir tos direktyvos 7a, 7b straipsniuose ir 20 straipsnio 6 dalyje nurodytų alternatyvių priemonių tikslais. </w:t>
      </w:r>
    </w:p>
    <w:p w:rsidR="00B602AA" w:rsidRPr="00243E85" w:rsidRDefault="005C5300">
      <w:pPr>
        <w:pStyle w:val="NumPar1"/>
        <w:numPr>
          <w:ilvl w:val="0"/>
          <w:numId w:val="21"/>
        </w:numPr>
        <w:rPr>
          <w:noProof/>
          <w:szCs w:val="24"/>
        </w:rPr>
      </w:pPr>
      <w:r w:rsidRPr="00243E85">
        <w:t>Sutaupyto energijos kiekio, kurį reikia pasiekti per visą 2021 m. sausio 1 d. – 2030 m. gruodžio 31 d. laikotarpį, apskaičiavimas, iš kurio būtų matyti, kad atsižvelgiama į šiuose elementus:</w:t>
      </w:r>
    </w:p>
    <w:p w:rsidR="00B602AA" w:rsidRPr="00243E85" w:rsidRDefault="005C5300">
      <w:pPr>
        <w:pStyle w:val="Point1letter"/>
        <w:numPr>
          <w:ilvl w:val="3"/>
          <w:numId w:val="28"/>
        </w:numPr>
        <w:rPr>
          <w:noProof/>
        </w:rPr>
      </w:pPr>
      <w:r w:rsidRPr="00243E85">
        <w:t>metinis energijos pardavimas pagal kiekį, kurį galutiniams vartotojams parduoda visi energijos skirstytojai arba visos mažmeninės prekybos energija įmonės, skaičiuojant pagal paskutinių trejų (2016, 2017, 2018) metų iki 2019 m. sausio 1 d. vidurkį, [ktne];</w:t>
      </w:r>
    </w:p>
    <w:p w:rsidR="00B602AA" w:rsidRPr="00243E85" w:rsidRDefault="005C5300">
      <w:pPr>
        <w:pStyle w:val="Point1letter"/>
        <w:rPr>
          <w:noProof/>
          <w:szCs w:val="24"/>
        </w:rPr>
      </w:pPr>
      <w:r w:rsidRPr="00243E85">
        <w:t>į skaičiavimą neįtrauktos transporto sektoriuje vartojamos energijos pardavimo apimtis [ktne];</w:t>
      </w:r>
    </w:p>
    <w:p w:rsidR="00B602AA" w:rsidRPr="00243E85" w:rsidRDefault="005C5300">
      <w:pPr>
        <w:pStyle w:val="Point1letter"/>
        <w:rPr>
          <w:noProof/>
          <w:szCs w:val="24"/>
        </w:rPr>
      </w:pPr>
      <w:r w:rsidRPr="00243E85">
        <w:t>į skaičiavimą neįtrauktos sau pasigamintos energijos kiekis [ktne];</w:t>
      </w:r>
    </w:p>
    <w:p w:rsidR="00B602AA" w:rsidRPr="00243E85" w:rsidRDefault="005C5300">
      <w:pPr>
        <w:pStyle w:val="Point1letter"/>
        <w:rPr>
          <w:noProof/>
          <w:szCs w:val="24"/>
        </w:rPr>
      </w:pPr>
      <w:r w:rsidRPr="00243E85">
        <w:t>šaltiniai, pagal kurių duomenis apskaičiuotas energijos pardavimas, įskaitant alternatyvių statistikos šaltinių (jei naudojami ne Eurostato duomenys) naudojimo ir visų gauto kiekio skirtumų pagrindimą;</w:t>
      </w:r>
    </w:p>
    <w:p w:rsidR="00B602AA" w:rsidRPr="00243E85" w:rsidRDefault="005C5300">
      <w:pPr>
        <w:pStyle w:val="Point1letter"/>
        <w:rPr>
          <w:noProof/>
          <w:szCs w:val="24"/>
        </w:rPr>
      </w:pPr>
      <w:r w:rsidRPr="00243E85">
        <w:t>suminis energijos, kurią planuojama sutaupyti 2021 m. sausio 1 d. – 2030 m. gruodžio 31 d., kiekis (prieš darant išimtis pagal 2 pastraipą) [ktne];</w:t>
      </w:r>
    </w:p>
    <w:p w:rsidR="00B602AA" w:rsidRPr="00243E85" w:rsidRDefault="005C5300">
      <w:pPr>
        <w:pStyle w:val="Point1letter"/>
        <w:rPr>
          <w:noProof/>
          <w:szCs w:val="24"/>
        </w:rPr>
      </w:pPr>
      <w:r w:rsidRPr="00243E85">
        <w:t>Direktyvos 2012/27/ES 7 straipsnio 2 ir 3 dalių b, c, d ir e punktuose nurodytų išimčių taikymas:</w:t>
      </w:r>
    </w:p>
    <w:p w:rsidR="00B602AA" w:rsidRPr="00243E85" w:rsidRDefault="005C5300">
      <w:pPr>
        <w:pStyle w:val="Text2"/>
        <w:rPr>
          <w:noProof/>
          <w:szCs w:val="24"/>
        </w:rPr>
      </w:pPr>
      <w:r w:rsidRPr="00243E85">
        <w:t>i) Direktyvos 2003/87/EB I priede išvardytų rūšių pramoninei veiklai, neįtraukiamai į skaičiavimą pagal b punktą, vartojamos energijos pardavimo apimtis [ktne],</w:t>
      </w:r>
    </w:p>
    <w:p w:rsidR="00B602AA" w:rsidRPr="00243E85" w:rsidRDefault="005C5300">
      <w:pPr>
        <w:pStyle w:val="Text2"/>
        <w:rPr>
          <w:noProof/>
          <w:szCs w:val="24"/>
        </w:rPr>
      </w:pPr>
      <w:r w:rsidRPr="00243E85">
        <w:t>ii) pagal c punktą energijos transformavimo, skirstymo ir perdavimo sektoriuose sutaupytas energijos kiekis [ktne],</w:t>
      </w:r>
    </w:p>
    <w:p w:rsidR="00B602AA" w:rsidRPr="00243E85" w:rsidRDefault="005C5300">
      <w:pPr>
        <w:pStyle w:val="Text2"/>
        <w:rPr>
          <w:noProof/>
          <w:szCs w:val="24"/>
        </w:rPr>
      </w:pPr>
      <w:r w:rsidRPr="00243E85">
        <w:t xml:space="preserve">iii) pagal d punktą sutaupytas energijos kiekis [ktne], gautas taikant atskirus naujus veiksmus, kurie įgyvendinami nuo 2008 m. gruodžio 31 d. ir kurie toliau turės poveikį 2020 ir tolesniais metais, </w:t>
      </w:r>
    </w:p>
    <w:p w:rsidR="00B602AA" w:rsidRPr="00243E85" w:rsidRDefault="005C5300">
      <w:pPr>
        <w:pStyle w:val="Text2"/>
        <w:rPr>
          <w:noProof/>
          <w:szCs w:val="24"/>
        </w:rPr>
      </w:pPr>
      <w:r w:rsidRPr="00243E85">
        <w:t>iv) pagal e punktą pastatuose arba ant pastatų sau pasigamintos energijos kiekis [ktne], gautas taikant politikos priemones, kuriomis skatinamas atsinaujinančiųjų išteklių energijos naujų technologijų diegimas;</w:t>
      </w:r>
    </w:p>
    <w:p w:rsidR="00B602AA" w:rsidRPr="00243E85" w:rsidRDefault="005C5300">
      <w:pPr>
        <w:pStyle w:val="Point1letter"/>
        <w:rPr>
          <w:noProof/>
          <w:szCs w:val="24"/>
        </w:rPr>
      </w:pPr>
      <w:r w:rsidRPr="00243E85">
        <w:t>suminis sutaupytas energijos kiekis (padarius išimtis pagal 2 pastraipą) [ktne].</w:t>
      </w:r>
    </w:p>
    <w:p w:rsidR="00B602AA" w:rsidRPr="00243E85" w:rsidRDefault="005C5300">
      <w:pPr>
        <w:pStyle w:val="NumPar1"/>
        <w:rPr>
          <w:b/>
          <w:noProof/>
          <w:szCs w:val="24"/>
        </w:rPr>
      </w:pPr>
      <w:r w:rsidRPr="00243E85">
        <w:rPr>
          <w:b/>
          <w:noProof/>
        </w:rPr>
        <w:t>Politikos priemonės, taikomos siekiant Direktyvos 2012/27/ES 7 straipsnio 1 dalyje nustatyto taupymo tikslo</w:t>
      </w:r>
    </w:p>
    <w:p w:rsidR="00B602AA" w:rsidRPr="00243E85" w:rsidRDefault="005C5300">
      <w:pPr>
        <w:pStyle w:val="NumPar2"/>
        <w:rPr>
          <w:b/>
          <w:noProof/>
          <w:szCs w:val="24"/>
        </w:rPr>
      </w:pPr>
      <w:r w:rsidRPr="00243E85">
        <w:rPr>
          <w:b/>
          <w:noProof/>
        </w:rPr>
        <w:t>Direktyvos 2012/27/ES 7a straipsnyje nurodytos energijos vartojimo efektyvumo įpareigojimų sistemos:</w:t>
      </w:r>
    </w:p>
    <w:p w:rsidR="00B602AA" w:rsidRPr="00243E85" w:rsidRDefault="005C5300">
      <w:pPr>
        <w:pStyle w:val="Point1letter"/>
        <w:numPr>
          <w:ilvl w:val="3"/>
          <w:numId w:val="29"/>
        </w:numPr>
        <w:rPr>
          <w:noProof/>
        </w:rPr>
      </w:pPr>
      <w:r w:rsidRPr="00243E85">
        <w:t>energijos vartojimo efektyvumo įpareigojimų sistemos aprašymas;</w:t>
      </w:r>
    </w:p>
    <w:p w:rsidR="00B602AA" w:rsidRPr="00243E85" w:rsidRDefault="005C5300">
      <w:pPr>
        <w:pStyle w:val="Point1letter"/>
        <w:rPr>
          <w:noProof/>
          <w:szCs w:val="24"/>
        </w:rPr>
      </w:pPr>
      <w:r w:rsidRPr="00243E85">
        <w:lastRenderedPageBreak/>
        <w:t>suminis ir metinis numatomas sutaupyti kiekis ir įpareigojimų taikymo laikotarpio (-ių) trukmė;</w:t>
      </w:r>
    </w:p>
    <w:p w:rsidR="00B602AA" w:rsidRPr="00243E85" w:rsidRDefault="005C5300">
      <w:pPr>
        <w:pStyle w:val="Point1letter"/>
        <w:rPr>
          <w:noProof/>
          <w:szCs w:val="24"/>
        </w:rPr>
      </w:pPr>
      <w:r w:rsidRPr="00243E85">
        <w:t>įpareigotosios šalys ir jų pareigos;</w:t>
      </w:r>
    </w:p>
    <w:p w:rsidR="00B602AA" w:rsidRPr="00243E85" w:rsidRDefault="005C5300">
      <w:pPr>
        <w:pStyle w:val="Point1letter"/>
        <w:rPr>
          <w:noProof/>
          <w:szCs w:val="24"/>
        </w:rPr>
      </w:pPr>
      <w:r w:rsidRPr="00243E85">
        <w:t>tiksliniai sektoriai;</w:t>
      </w:r>
    </w:p>
    <w:p w:rsidR="00B602AA" w:rsidRPr="00243E85" w:rsidRDefault="005C5300">
      <w:pPr>
        <w:pStyle w:val="Point1letter"/>
        <w:rPr>
          <w:noProof/>
          <w:szCs w:val="24"/>
        </w:rPr>
      </w:pPr>
      <w:r w:rsidRPr="00243E85">
        <w:t>pagal priemones numatomi reikalavimus atitinkantys veiksmai;</w:t>
      </w:r>
    </w:p>
    <w:p w:rsidR="00B602AA" w:rsidRPr="00243E85" w:rsidRDefault="005C5300">
      <w:pPr>
        <w:pStyle w:val="Point1letter"/>
        <w:rPr>
          <w:noProof/>
          <w:szCs w:val="24"/>
        </w:rPr>
      </w:pPr>
      <w:r w:rsidRPr="00243E85">
        <w:t>informacija apie Direktyvos 2012/27/ES 7a straipsnio 5 dalies nuostatų taikymą:</w:t>
      </w:r>
    </w:p>
    <w:p w:rsidR="00B602AA" w:rsidRPr="00243E85" w:rsidRDefault="005C5300">
      <w:pPr>
        <w:pStyle w:val="Text2"/>
        <w:rPr>
          <w:noProof/>
          <w:szCs w:val="24"/>
        </w:rPr>
      </w:pPr>
      <w:r w:rsidRPr="00243E85">
        <w:t>i) konkretūs veiksmai, kiekis, kuris pagal 7a straipsnio 5 dalies a punktą bus sutaupytas energijos nepriteklių patiriančiuose namų ūkiuose ir socialiniuose būstuose,</w:t>
      </w:r>
    </w:p>
    <w:p w:rsidR="00B602AA" w:rsidRPr="00243E85" w:rsidRDefault="005C5300">
      <w:pPr>
        <w:pStyle w:val="Text2"/>
        <w:rPr>
          <w:noProof/>
          <w:szCs w:val="24"/>
        </w:rPr>
      </w:pPr>
      <w:r w:rsidRPr="00243E85">
        <w:t>ii) kiekis, kurį pagal 7a straipsnio 5 dalies b punktą sutaupys energetinių paslaugų teikėjai arba trečiosios šalys,</w:t>
      </w:r>
    </w:p>
    <w:p w:rsidR="00B602AA" w:rsidRPr="00243E85" w:rsidRDefault="005C5300">
      <w:pPr>
        <w:pStyle w:val="Text2"/>
        <w:rPr>
          <w:noProof/>
          <w:szCs w:val="24"/>
        </w:rPr>
      </w:pPr>
      <w:r w:rsidRPr="00243E85">
        <w:t>iii) banko paslaugos ir skolinimasis pagal 7a straipsnio 5 dalies c punktą;</w:t>
      </w:r>
    </w:p>
    <w:p w:rsidR="00B602AA" w:rsidRPr="00243E85" w:rsidRDefault="005C5300">
      <w:pPr>
        <w:pStyle w:val="Point1letter"/>
        <w:rPr>
          <w:noProof/>
          <w:szCs w:val="24"/>
        </w:rPr>
      </w:pPr>
      <w:r w:rsidRPr="00243E85">
        <w:t>informacija apie prekybą sutaupyta energija (jei aktualu).</w:t>
      </w:r>
    </w:p>
    <w:p w:rsidR="00B602AA" w:rsidRPr="00243E85" w:rsidRDefault="005C5300">
      <w:pPr>
        <w:pStyle w:val="NumPar2"/>
        <w:rPr>
          <w:b/>
          <w:noProof/>
          <w:szCs w:val="24"/>
        </w:rPr>
      </w:pPr>
      <w:r w:rsidRPr="00243E85">
        <w:rPr>
          <w:b/>
          <w:noProof/>
        </w:rPr>
        <w:t>Direktyvos 2012/27/ES 7b straipsnyje ir 20 straipsnio 6 dalyje nurodytos alternatyvios priemonės (išskyrus apmokestinimo priemones):</w:t>
      </w:r>
    </w:p>
    <w:p w:rsidR="00B602AA" w:rsidRPr="00243E85" w:rsidRDefault="005C5300">
      <w:pPr>
        <w:pStyle w:val="Point1letter"/>
        <w:numPr>
          <w:ilvl w:val="3"/>
          <w:numId w:val="30"/>
        </w:numPr>
        <w:rPr>
          <w:noProof/>
          <w:szCs w:val="24"/>
        </w:rPr>
      </w:pPr>
      <w:r w:rsidRPr="00243E85">
        <w:t>politikos priemonės rūšis;</w:t>
      </w:r>
    </w:p>
    <w:p w:rsidR="00B602AA" w:rsidRPr="00243E85" w:rsidRDefault="005C5300">
      <w:pPr>
        <w:pStyle w:val="Point1letter"/>
        <w:rPr>
          <w:noProof/>
          <w:szCs w:val="24"/>
        </w:rPr>
      </w:pPr>
      <w:r w:rsidRPr="00243E85">
        <w:t>trumpas politikos priemonės aprašymas, įskaitant kiekvienos politikos priemonės, apie kurią pranešta, sandaros ypatybes;</w:t>
      </w:r>
    </w:p>
    <w:p w:rsidR="00B602AA" w:rsidRPr="00243E85" w:rsidRDefault="005C5300">
      <w:pPr>
        <w:pStyle w:val="Point1letter"/>
        <w:rPr>
          <w:noProof/>
          <w:szCs w:val="24"/>
        </w:rPr>
      </w:pPr>
      <w:r w:rsidRPr="00243E85">
        <w:t>suminis ir metinis numatomas sutaupyti energijos kiekis pagal kiekvieną priemonę ir (arba) sutaupytas energijos kiekis, siejamas su bet kuriuo tarpiniu laikotarpiu;</w:t>
      </w:r>
    </w:p>
    <w:p w:rsidR="00B602AA" w:rsidRPr="00243E85" w:rsidRDefault="005C5300">
      <w:pPr>
        <w:pStyle w:val="Point1letter"/>
        <w:rPr>
          <w:noProof/>
          <w:szCs w:val="24"/>
        </w:rPr>
      </w:pPr>
      <w:r w:rsidRPr="00243E85">
        <w:t>įgyvendinančios, dalyvaujančiosios ir įgaliotosios šalys ir jų pareigos įgyvendinti politikos priemonę (-es);</w:t>
      </w:r>
    </w:p>
    <w:p w:rsidR="00B602AA" w:rsidRPr="00243E85" w:rsidRDefault="005C5300">
      <w:pPr>
        <w:pStyle w:val="Point1letter"/>
        <w:rPr>
          <w:noProof/>
          <w:szCs w:val="24"/>
        </w:rPr>
      </w:pPr>
      <w:r w:rsidRPr="00243E85">
        <w:t>tiksliniai sektoriai;</w:t>
      </w:r>
    </w:p>
    <w:p w:rsidR="00B602AA" w:rsidRPr="00243E85" w:rsidRDefault="005C5300">
      <w:pPr>
        <w:pStyle w:val="Point1letter"/>
        <w:rPr>
          <w:noProof/>
          <w:szCs w:val="24"/>
        </w:rPr>
      </w:pPr>
      <w:r w:rsidRPr="00243E85">
        <w:t>pagal priemones numatomi reikalavimus atitinkantys veiksmai;</w:t>
      </w:r>
    </w:p>
    <w:p w:rsidR="00B602AA" w:rsidRPr="00243E85" w:rsidRDefault="005C5300">
      <w:pPr>
        <w:pStyle w:val="Point1letter"/>
        <w:rPr>
          <w:noProof/>
          <w:szCs w:val="24"/>
        </w:rPr>
      </w:pPr>
      <w:r w:rsidRPr="00243E85">
        <w:t>konkrečios politikos priemonės arba pavieniai energijos nepritekliaus problemos sprendimo veiksmai.</w:t>
      </w:r>
    </w:p>
    <w:p w:rsidR="00B602AA" w:rsidRPr="00243E85" w:rsidRDefault="005C5300">
      <w:pPr>
        <w:pStyle w:val="NumPar2"/>
        <w:rPr>
          <w:b/>
          <w:noProof/>
          <w:szCs w:val="24"/>
        </w:rPr>
      </w:pPr>
      <w:r w:rsidRPr="00243E85">
        <w:rPr>
          <w:b/>
          <w:noProof/>
        </w:rPr>
        <w:t>Informacija apie apmokestinimo priemones:</w:t>
      </w:r>
    </w:p>
    <w:p w:rsidR="00B602AA" w:rsidRPr="00243E85" w:rsidRDefault="005C5300">
      <w:pPr>
        <w:pStyle w:val="Point1letter"/>
        <w:numPr>
          <w:ilvl w:val="3"/>
          <w:numId w:val="31"/>
        </w:numPr>
        <w:rPr>
          <w:noProof/>
        </w:rPr>
      </w:pPr>
      <w:r w:rsidRPr="00243E85">
        <w:t>trumpas apmokestinimo priemonės aprašymas;</w:t>
      </w:r>
    </w:p>
    <w:p w:rsidR="00B602AA" w:rsidRPr="00243E85" w:rsidRDefault="005C5300">
      <w:pPr>
        <w:pStyle w:val="Point1letter"/>
        <w:rPr>
          <w:noProof/>
          <w:szCs w:val="24"/>
        </w:rPr>
      </w:pPr>
      <w:r w:rsidRPr="00243E85">
        <w:t>apmokestinimo priemonės taikymo trukmė;</w:t>
      </w:r>
    </w:p>
    <w:p w:rsidR="00B602AA" w:rsidRPr="00243E85" w:rsidRDefault="005C5300">
      <w:pPr>
        <w:pStyle w:val="Point1letter"/>
        <w:rPr>
          <w:noProof/>
          <w:szCs w:val="24"/>
        </w:rPr>
      </w:pPr>
      <w:r w:rsidRPr="00243E85">
        <w:t>suminis ir metinis numatomas sutaupyti kiekis pagal kiekvieną priemonę;</w:t>
      </w:r>
    </w:p>
    <w:p w:rsidR="00B602AA" w:rsidRPr="00243E85" w:rsidRDefault="005C5300">
      <w:pPr>
        <w:pStyle w:val="Point1letter"/>
        <w:rPr>
          <w:noProof/>
          <w:szCs w:val="24"/>
        </w:rPr>
      </w:pPr>
      <w:r w:rsidRPr="00243E85">
        <w:t>tiksliniai sektoriai;</w:t>
      </w:r>
    </w:p>
    <w:p w:rsidR="00B602AA" w:rsidRPr="00243E85" w:rsidRDefault="005C5300">
      <w:pPr>
        <w:pStyle w:val="Point1letter"/>
        <w:rPr>
          <w:noProof/>
          <w:szCs w:val="24"/>
        </w:rPr>
      </w:pPr>
      <w:r w:rsidRPr="00243E85">
        <w:t>papildoma sutaupytos energijos nauda – aprašyti sutaupyto kiekio skaičiavimo metodiką, įskaitant kainų elastingumą, naudojamą pagal V priedo 4 dalį.</w:t>
      </w:r>
    </w:p>
    <w:p w:rsidR="00B602AA" w:rsidRPr="00243E85" w:rsidRDefault="005C5300">
      <w:pPr>
        <w:pStyle w:val="NumPar1"/>
        <w:rPr>
          <w:b/>
          <w:noProof/>
          <w:szCs w:val="24"/>
        </w:rPr>
      </w:pPr>
      <w:r w:rsidRPr="00243E85">
        <w:rPr>
          <w:b/>
          <w:noProof/>
        </w:rPr>
        <w:t>Priemonių (išskyrus apmokestinimo priemones), apie kurias pranešama pagal Direktyvos 2012/27/ES 7a, 7b straipsnius ir 20 straipsnio 6 dalį, apskaičiavimo metodika:</w:t>
      </w:r>
    </w:p>
    <w:p w:rsidR="00B602AA" w:rsidRPr="00243E85" w:rsidRDefault="005C5300">
      <w:pPr>
        <w:pStyle w:val="Point1letter"/>
        <w:numPr>
          <w:ilvl w:val="3"/>
          <w:numId w:val="32"/>
        </w:numPr>
        <w:rPr>
          <w:noProof/>
          <w:szCs w:val="24"/>
        </w:rPr>
      </w:pPr>
      <w:r w:rsidRPr="00243E85">
        <w:t>Direktyvos 2012/27/ES V priedo 1 dalyje nurodyti matavimo metodai;</w:t>
      </w:r>
    </w:p>
    <w:p w:rsidR="00B602AA" w:rsidRPr="00243E85" w:rsidRDefault="005C5300">
      <w:pPr>
        <w:pStyle w:val="Point1letter"/>
        <w:rPr>
          <w:noProof/>
          <w:szCs w:val="24"/>
        </w:rPr>
      </w:pPr>
      <w:r w:rsidRPr="00243E85">
        <w:t>sutaupyto (pirminės arba galutinės) energijos kiekio išraiškos metodai;</w:t>
      </w:r>
    </w:p>
    <w:p w:rsidR="00B602AA" w:rsidRPr="00243E85" w:rsidRDefault="005C5300">
      <w:pPr>
        <w:pStyle w:val="Point1letter"/>
        <w:rPr>
          <w:noProof/>
          <w:szCs w:val="24"/>
        </w:rPr>
      </w:pPr>
      <w:r w:rsidRPr="00243E85">
        <w:lastRenderedPageBreak/>
        <w:t>pavienių veiksmų taikymo trukmė ir metodas, kuriuo atsižvelgiamą į energijos taupymo trukmę;</w:t>
      </w:r>
    </w:p>
    <w:p w:rsidR="00B602AA" w:rsidRPr="00243E85" w:rsidRDefault="005C5300">
      <w:pPr>
        <w:pStyle w:val="Point1letter"/>
        <w:rPr>
          <w:noProof/>
          <w:szCs w:val="24"/>
        </w:rPr>
      </w:pPr>
      <w:r w:rsidRPr="00243E85">
        <w:t>glaustas skaičiavimo metodikos aprašymas, įskaitant tai, kaip užtikrinamas sutaupyto energijos kiekio papildomumas ir reikšmingumas;</w:t>
      </w:r>
    </w:p>
    <w:p w:rsidR="00B602AA" w:rsidRPr="00243E85" w:rsidRDefault="005C5300">
      <w:pPr>
        <w:pStyle w:val="Point1letter"/>
        <w:rPr>
          <w:noProof/>
          <w:szCs w:val="24"/>
        </w:rPr>
      </w:pPr>
      <w:r w:rsidRPr="00243E85">
        <w:t>informacija apie galimą priemonių dubliavimąsi ir kokiais pavieniais veiksmais išvengiama dvigubo sutaupyto energijos kiekio įskaičiavimo;</w:t>
      </w:r>
    </w:p>
    <w:p w:rsidR="00B602AA" w:rsidRPr="00243E85" w:rsidRDefault="005C5300">
      <w:pPr>
        <w:pStyle w:val="Point1letter"/>
        <w:rPr>
          <w:noProof/>
          <w:szCs w:val="24"/>
        </w:rPr>
      </w:pPr>
      <w:r w:rsidRPr="00243E85">
        <w:t>klimato skirtumai ir naudojami metodai (jei aktualu).</w:t>
      </w:r>
    </w:p>
    <w:p w:rsidR="00B602AA" w:rsidRPr="00243E85" w:rsidRDefault="005C5300">
      <w:pPr>
        <w:pStyle w:val="NumPar1"/>
        <w:rPr>
          <w:b/>
          <w:noProof/>
          <w:szCs w:val="24"/>
        </w:rPr>
      </w:pPr>
      <w:r w:rsidRPr="00243E85">
        <w:rPr>
          <w:b/>
          <w:noProof/>
        </w:rPr>
        <w:t>Stebėjimas ir tikrinimas:</w:t>
      </w:r>
    </w:p>
    <w:p w:rsidR="00B602AA" w:rsidRPr="00243E85" w:rsidRDefault="005C5300">
      <w:pPr>
        <w:pStyle w:val="Point1letter"/>
        <w:numPr>
          <w:ilvl w:val="3"/>
          <w:numId w:val="33"/>
        </w:numPr>
        <w:rPr>
          <w:noProof/>
        </w:rPr>
      </w:pPr>
      <w:r w:rsidRPr="00243E85">
        <w:t>glaustas stebėjimo ir tikrinimo sistemos ir tikrinimo proceso aprašymas;</w:t>
      </w:r>
    </w:p>
    <w:p w:rsidR="00B602AA" w:rsidRPr="00243E85" w:rsidRDefault="005C5300">
      <w:pPr>
        <w:pStyle w:val="Point1letter"/>
        <w:rPr>
          <w:noProof/>
          <w:szCs w:val="24"/>
        </w:rPr>
      </w:pPr>
      <w:r w:rsidRPr="00243E85">
        <w:t>už stebėjimo ir tikrinimo sistemą atsakinga įgyvendinančioji viešojo sektoriaus institucija ir pagrindinės jos pareigos, susijusios su energijos vartojimo efektyvumo įpareigojimų sistema ir (arba) alternatyviomis priemonėmis;</w:t>
      </w:r>
    </w:p>
    <w:p w:rsidR="00B602AA" w:rsidRPr="00243E85" w:rsidRDefault="005C5300">
      <w:pPr>
        <w:pStyle w:val="Point1letter"/>
        <w:rPr>
          <w:noProof/>
          <w:szCs w:val="24"/>
        </w:rPr>
      </w:pPr>
      <w:r w:rsidRPr="00243E85">
        <w:t>stebėjimo ir tikrinimo nepriklausomumas nuo įpareigotųjų, dalyvaujančiųjų ir įgaliotųjų šalių;</w:t>
      </w:r>
    </w:p>
    <w:p w:rsidR="00B602AA" w:rsidRPr="00243E85" w:rsidRDefault="005C5300">
      <w:pPr>
        <w:pStyle w:val="Point1letter"/>
        <w:rPr>
          <w:noProof/>
          <w:szCs w:val="24"/>
        </w:rPr>
      </w:pPr>
      <w:r w:rsidRPr="00243E85">
        <w:t>statistiškai reikšminga energijos vartojimo efektyvumo didinimo priemonių dalis, taip pat reprezentatyviajai imčiai apibrėžti ir sudaryti naudojamos proporcijos ir kriterijai;</w:t>
      </w:r>
    </w:p>
    <w:p w:rsidR="00B602AA" w:rsidRPr="00243E85" w:rsidRDefault="005C5300">
      <w:pPr>
        <w:pStyle w:val="Point1letter"/>
        <w:rPr>
          <w:noProof/>
          <w:szCs w:val="24"/>
        </w:rPr>
      </w:pPr>
      <w:r w:rsidRPr="00243E85">
        <w:t>įpareigotosioms šalims nustatyti ataskaitų teikimo įpareigojimai (kiekvienos įpareigotosios šalies arba kiekvienos pakategorės įpareigotųjų šalių sutaupytas energijos kiekis ir bendras kiekis pagal sistemą);</w:t>
      </w:r>
    </w:p>
    <w:p w:rsidR="00B602AA" w:rsidRPr="00243E85" w:rsidRDefault="005C5300">
      <w:pPr>
        <w:pStyle w:val="Point1letter"/>
        <w:rPr>
          <w:noProof/>
          <w:szCs w:val="24"/>
        </w:rPr>
      </w:pPr>
      <w:r w:rsidRPr="00243E85">
        <w:t>pagal energijos vartojimo efektyvumo įpareigojimų sistemą ir alternatyvias priemones sutaupyto energijos kiekio paskelbimas;</w:t>
      </w:r>
    </w:p>
    <w:p w:rsidR="00B602AA" w:rsidRPr="00243E85" w:rsidRDefault="005C5300">
      <w:pPr>
        <w:pStyle w:val="Point1letter"/>
        <w:rPr>
          <w:noProof/>
          <w:szCs w:val="24"/>
        </w:rPr>
      </w:pPr>
      <w:r w:rsidRPr="00243E85">
        <w:t>informacija apie sankcijas, taikytas už reikalavimų nesilaikymą;</w:t>
      </w:r>
    </w:p>
    <w:p w:rsidR="00B602AA" w:rsidRPr="00243E85" w:rsidRDefault="005C5300">
      <w:pPr>
        <w:pStyle w:val="Point1letter"/>
        <w:rPr>
          <w:noProof/>
        </w:rPr>
      </w:pPr>
      <w:r w:rsidRPr="00243E85">
        <w:t>informacija apie numatomas priemones, jei pažanga nepakankama.</w:t>
      </w:r>
    </w:p>
    <w:p w:rsidR="00B602AA" w:rsidRPr="00243E85" w:rsidRDefault="005C5300">
      <w:pPr>
        <w:rPr>
          <w:noProof/>
          <w:szCs w:val="24"/>
        </w:rPr>
      </w:pPr>
      <w:r w:rsidRPr="00243E85">
        <w:br w:type="page"/>
      </w:r>
    </w:p>
    <w:p w:rsidR="0056435C" w:rsidRPr="00243E85" w:rsidRDefault="005C5300" w:rsidP="00056BCA">
      <w:pPr>
        <w:pStyle w:val="Annexetitre"/>
        <w:rPr>
          <w:b w:val="0"/>
          <w:i/>
          <w:noProof/>
          <w:szCs w:val="24"/>
          <w:u w:val="none"/>
        </w:rPr>
      </w:pPr>
      <w:r w:rsidRPr="00243E85">
        <w:rPr>
          <w:b w:val="0"/>
          <w:i/>
          <w:noProof/>
          <w:u w:val="none"/>
        </w:rPr>
        <w:lastRenderedPageBreak/>
        <w:t>III PRIEDAS</w:t>
      </w:r>
    </w:p>
    <w:p w:rsidR="00B602AA" w:rsidRPr="00243E85" w:rsidRDefault="0056435C" w:rsidP="00056BCA">
      <w:pPr>
        <w:jc w:val="center"/>
        <w:rPr>
          <w:noProof/>
        </w:rPr>
      </w:pPr>
      <w:r w:rsidRPr="00243E85">
        <w:rPr>
          <w:b/>
          <w:noProof/>
        </w:rPr>
        <w:t>INFORMACIJA APIE ŠESD APSKAITĄ</w:t>
      </w:r>
    </w:p>
    <w:p w:rsidR="00B602AA" w:rsidRPr="00243E85" w:rsidRDefault="005C5300" w:rsidP="00056BCA">
      <w:pPr>
        <w:jc w:val="center"/>
      </w:pPr>
      <w:r w:rsidRPr="00243E85">
        <w:rPr>
          <w:b/>
          <w:color w:val="000000"/>
        </w:rPr>
        <w:t>1 dalis</w:t>
      </w:r>
    </w:p>
    <w:p w:rsidR="00B602AA" w:rsidRPr="00243E85" w:rsidRDefault="005C5300">
      <w:pPr>
        <w:spacing w:after="0"/>
        <w:rPr>
          <w:rFonts w:eastAsia="Times New Roman"/>
          <w:noProof/>
          <w:szCs w:val="24"/>
        </w:rPr>
      </w:pPr>
      <w:r w:rsidRPr="00243E85">
        <w:t>Į ataskaitas, nurodytas 23 straipsnio 2 dalyje, įtraukiama informacija:</w:t>
      </w:r>
    </w:p>
    <w:p w:rsidR="00B602AA" w:rsidRPr="00243E85" w:rsidRDefault="005C5300">
      <w:pPr>
        <w:pStyle w:val="Point0letter"/>
        <w:numPr>
          <w:ilvl w:val="1"/>
          <w:numId w:val="11"/>
        </w:numPr>
        <w:rPr>
          <w:noProof/>
          <w:szCs w:val="24"/>
        </w:rPr>
      </w:pPr>
      <w:r w:rsidRPr="00243E85">
        <w:t>X-2 metais dėl žmogaus veiklos išmestas šio priedo 2 dalyje nurodytų ŠESD ir Reglamento [ ] [ESR] 2 straipsnio 1 dalyje nurodytų ŠESD kiekis;</w:t>
      </w:r>
    </w:p>
    <w:p w:rsidR="00B602AA" w:rsidRPr="00243E85" w:rsidRDefault="005C5300">
      <w:pPr>
        <w:pStyle w:val="Point0letter"/>
        <w:rPr>
          <w:noProof/>
          <w:szCs w:val="24"/>
        </w:rPr>
      </w:pPr>
      <w:r w:rsidRPr="00243E85">
        <w:t>duomenys apie X-2 metais dėl žmogaus veiklos išmestus anglies monoksido (CO), sieros dioksido (SO</w:t>
      </w:r>
      <w:r w:rsidRPr="00243E85">
        <w:rPr>
          <w:noProof/>
          <w:vertAlign w:val="subscript"/>
        </w:rPr>
        <w:t>2</w:t>
      </w:r>
      <w:r w:rsidRPr="00243E85">
        <w:t>), azoto oksidų (NOx) ir lakiųjų organinių junginių kiekius, kurie atitiktų duomenis, praneštus pagal Direktyvos 2001/81/EB 7 straipsnį;</w:t>
      </w:r>
    </w:p>
    <w:p w:rsidR="00B602AA" w:rsidRPr="00243E85" w:rsidRDefault="005C5300">
      <w:pPr>
        <w:pStyle w:val="Point0letter"/>
        <w:rPr>
          <w:noProof/>
          <w:szCs w:val="24"/>
        </w:rPr>
      </w:pPr>
      <w:r w:rsidRPr="00243E85">
        <w:t>X-2 metais dėl žmogaus veiklos iš atskirų šaltinių išmestas ŠESD ir absorbentais pašalintas CO</w:t>
      </w:r>
      <w:r w:rsidRPr="00243E85">
        <w:rPr>
          <w:noProof/>
          <w:vertAlign w:val="subscript"/>
        </w:rPr>
        <w:t>2</w:t>
      </w:r>
      <w:r w:rsidRPr="00243E85">
        <w:t xml:space="preserve"> kiekis pagal šio priedo 3 dalyje nustatytą metodiką. Šie duomenys aktualūs ir reikalavimų laikymosi ataskaitoje pagal Reglamento [ ] [LULUCF] 12 straipsnį;</w:t>
      </w:r>
    </w:p>
    <w:p w:rsidR="00B602AA" w:rsidRPr="00243E85" w:rsidRDefault="005C5300">
      <w:pPr>
        <w:pStyle w:val="Point0letter"/>
        <w:rPr>
          <w:noProof/>
          <w:szCs w:val="24"/>
        </w:rPr>
      </w:pPr>
      <w:r w:rsidRPr="00243E85">
        <w:t xml:space="preserve">a–c punktuose nurodytos informacijos apie laikotarpį nuo atitinkamų bazinių metų arba laikotarpio iki X-3 metų pasikeitimai ir jų priežastys; </w:t>
      </w:r>
    </w:p>
    <w:p w:rsidR="00B602AA" w:rsidRPr="00243E85" w:rsidRDefault="005C5300">
      <w:pPr>
        <w:pStyle w:val="Point0letter"/>
        <w:rPr>
          <w:noProof/>
          <w:szCs w:val="24"/>
        </w:rPr>
      </w:pPr>
      <w:r w:rsidRPr="00243E85">
        <w:t xml:space="preserve">informacija apie X-2 metų rodiklius, kaip nustatyta šio priedo 4 dalyje; </w:t>
      </w:r>
    </w:p>
    <w:p w:rsidR="00B602AA" w:rsidRPr="00243E85" w:rsidRDefault="005C5300">
      <w:pPr>
        <w:pStyle w:val="Point0letter"/>
        <w:rPr>
          <w:noProof/>
          <w:szCs w:val="24"/>
        </w:rPr>
      </w:pPr>
      <w:r w:rsidRPr="00243E85">
        <w:t xml:space="preserve">suvestinė informacija apie X-1 metais atliktus perleidimo sandorius pagal Reglamento [ ] [ESR] 5 straipsnį ir Reglamento [ ] [LULUCF] 11 straipsnį; </w:t>
      </w:r>
    </w:p>
    <w:p w:rsidR="00B602AA" w:rsidRPr="00243E85" w:rsidRDefault="005C5300">
      <w:pPr>
        <w:pStyle w:val="Point0letter"/>
        <w:rPr>
          <w:noProof/>
          <w:szCs w:val="24"/>
        </w:rPr>
      </w:pPr>
      <w:r w:rsidRPr="00243E85">
        <w:t xml:space="preserve">informacija apie veiksmus, kurių imtasi siekiant pagerinti apskaitos ataskaitos įverčius, visų pirma tose ataskaitos dalyse, kurios buvo taisomos arba dėl kurių po ekspertų atliktos peržiūros buvo pateikta rekomendacijų; </w:t>
      </w:r>
    </w:p>
    <w:p w:rsidR="00B602AA" w:rsidRPr="00243E85" w:rsidRDefault="005C5300">
      <w:pPr>
        <w:pStyle w:val="Point0letter"/>
        <w:rPr>
          <w:noProof/>
          <w:szCs w:val="24"/>
        </w:rPr>
      </w:pPr>
      <w:r w:rsidRPr="00243E85">
        <w:t xml:space="preserve">X-2 metų patikrinto išmetamųjų teršalų kiekio, apie kurį pagal Direktyvą 2003/87/EB pranešė įrenginių operatoriai, faktinis arba apskaičiuotas priskyrimas nacionalinės ŠESD apskaitos taršos šaltinių kategorijoms ir to patikrinto išmetamųjų teršalų kiekio santykis su visu praneštu iš tų kategorijų šaltinių išmestu ŠESD kiekiu; </w:t>
      </w:r>
    </w:p>
    <w:p w:rsidR="00B602AA" w:rsidRPr="00243E85" w:rsidRDefault="005C5300">
      <w:pPr>
        <w:pStyle w:val="Point0letter"/>
        <w:rPr>
          <w:noProof/>
          <w:szCs w:val="24"/>
        </w:rPr>
      </w:pPr>
      <w:r w:rsidRPr="00243E85">
        <w:t xml:space="preserve">atliktų ŠESD apskaitos ataskaitose pateikto išmetamųjų teršalų kiekio atitikties patikrų X-2 metų rezultatai, nurodant išmetamųjų teršalų patikrintą kiekį, apie kurį pranešta pagal Direktyvą 2003/87/EB; </w:t>
      </w:r>
    </w:p>
    <w:p w:rsidR="00B602AA" w:rsidRPr="00243E85" w:rsidRDefault="005C5300">
      <w:pPr>
        <w:pStyle w:val="Point0letter"/>
        <w:rPr>
          <w:noProof/>
          <w:szCs w:val="24"/>
        </w:rPr>
      </w:pPr>
      <w:r w:rsidRPr="00243E85">
        <w:t>atliktų duomenų, taikytų įvertinant išmetamųjų teršalų kiekį ŠESD apskaitos ataskaitos rengimo tikslais, atitikties patikrų X-2 metų rezultatai, nurodant:</w:t>
      </w:r>
    </w:p>
    <w:p w:rsidR="00B602AA" w:rsidRPr="00243E85" w:rsidRDefault="005C5300">
      <w:pPr>
        <w:pStyle w:val="Point1"/>
        <w:rPr>
          <w:noProof/>
          <w:szCs w:val="24"/>
        </w:rPr>
      </w:pPr>
      <w:r w:rsidRPr="00243E85">
        <w:t>i)</w:t>
      </w:r>
      <w:r w:rsidRPr="00243E85">
        <w:tab/>
        <w:t xml:space="preserve">duomenis, naudotus pagal Direktyvą 2001/81/EB rengiant oro teršalų apskaitos ataskaitas, </w:t>
      </w:r>
    </w:p>
    <w:p w:rsidR="00B602AA" w:rsidRPr="00243E85" w:rsidRDefault="005C5300">
      <w:pPr>
        <w:pStyle w:val="Point1"/>
        <w:rPr>
          <w:noProof/>
          <w:szCs w:val="24"/>
        </w:rPr>
      </w:pPr>
      <w:r w:rsidRPr="00243E85">
        <w:t>ii)</w:t>
      </w:r>
      <w:r w:rsidRPr="00243E85">
        <w:tab/>
        <w:t xml:space="preserve">duomenis, pateiktus pagal Reglamento (ES) Nr. 517/2014 19 straipsnio 1 dalį ir VII priedą, </w:t>
      </w:r>
    </w:p>
    <w:p w:rsidR="00B602AA" w:rsidRPr="00243E85" w:rsidRDefault="005C5300">
      <w:pPr>
        <w:pStyle w:val="Point1"/>
        <w:rPr>
          <w:noProof/>
          <w:szCs w:val="24"/>
        </w:rPr>
      </w:pPr>
      <w:r w:rsidRPr="00243E85">
        <w:t>iii)</w:t>
      </w:r>
      <w:r w:rsidRPr="00243E85">
        <w:tab/>
        <w:t xml:space="preserve">energetikos duomenis, pateiktus pagal Reglamento (EB) Nr. 1099/2008 4 straipsnį ir B priedą; </w:t>
      </w:r>
    </w:p>
    <w:p w:rsidR="00B602AA" w:rsidRPr="00243E85" w:rsidRDefault="005C5300">
      <w:pPr>
        <w:pStyle w:val="Point0letter"/>
        <w:rPr>
          <w:noProof/>
          <w:szCs w:val="24"/>
        </w:rPr>
      </w:pPr>
      <w:r w:rsidRPr="00243E85">
        <w:t xml:space="preserve">nacionalinės apskaitos sistemos pakeitimų aprašas; </w:t>
      </w:r>
    </w:p>
    <w:p w:rsidR="00B602AA" w:rsidRPr="00243E85" w:rsidRDefault="005C5300">
      <w:pPr>
        <w:pStyle w:val="Point0letter"/>
        <w:rPr>
          <w:noProof/>
          <w:szCs w:val="24"/>
        </w:rPr>
      </w:pPr>
      <w:r w:rsidRPr="00243E85">
        <w:t xml:space="preserve">nacionalinio registro pakeitimų aprašas; </w:t>
      </w:r>
    </w:p>
    <w:p w:rsidR="00B602AA" w:rsidRPr="00243E85" w:rsidRDefault="005C5300">
      <w:pPr>
        <w:pStyle w:val="Point0letter"/>
        <w:rPr>
          <w:noProof/>
          <w:szCs w:val="24"/>
        </w:rPr>
      </w:pPr>
      <w:r w:rsidRPr="00243E85">
        <w:t>informacija apie kokybės užtikrinimo ir kokybės kontrolės planus, bendrą neapibrėžtumo įvertinimą, bendrą išsamumo įvertinimą ir kitas nacionalinės ŠESD apskaitos ataskaitos sudedamąsias dalis, reikalingas tam, kad būtų galima parengti Sąjungos šiltnamio efektą sukeliančių dujų apskaitos ataskaitą;</w:t>
      </w:r>
    </w:p>
    <w:p w:rsidR="00B602AA" w:rsidRPr="00243E85" w:rsidRDefault="005C5300">
      <w:pPr>
        <w:pStyle w:val="Point0letter"/>
        <w:rPr>
          <w:noProof/>
          <w:szCs w:val="24"/>
        </w:rPr>
      </w:pPr>
      <w:r w:rsidRPr="00243E85">
        <w:lastRenderedPageBreak/>
        <w:t>informacija apie valstybės narės ketinimą pasinaudoti Reglamento [ ] [ESR] 5 straipsnio 4 ir 5 dalyse numatytomis lankstumo priemonėmis.</w:t>
      </w:r>
    </w:p>
    <w:p w:rsidR="00B602AA" w:rsidRPr="00243E85" w:rsidRDefault="005C5300">
      <w:pPr>
        <w:spacing w:after="0"/>
        <w:rPr>
          <w:noProof/>
          <w:szCs w:val="24"/>
        </w:rPr>
      </w:pPr>
      <w:r w:rsidRPr="00243E85">
        <w:t xml:space="preserve">Valstybė narė gali prašyti leisti nukrypti nuo c punkto, kad galėtų taikyti kitokią metodiką, nei nurodyta šio priedo 3 dalyje, jei reikalingas metodikos patobulinimas negali būti atliktas laiku, kad į jį būtų atsižvelgta 2021–2030 m. ŠESD apskaitoje, arba jei metodikos tobulinimo išlaidos būtų neproporcingai didelės, palyginti su tokios metodikos taikymo nauda siekiant pagerinti išmetamo ir pašalinamo ŠESD kiekio apskaitos metodiką, nes išmetamas ir atitinkamuose anglies absorbentuose pašalinamas ŠESD kiekis yra nereikšmingas. Valstybės narės, norinčios pasinaudoti nukrypti leidžiančia nuostata, pateikia Komisijai pagrįstą prašymą iki 2020 m. gruodžio 31 d., nurodydamos terminą, iki kada galėtų būti patobulinta metodika ir (arba) pasiūlyta alternatyvi metodika, ir pateikdamos galimo poveikio apskaitos tikslumui vertinimą. Komisija gali paprašyti per nurodytą pagrįstą laikotarpį pateikti papildomos informacijos. Jei Komisija mano, kad prašymas pagrįstas, ji leidžia taikyti nukrypti leidžiančią nuostatą. Jei prašymas atmetamas, Komisija turi nurodyti savo sprendimo priežastis. </w:t>
      </w:r>
    </w:p>
    <w:p w:rsidR="00B602AA" w:rsidRPr="00243E85" w:rsidRDefault="005C5300" w:rsidP="00056BCA">
      <w:pPr>
        <w:spacing w:after="0"/>
        <w:jc w:val="center"/>
        <w:rPr>
          <w:rFonts w:eastAsia="Times New Roman"/>
          <w:b/>
          <w:noProof/>
          <w:color w:val="000000"/>
          <w:szCs w:val="24"/>
        </w:rPr>
      </w:pPr>
      <w:r w:rsidRPr="00243E85">
        <w:rPr>
          <w:b/>
          <w:noProof/>
          <w:color w:val="000000"/>
        </w:rPr>
        <w:t>2 dalis</w:t>
      </w:r>
    </w:p>
    <w:p w:rsidR="00B602AA" w:rsidRPr="00243E85" w:rsidRDefault="005C5300">
      <w:pPr>
        <w:spacing w:after="0"/>
        <w:rPr>
          <w:noProof/>
          <w:color w:val="000000"/>
          <w:szCs w:val="24"/>
        </w:rPr>
      </w:pPr>
      <w:r w:rsidRPr="00243E85">
        <w:rPr>
          <w:noProof/>
          <w:color w:val="000000"/>
        </w:rPr>
        <w:t xml:space="preserve">Pateikiama informacija apie šias šiltnamio efektą sukeliančias dujas: </w:t>
      </w:r>
    </w:p>
    <w:p w:rsidR="00B602AA" w:rsidRPr="00243E85" w:rsidRDefault="005C5300">
      <w:pPr>
        <w:spacing w:after="0"/>
        <w:rPr>
          <w:rFonts w:eastAsia="Times New Roman"/>
          <w:noProof/>
          <w:color w:val="000000"/>
          <w:szCs w:val="24"/>
        </w:rPr>
      </w:pPr>
      <w:r w:rsidRPr="00243E85">
        <w:rPr>
          <w:noProof/>
          <w:color w:val="000000"/>
        </w:rPr>
        <w:t>anglies dioksidą (CO</w:t>
      </w:r>
      <w:r w:rsidRPr="00243E85">
        <w:rPr>
          <w:noProof/>
          <w:color w:val="000000"/>
          <w:vertAlign w:val="subscript"/>
        </w:rPr>
        <w:t>2</w:t>
      </w:r>
      <w:r w:rsidRPr="00243E85">
        <w:rPr>
          <w:noProof/>
          <w:color w:val="000000"/>
        </w:rPr>
        <w:t>),</w:t>
      </w:r>
    </w:p>
    <w:p w:rsidR="00B602AA" w:rsidRPr="00243E85" w:rsidRDefault="005C5300">
      <w:pPr>
        <w:spacing w:after="0"/>
        <w:rPr>
          <w:rFonts w:eastAsia="Times New Roman"/>
          <w:noProof/>
          <w:color w:val="000000"/>
          <w:szCs w:val="24"/>
        </w:rPr>
      </w:pPr>
      <w:r w:rsidRPr="00243E85">
        <w:rPr>
          <w:noProof/>
          <w:color w:val="000000"/>
        </w:rPr>
        <w:t>metaną (CH</w:t>
      </w:r>
      <w:r w:rsidRPr="00243E85">
        <w:rPr>
          <w:noProof/>
          <w:color w:val="000000"/>
          <w:vertAlign w:val="subscript"/>
        </w:rPr>
        <w:t>4</w:t>
      </w:r>
      <w:r w:rsidRPr="00243E85">
        <w:rPr>
          <w:noProof/>
          <w:color w:val="000000"/>
        </w:rPr>
        <w:t>),</w:t>
      </w:r>
    </w:p>
    <w:p w:rsidR="00B602AA" w:rsidRPr="00243E85" w:rsidRDefault="005C5300">
      <w:pPr>
        <w:spacing w:after="0"/>
        <w:rPr>
          <w:rFonts w:eastAsia="Times New Roman"/>
          <w:noProof/>
          <w:color w:val="000000"/>
          <w:szCs w:val="24"/>
        </w:rPr>
      </w:pPr>
      <w:r w:rsidRPr="00243E85">
        <w:rPr>
          <w:noProof/>
          <w:color w:val="000000"/>
        </w:rPr>
        <w:t>azoto oksidą (N</w:t>
      </w:r>
      <w:r w:rsidRPr="00243E85">
        <w:rPr>
          <w:noProof/>
          <w:color w:val="000000"/>
          <w:vertAlign w:val="subscript"/>
        </w:rPr>
        <w:t>2</w:t>
      </w:r>
      <w:r w:rsidRPr="00243E85">
        <w:rPr>
          <w:noProof/>
          <w:color w:val="000000"/>
        </w:rPr>
        <w:t>O),</w:t>
      </w:r>
    </w:p>
    <w:p w:rsidR="00B602AA" w:rsidRPr="00243E85" w:rsidRDefault="005C5300">
      <w:pPr>
        <w:spacing w:after="0"/>
        <w:rPr>
          <w:rFonts w:eastAsia="Times New Roman"/>
          <w:noProof/>
          <w:color w:val="000000"/>
          <w:szCs w:val="24"/>
        </w:rPr>
      </w:pPr>
      <w:r w:rsidRPr="00243E85">
        <w:rPr>
          <w:noProof/>
          <w:color w:val="000000"/>
        </w:rPr>
        <w:t>sieros heksafluoridą (SF</w:t>
      </w:r>
      <w:r w:rsidRPr="00243E85">
        <w:rPr>
          <w:noProof/>
          <w:color w:val="000000"/>
          <w:vertAlign w:val="subscript"/>
        </w:rPr>
        <w:t>6</w:t>
      </w:r>
      <w:r w:rsidRPr="00243E85">
        <w:rPr>
          <w:noProof/>
          <w:color w:val="000000"/>
        </w:rPr>
        <w:t>),</w:t>
      </w:r>
    </w:p>
    <w:p w:rsidR="00B602AA" w:rsidRPr="00243E85" w:rsidRDefault="005C5300">
      <w:pPr>
        <w:spacing w:after="0"/>
        <w:rPr>
          <w:rFonts w:eastAsia="Times New Roman"/>
          <w:noProof/>
          <w:color w:val="000000"/>
          <w:szCs w:val="24"/>
        </w:rPr>
      </w:pPr>
      <w:r w:rsidRPr="00243E85">
        <w:rPr>
          <w:noProof/>
          <w:color w:val="000000"/>
        </w:rPr>
        <w:t>azoto trifluoridą (NF</w:t>
      </w:r>
      <w:r w:rsidRPr="00243E85">
        <w:rPr>
          <w:noProof/>
          <w:color w:val="000000"/>
          <w:vertAlign w:val="subscript"/>
        </w:rPr>
        <w:t>3</w:t>
      </w:r>
      <w:r w:rsidRPr="00243E85">
        <w:rPr>
          <w:noProof/>
          <w:color w:val="000000"/>
        </w:rPr>
        <w:t>),</w:t>
      </w:r>
    </w:p>
    <w:p w:rsidR="00B602AA" w:rsidRPr="00243E85" w:rsidRDefault="005C5300">
      <w:pPr>
        <w:spacing w:after="0"/>
        <w:rPr>
          <w:rFonts w:eastAsia="Times New Roman"/>
          <w:noProof/>
          <w:color w:val="000000"/>
          <w:szCs w:val="24"/>
        </w:rPr>
      </w:pPr>
      <w:r w:rsidRPr="00243E85">
        <w:rPr>
          <w:noProof/>
          <w:color w:val="000000"/>
        </w:rPr>
        <w:t>hidrofluorangliavandenilius (HFC):</w:t>
      </w:r>
    </w:p>
    <w:tbl>
      <w:tblPr>
        <w:tblW w:w="5000" w:type="pct"/>
        <w:tblCellSpacing w:w="0" w:type="dxa"/>
        <w:tblCellMar>
          <w:left w:w="0" w:type="dxa"/>
          <w:right w:w="0" w:type="dxa"/>
        </w:tblCellMar>
        <w:tblLook w:val="04A0" w:firstRow="1" w:lastRow="0" w:firstColumn="1" w:lastColumn="0" w:noHBand="0" w:noVBand="1"/>
      </w:tblPr>
      <w:tblGrid>
        <w:gridCol w:w="408"/>
        <w:gridCol w:w="8665"/>
      </w:tblGrid>
      <w:tr w:rsidR="00B602AA" w:rsidRPr="00243E85">
        <w:trPr>
          <w:tblCellSpacing w:w="0" w:type="dxa"/>
        </w:trPr>
        <w:tc>
          <w:tcPr>
            <w:tcW w:w="0" w:type="auto"/>
            <w:hideMark/>
          </w:tcPr>
          <w:p w:rsidR="00B602AA" w:rsidRPr="00243E85" w:rsidRDefault="005C5300">
            <w:pPr>
              <w:spacing w:after="0"/>
              <w:rPr>
                <w:rFonts w:eastAsia="Times New Roman"/>
                <w:noProof/>
                <w:color w:val="000000"/>
                <w:szCs w:val="24"/>
              </w:rPr>
            </w:pPr>
            <w:r w:rsidRPr="00243E85">
              <w:rPr>
                <w:noProof/>
                <w:color w:val="000000"/>
              </w:rPr>
              <w:t>—</w:t>
            </w:r>
          </w:p>
        </w:tc>
        <w:tc>
          <w:tcPr>
            <w:tcW w:w="0" w:type="auto"/>
            <w:hideMark/>
          </w:tcPr>
          <w:p w:rsidR="00B602AA" w:rsidRPr="00243E85" w:rsidRDefault="005C5300">
            <w:pPr>
              <w:spacing w:after="0"/>
              <w:rPr>
                <w:rFonts w:eastAsia="Times New Roman"/>
                <w:noProof/>
                <w:color w:val="000000"/>
                <w:szCs w:val="24"/>
              </w:rPr>
            </w:pPr>
            <w:r w:rsidRPr="00243E85">
              <w:rPr>
                <w:noProof/>
                <w:color w:val="000000"/>
              </w:rPr>
              <w:t>HFC-23 CHF</w:t>
            </w:r>
            <w:r w:rsidRPr="00243E85">
              <w:rPr>
                <w:noProof/>
                <w:color w:val="000000"/>
                <w:vertAlign w:val="subscript"/>
              </w:rPr>
              <w:t>3</w:t>
            </w:r>
            <w:r w:rsidRPr="00243E85">
              <w:rPr>
                <w:noProof/>
                <w:color w:val="000000"/>
              </w:rPr>
              <w:t xml:space="preserve"> </w:t>
            </w:r>
          </w:p>
        </w:tc>
      </w:tr>
      <w:tr w:rsidR="00B602AA" w:rsidRPr="00243E85">
        <w:trPr>
          <w:tblCellSpacing w:w="0" w:type="dxa"/>
        </w:trPr>
        <w:tc>
          <w:tcPr>
            <w:tcW w:w="0" w:type="auto"/>
            <w:hideMark/>
          </w:tcPr>
          <w:p w:rsidR="00B602AA" w:rsidRPr="00243E85" w:rsidRDefault="005C5300">
            <w:pPr>
              <w:spacing w:after="0"/>
              <w:rPr>
                <w:rFonts w:eastAsia="Times New Roman"/>
                <w:noProof/>
                <w:color w:val="000000"/>
                <w:szCs w:val="24"/>
              </w:rPr>
            </w:pPr>
            <w:r w:rsidRPr="00243E85">
              <w:rPr>
                <w:noProof/>
                <w:color w:val="000000"/>
              </w:rPr>
              <w:t>—</w:t>
            </w:r>
          </w:p>
        </w:tc>
        <w:tc>
          <w:tcPr>
            <w:tcW w:w="0" w:type="auto"/>
            <w:hideMark/>
          </w:tcPr>
          <w:p w:rsidR="00B602AA" w:rsidRPr="00243E85" w:rsidRDefault="005C5300">
            <w:pPr>
              <w:spacing w:after="0"/>
              <w:rPr>
                <w:rFonts w:eastAsia="Times New Roman"/>
                <w:noProof/>
                <w:color w:val="000000"/>
                <w:szCs w:val="24"/>
              </w:rPr>
            </w:pPr>
            <w:r w:rsidRPr="00243E85">
              <w:rPr>
                <w:noProof/>
                <w:color w:val="000000"/>
              </w:rPr>
              <w:t>HFC-32 CH</w:t>
            </w:r>
            <w:r w:rsidRPr="00243E85">
              <w:rPr>
                <w:noProof/>
                <w:color w:val="000000"/>
                <w:vertAlign w:val="subscript"/>
              </w:rPr>
              <w:t>2</w:t>
            </w:r>
            <w:r w:rsidRPr="00243E85">
              <w:rPr>
                <w:noProof/>
                <w:color w:val="000000"/>
              </w:rPr>
              <w:t>F</w:t>
            </w:r>
            <w:r w:rsidRPr="00243E85">
              <w:rPr>
                <w:noProof/>
                <w:color w:val="000000"/>
                <w:vertAlign w:val="subscript"/>
              </w:rPr>
              <w:t>2</w:t>
            </w:r>
            <w:r w:rsidRPr="00243E85">
              <w:rPr>
                <w:noProof/>
                <w:color w:val="000000"/>
              </w:rPr>
              <w:t xml:space="preserve"> </w:t>
            </w:r>
          </w:p>
        </w:tc>
      </w:tr>
      <w:tr w:rsidR="00B602AA" w:rsidRPr="00243E85">
        <w:trPr>
          <w:tblCellSpacing w:w="0" w:type="dxa"/>
        </w:trPr>
        <w:tc>
          <w:tcPr>
            <w:tcW w:w="0" w:type="auto"/>
            <w:hideMark/>
          </w:tcPr>
          <w:p w:rsidR="00B602AA" w:rsidRPr="00243E85" w:rsidRDefault="005C5300">
            <w:pPr>
              <w:spacing w:after="0"/>
              <w:rPr>
                <w:rFonts w:eastAsia="Times New Roman"/>
                <w:noProof/>
                <w:color w:val="000000"/>
                <w:szCs w:val="24"/>
              </w:rPr>
            </w:pPr>
            <w:r w:rsidRPr="00243E85">
              <w:rPr>
                <w:noProof/>
                <w:color w:val="000000"/>
              </w:rPr>
              <w:t>—</w:t>
            </w:r>
          </w:p>
        </w:tc>
        <w:tc>
          <w:tcPr>
            <w:tcW w:w="0" w:type="auto"/>
            <w:hideMark/>
          </w:tcPr>
          <w:p w:rsidR="00B602AA" w:rsidRPr="00243E85" w:rsidRDefault="005C5300">
            <w:pPr>
              <w:spacing w:after="0"/>
              <w:rPr>
                <w:rFonts w:eastAsia="Times New Roman"/>
                <w:noProof/>
                <w:color w:val="000000"/>
                <w:szCs w:val="24"/>
              </w:rPr>
            </w:pPr>
            <w:r w:rsidRPr="00243E85">
              <w:rPr>
                <w:noProof/>
                <w:color w:val="000000"/>
              </w:rPr>
              <w:t>HFC-41 CH</w:t>
            </w:r>
            <w:r w:rsidRPr="00243E85">
              <w:rPr>
                <w:noProof/>
                <w:color w:val="000000"/>
                <w:vertAlign w:val="subscript"/>
              </w:rPr>
              <w:t>3</w:t>
            </w:r>
            <w:r w:rsidRPr="00243E85">
              <w:rPr>
                <w:noProof/>
                <w:color w:val="000000"/>
              </w:rPr>
              <w:t>F</w:t>
            </w:r>
          </w:p>
        </w:tc>
      </w:tr>
      <w:tr w:rsidR="00B602AA" w:rsidRPr="00243E85">
        <w:trPr>
          <w:tblCellSpacing w:w="0" w:type="dxa"/>
        </w:trPr>
        <w:tc>
          <w:tcPr>
            <w:tcW w:w="0" w:type="auto"/>
            <w:hideMark/>
          </w:tcPr>
          <w:p w:rsidR="00B602AA" w:rsidRPr="00243E85" w:rsidRDefault="005C5300">
            <w:pPr>
              <w:spacing w:after="0"/>
              <w:rPr>
                <w:rFonts w:eastAsia="Times New Roman"/>
                <w:noProof/>
                <w:color w:val="000000"/>
                <w:szCs w:val="24"/>
              </w:rPr>
            </w:pPr>
            <w:r w:rsidRPr="00243E85">
              <w:rPr>
                <w:noProof/>
                <w:color w:val="000000"/>
              </w:rPr>
              <w:t>—</w:t>
            </w:r>
          </w:p>
        </w:tc>
        <w:tc>
          <w:tcPr>
            <w:tcW w:w="0" w:type="auto"/>
            <w:hideMark/>
          </w:tcPr>
          <w:p w:rsidR="00B602AA" w:rsidRPr="00243E85" w:rsidRDefault="005C5300">
            <w:pPr>
              <w:spacing w:after="0"/>
              <w:rPr>
                <w:rFonts w:eastAsia="Times New Roman"/>
                <w:noProof/>
                <w:color w:val="000000"/>
                <w:szCs w:val="24"/>
              </w:rPr>
            </w:pPr>
            <w:r w:rsidRPr="00243E85">
              <w:rPr>
                <w:noProof/>
                <w:color w:val="000000"/>
              </w:rPr>
              <w:t>HFC-125 CHF</w:t>
            </w:r>
            <w:r w:rsidRPr="00243E85">
              <w:rPr>
                <w:noProof/>
                <w:color w:val="000000"/>
                <w:vertAlign w:val="subscript"/>
              </w:rPr>
              <w:t>2</w:t>
            </w:r>
            <w:r w:rsidRPr="00243E85">
              <w:rPr>
                <w:noProof/>
                <w:color w:val="000000"/>
              </w:rPr>
              <w:t>CF</w:t>
            </w:r>
            <w:r w:rsidRPr="00243E85">
              <w:rPr>
                <w:noProof/>
                <w:color w:val="000000"/>
                <w:vertAlign w:val="subscript"/>
              </w:rPr>
              <w:t>3</w:t>
            </w:r>
            <w:r w:rsidRPr="00243E85">
              <w:rPr>
                <w:noProof/>
                <w:color w:val="000000"/>
              </w:rPr>
              <w:t xml:space="preserve"> </w:t>
            </w:r>
          </w:p>
        </w:tc>
      </w:tr>
      <w:tr w:rsidR="00B602AA" w:rsidRPr="00243E85">
        <w:trPr>
          <w:tblCellSpacing w:w="0" w:type="dxa"/>
        </w:trPr>
        <w:tc>
          <w:tcPr>
            <w:tcW w:w="0" w:type="auto"/>
            <w:hideMark/>
          </w:tcPr>
          <w:p w:rsidR="00B602AA" w:rsidRPr="00243E85" w:rsidRDefault="005C5300">
            <w:pPr>
              <w:spacing w:after="0"/>
              <w:rPr>
                <w:rFonts w:eastAsia="Times New Roman"/>
                <w:noProof/>
                <w:color w:val="000000"/>
                <w:szCs w:val="24"/>
              </w:rPr>
            </w:pPr>
            <w:r w:rsidRPr="00243E85">
              <w:rPr>
                <w:noProof/>
                <w:color w:val="000000"/>
              </w:rPr>
              <w:t>—</w:t>
            </w:r>
          </w:p>
        </w:tc>
        <w:tc>
          <w:tcPr>
            <w:tcW w:w="0" w:type="auto"/>
            <w:hideMark/>
          </w:tcPr>
          <w:p w:rsidR="00B602AA" w:rsidRPr="00243E85" w:rsidRDefault="005C5300">
            <w:pPr>
              <w:spacing w:after="0"/>
              <w:rPr>
                <w:rFonts w:eastAsia="Times New Roman"/>
                <w:noProof/>
                <w:color w:val="000000"/>
                <w:szCs w:val="24"/>
              </w:rPr>
            </w:pPr>
            <w:r w:rsidRPr="00243E85">
              <w:rPr>
                <w:noProof/>
                <w:color w:val="000000"/>
              </w:rPr>
              <w:t>HFC-134 CHF</w:t>
            </w:r>
            <w:r w:rsidRPr="00243E85">
              <w:rPr>
                <w:noProof/>
                <w:color w:val="000000"/>
                <w:vertAlign w:val="subscript"/>
              </w:rPr>
              <w:t>2</w:t>
            </w:r>
            <w:r w:rsidRPr="00243E85">
              <w:rPr>
                <w:noProof/>
                <w:color w:val="000000"/>
              </w:rPr>
              <w:t>CHF</w:t>
            </w:r>
            <w:r w:rsidRPr="00243E85">
              <w:rPr>
                <w:noProof/>
                <w:color w:val="000000"/>
                <w:vertAlign w:val="subscript"/>
              </w:rPr>
              <w:t>2</w:t>
            </w:r>
            <w:r w:rsidRPr="00243E85">
              <w:rPr>
                <w:noProof/>
                <w:color w:val="000000"/>
              </w:rPr>
              <w:t xml:space="preserve"> </w:t>
            </w:r>
          </w:p>
        </w:tc>
      </w:tr>
      <w:tr w:rsidR="00B602AA" w:rsidRPr="00243E85">
        <w:trPr>
          <w:tblCellSpacing w:w="0" w:type="dxa"/>
        </w:trPr>
        <w:tc>
          <w:tcPr>
            <w:tcW w:w="0" w:type="auto"/>
            <w:hideMark/>
          </w:tcPr>
          <w:p w:rsidR="00B602AA" w:rsidRPr="00243E85" w:rsidRDefault="005C5300">
            <w:pPr>
              <w:spacing w:after="0"/>
              <w:rPr>
                <w:rFonts w:eastAsia="Times New Roman"/>
                <w:noProof/>
                <w:color w:val="000000"/>
                <w:szCs w:val="24"/>
              </w:rPr>
            </w:pPr>
            <w:r w:rsidRPr="00243E85">
              <w:rPr>
                <w:noProof/>
                <w:color w:val="000000"/>
              </w:rPr>
              <w:t>—</w:t>
            </w:r>
          </w:p>
        </w:tc>
        <w:tc>
          <w:tcPr>
            <w:tcW w:w="0" w:type="auto"/>
            <w:hideMark/>
          </w:tcPr>
          <w:p w:rsidR="00B602AA" w:rsidRPr="00243E85" w:rsidRDefault="005C5300">
            <w:pPr>
              <w:spacing w:after="0"/>
              <w:rPr>
                <w:rFonts w:eastAsia="Times New Roman"/>
                <w:noProof/>
                <w:color w:val="000000"/>
                <w:szCs w:val="24"/>
              </w:rPr>
            </w:pPr>
            <w:r w:rsidRPr="00243E85">
              <w:rPr>
                <w:noProof/>
                <w:color w:val="000000"/>
              </w:rPr>
              <w:t>HFC-134a CH</w:t>
            </w:r>
            <w:r w:rsidRPr="00243E85">
              <w:rPr>
                <w:noProof/>
                <w:color w:val="000000"/>
                <w:vertAlign w:val="subscript"/>
              </w:rPr>
              <w:t>2</w:t>
            </w:r>
            <w:r w:rsidRPr="00243E85">
              <w:rPr>
                <w:noProof/>
                <w:color w:val="000000"/>
              </w:rPr>
              <w:t>FCF</w:t>
            </w:r>
            <w:r w:rsidRPr="00243E85">
              <w:rPr>
                <w:noProof/>
                <w:color w:val="000000"/>
                <w:vertAlign w:val="subscript"/>
              </w:rPr>
              <w:t>3</w:t>
            </w:r>
            <w:r w:rsidRPr="00243E85">
              <w:rPr>
                <w:noProof/>
                <w:color w:val="000000"/>
              </w:rPr>
              <w:t xml:space="preserve"> </w:t>
            </w:r>
          </w:p>
        </w:tc>
      </w:tr>
      <w:tr w:rsidR="00B602AA" w:rsidRPr="00243E85">
        <w:trPr>
          <w:tblCellSpacing w:w="0" w:type="dxa"/>
        </w:trPr>
        <w:tc>
          <w:tcPr>
            <w:tcW w:w="0" w:type="auto"/>
            <w:hideMark/>
          </w:tcPr>
          <w:p w:rsidR="00B602AA" w:rsidRPr="00243E85" w:rsidRDefault="005C5300">
            <w:pPr>
              <w:spacing w:after="0"/>
              <w:rPr>
                <w:rFonts w:eastAsia="Times New Roman"/>
                <w:noProof/>
                <w:color w:val="000000"/>
                <w:szCs w:val="24"/>
              </w:rPr>
            </w:pPr>
            <w:r w:rsidRPr="00243E85">
              <w:rPr>
                <w:noProof/>
                <w:color w:val="000000"/>
              </w:rPr>
              <w:t>—</w:t>
            </w:r>
          </w:p>
        </w:tc>
        <w:tc>
          <w:tcPr>
            <w:tcW w:w="0" w:type="auto"/>
            <w:hideMark/>
          </w:tcPr>
          <w:p w:rsidR="00B602AA" w:rsidRPr="00243E85" w:rsidRDefault="005C5300">
            <w:pPr>
              <w:spacing w:after="0"/>
              <w:rPr>
                <w:rFonts w:eastAsia="Times New Roman"/>
                <w:noProof/>
                <w:color w:val="000000"/>
                <w:szCs w:val="24"/>
              </w:rPr>
            </w:pPr>
            <w:r w:rsidRPr="00243E85">
              <w:rPr>
                <w:noProof/>
                <w:color w:val="000000"/>
              </w:rPr>
              <w:t>HFC-143 CH</w:t>
            </w:r>
            <w:r w:rsidRPr="00243E85">
              <w:rPr>
                <w:noProof/>
                <w:color w:val="000000"/>
                <w:vertAlign w:val="subscript"/>
              </w:rPr>
              <w:t>2</w:t>
            </w:r>
            <w:r w:rsidRPr="00243E85">
              <w:rPr>
                <w:noProof/>
                <w:color w:val="000000"/>
              </w:rPr>
              <w:t>FCHF</w:t>
            </w:r>
            <w:r w:rsidRPr="00243E85">
              <w:rPr>
                <w:noProof/>
                <w:color w:val="000000"/>
                <w:vertAlign w:val="subscript"/>
              </w:rPr>
              <w:t>2</w:t>
            </w:r>
            <w:r w:rsidRPr="00243E85">
              <w:rPr>
                <w:noProof/>
                <w:color w:val="000000"/>
              </w:rPr>
              <w:t xml:space="preserve"> </w:t>
            </w:r>
          </w:p>
        </w:tc>
      </w:tr>
      <w:tr w:rsidR="00B602AA" w:rsidRPr="00243E85">
        <w:trPr>
          <w:tblCellSpacing w:w="0" w:type="dxa"/>
        </w:trPr>
        <w:tc>
          <w:tcPr>
            <w:tcW w:w="0" w:type="auto"/>
            <w:hideMark/>
          </w:tcPr>
          <w:p w:rsidR="00B602AA" w:rsidRPr="00243E85" w:rsidRDefault="005C5300">
            <w:pPr>
              <w:spacing w:after="0"/>
              <w:rPr>
                <w:rFonts w:eastAsia="Times New Roman"/>
                <w:noProof/>
                <w:color w:val="000000"/>
                <w:szCs w:val="24"/>
              </w:rPr>
            </w:pPr>
            <w:r w:rsidRPr="00243E85">
              <w:rPr>
                <w:noProof/>
                <w:color w:val="000000"/>
              </w:rPr>
              <w:t>—</w:t>
            </w:r>
          </w:p>
        </w:tc>
        <w:tc>
          <w:tcPr>
            <w:tcW w:w="0" w:type="auto"/>
            <w:hideMark/>
          </w:tcPr>
          <w:p w:rsidR="00B602AA" w:rsidRPr="00243E85" w:rsidRDefault="005C5300">
            <w:pPr>
              <w:spacing w:after="0"/>
              <w:rPr>
                <w:rFonts w:eastAsia="Times New Roman"/>
                <w:noProof/>
                <w:color w:val="000000"/>
                <w:szCs w:val="24"/>
              </w:rPr>
            </w:pPr>
            <w:r w:rsidRPr="00243E85">
              <w:rPr>
                <w:noProof/>
                <w:color w:val="000000"/>
              </w:rPr>
              <w:t>HFC-143a CH</w:t>
            </w:r>
            <w:r w:rsidRPr="00243E85">
              <w:rPr>
                <w:noProof/>
                <w:color w:val="000000"/>
                <w:vertAlign w:val="subscript"/>
              </w:rPr>
              <w:t>3</w:t>
            </w:r>
            <w:r w:rsidRPr="00243E85">
              <w:rPr>
                <w:noProof/>
                <w:color w:val="000000"/>
              </w:rPr>
              <w:t>CF</w:t>
            </w:r>
            <w:r w:rsidRPr="00243E85">
              <w:rPr>
                <w:noProof/>
                <w:color w:val="000000"/>
                <w:vertAlign w:val="subscript"/>
              </w:rPr>
              <w:t>3</w:t>
            </w:r>
            <w:r w:rsidRPr="00243E85">
              <w:rPr>
                <w:noProof/>
                <w:color w:val="000000"/>
              </w:rPr>
              <w:t xml:space="preserve"> </w:t>
            </w:r>
          </w:p>
        </w:tc>
      </w:tr>
      <w:tr w:rsidR="00B602AA" w:rsidRPr="00243E85">
        <w:trPr>
          <w:tblCellSpacing w:w="0" w:type="dxa"/>
        </w:trPr>
        <w:tc>
          <w:tcPr>
            <w:tcW w:w="0" w:type="auto"/>
            <w:hideMark/>
          </w:tcPr>
          <w:p w:rsidR="00B602AA" w:rsidRPr="00243E85" w:rsidRDefault="005C5300">
            <w:pPr>
              <w:spacing w:after="0"/>
              <w:rPr>
                <w:rFonts w:eastAsia="Times New Roman"/>
                <w:noProof/>
                <w:color w:val="000000"/>
                <w:szCs w:val="24"/>
              </w:rPr>
            </w:pPr>
            <w:r w:rsidRPr="00243E85">
              <w:rPr>
                <w:noProof/>
                <w:color w:val="000000"/>
              </w:rPr>
              <w:t>—</w:t>
            </w:r>
          </w:p>
        </w:tc>
        <w:tc>
          <w:tcPr>
            <w:tcW w:w="0" w:type="auto"/>
            <w:hideMark/>
          </w:tcPr>
          <w:p w:rsidR="00B602AA" w:rsidRPr="00243E85" w:rsidRDefault="005C5300">
            <w:pPr>
              <w:spacing w:after="0"/>
              <w:rPr>
                <w:rFonts w:eastAsia="Times New Roman"/>
                <w:noProof/>
                <w:color w:val="000000"/>
                <w:szCs w:val="24"/>
              </w:rPr>
            </w:pPr>
            <w:r w:rsidRPr="00243E85">
              <w:rPr>
                <w:noProof/>
                <w:color w:val="000000"/>
              </w:rPr>
              <w:t>HFC-152 CH</w:t>
            </w:r>
            <w:r w:rsidRPr="00243E85">
              <w:rPr>
                <w:noProof/>
                <w:color w:val="000000"/>
                <w:vertAlign w:val="subscript"/>
              </w:rPr>
              <w:t>2</w:t>
            </w:r>
            <w:r w:rsidRPr="00243E85">
              <w:rPr>
                <w:noProof/>
                <w:color w:val="000000"/>
              </w:rPr>
              <w:t>FCH</w:t>
            </w:r>
            <w:r w:rsidRPr="00243E85">
              <w:rPr>
                <w:noProof/>
                <w:color w:val="000000"/>
                <w:vertAlign w:val="subscript"/>
              </w:rPr>
              <w:t>2</w:t>
            </w:r>
            <w:r w:rsidRPr="00243E85">
              <w:rPr>
                <w:noProof/>
                <w:color w:val="000000"/>
              </w:rPr>
              <w:t>F</w:t>
            </w:r>
          </w:p>
        </w:tc>
      </w:tr>
      <w:tr w:rsidR="00B602AA" w:rsidRPr="00243E85">
        <w:trPr>
          <w:tblCellSpacing w:w="0" w:type="dxa"/>
        </w:trPr>
        <w:tc>
          <w:tcPr>
            <w:tcW w:w="0" w:type="auto"/>
            <w:hideMark/>
          </w:tcPr>
          <w:p w:rsidR="00B602AA" w:rsidRPr="00243E85" w:rsidRDefault="005C5300">
            <w:pPr>
              <w:spacing w:after="0"/>
              <w:rPr>
                <w:rFonts w:eastAsia="Times New Roman"/>
                <w:noProof/>
                <w:color w:val="000000"/>
                <w:szCs w:val="24"/>
              </w:rPr>
            </w:pPr>
            <w:r w:rsidRPr="00243E85">
              <w:rPr>
                <w:noProof/>
                <w:color w:val="000000"/>
              </w:rPr>
              <w:t>—</w:t>
            </w:r>
          </w:p>
        </w:tc>
        <w:tc>
          <w:tcPr>
            <w:tcW w:w="0" w:type="auto"/>
            <w:hideMark/>
          </w:tcPr>
          <w:p w:rsidR="00B602AA" w:rsidRPr="00243E85" w:rsidRDefault="005C5300">
            <w:pPr>
              <w:spacing w:after="0"/>
              <w:rPr>
                <w:rFonts w:eastAsia="Times New Roman"/>
                <w:noProof/>
                <w:color w:val="000000"/>
                <w:szCs w:val="24"/>
              </w:rPr>
            </w:pPr>
            <w:r w:rsidRPr="00243E85">
              <w:rPr>
                <w:noProof/>
                <w:color w:val="000000"/>
              </w:rPr>
              <w:t>HFC-152a CH</w:t>
            </w:r>
            <w:r w:rsidRPr="00243E85">
              <w:rPr>
                <w:noProof/>
                <w:color w:val="000000"/>
                <w:vertAlign w:val="subscript"/>
              </w:rPr>
              <w:t>3</w:t>
            </w:r>
            <w:r w:rsidRPr="00243E85">
              <w:rPr>
                <w:noProof/>
                <w:color w:val="000000"/>
              </w:rPr>
              <w:t>CHF</w:t>
            </w:r>
            <w:r w:rsidRPr="00243E85">
              <w:rPr>
                <w:noProof/>
                <w:color w:val="000000"/>
                <w:vertAlign w:val="subscript"/>
              </w:rPr>
              <w:t>2</w:t>
            </w:r>
            <w:r w:rsidRPr="00243E85">
              <w:rPr>
                <w:noProof/>
                <w:color w:val="000000"/>
              </w:rPr>
              <w:t xml:space="preserve"> </w:t>
            </w:r>
          </w:p>
        </w:tc>
      </w:tr>
      <w:tr w:rsidR="00B602AA" w:rsidRPr="00243E85">
        <w:trPr>
          <w:tblCellSpacing w:w="0" w:type="dxa"/>
        </w:trPr>
        <w:tc>
          <w:tcPr>
            <w:tcW w:w="0" w:type="auto"/>
            <w:hideMark/>
          </w:tcPr>
          <w:p w:rsidR="00B602AA" w:rsidRPr="00243E85" w:rsidRDefault="005C5300">
            <w:pPr>
              <w:spacing w:after="0"/>
              <w:rPr>
                <w:rFonts w:eastAsia="Times New Roman"/>
                <w:noProof/>
                <w:color w:val="000000"/>
                <w:szCs w:val="24"/>
              </w:rPr>
            </w:pPr>
            <w:r w:rsidRPr="00243E85">
              <w:rPr>
                <w:noProof/>
                <w:color w:val="000000"/>
              </w:rPr>
              <w:t>—</w:t>
            </w:r>
          </w:p>
        </w:tc>
        <w:tc>
          <w:tcPr>
            <w:tcW w:w="0" w:type="auto"/>
            <w:hideMark/>
          </w:tcPr>
          <w:p w:rsidR="00B602AA" w:rsidRPr="00243E85" w:rsidRDefault="005C5300">
            <w:pPr>
              <w:spacing w:after="0"/>
              <w:rPr>
                <w:rFonts w:eastAsia="Times New Roman"/>
                <w:noProof/>
                <w:color w:val="000000"/>
                <w:szCs w:val="24"/>
              </w:rPr>
            </w:pPr>
            <w:r w:rsidRPr="00243E85">
              <w:rPr>
                <w:noProof/>
                <w:color w:val="000000"/>
              </w:rPr>
              <w:t>HFC-161 CH</w:t>
            </w:r>
            <w:r w:rsidRPr="00243E85">
              <w:rPr>
                <w:noProof/>
                <w:color w:val="000000"/>
                <w:vertAlign w:val="subscript"/>
              </w:rPr>
              <w:t>3</w:t>
            </w:r>
            <w:r w:rsidRPr="00243E85">
              <w:rPr>
                <w:noProof/>
                <w:color w:val="000000"/>
              </w:rPr>
              <w:t>CH</w:t>
            </w:r>
            <w:r w:rsidRPr="00243E85">
              <w:rPr>
                <w:noProof/>
                <w:color w:val="000000"/>
                <w:vertAlign w:val="subscript"/>
              </w:rPr>
              <w:t>2</w:t>
            </w:r>
            <w:r w:rsidRPr="00243E85">
              <w:rPr>
                <w:noProof/>
                <w:color w:val="000000"/>
              </w:rPr>
              <w:t>F</w:t>
            </w:r>
          </w:p>
        </w:tc>
      </w:tr>
      <w:tr w:rsidR="00B602AA" w:rsidRPr="00243E85">
        <w:trPr>
          <w:tblCellSpacing w:w="0" w:type="dxa"/>
        </w:trPr>
        <w:tc>
          <w:tcPr>
            <w:tcW w:w="0" w:type="auto"/>
            <w:hideMark/>
          </w:tcPr>
          <w:p w:rsidR="00B602AA" w:rsidRPr="00243E85" w:rsidRDefault="005C5300">
            <w:pPr>
              <w:spacing w:after="0"/>
              <w:rPr>
                <w:rFonts w:eastAsia="Times New Roman"/>
                <w:noProof/>
                <w:color w:val="000000"/>
                <w:szCs w:val="24"/>
              </w:rPr>
            </w:pPr>
            <w:r w:rsidRPr="00243E85">
              <w:rPr>
                <w:noProof/>
                <w:color w:val="000000"/>
              </w:rPr>
              <w:t>—</w:t>
            </w:r>
          </w:p>
        </w:tc>
        <w:tc>
          <w:tcPr>
            <w:tcW w:w="0" w:type="auto"/>
            <w:hideMark/>
          </w:tcPr>
          <w:p w:rsidR="00B602AA" w:rsidRPr="00243E85" w:rsidRDefault="005C5300">
            <w:pPr>
              <w:spacing w:after="0"/>
              <w:rPr>
                <w:rFonts w:eastAsia="Times New Roman"/>
                <w:noProof/>
                <w:color w:val="000000"/>
                <w:szCs w:val="24"/>
              </w:rPr>
            </w:pPr>
            <w:r w:rsidRPr="00243E85">
              <w:rPr>
                <w:noProof/>
                <w:color w:val="000000"/>
              </w:rPr>
              <w:t>HFC-227ea CF</w:t>
            </w:r>
            <w:r w:rsidRPr="00243E85">
              <w:rPr>
                <w:noProof/>
                <w:color w:val="000000"/>
                <w:vertAlign w:val="subscript"/>
              </w:rPr>
              <w:t>3</w:t>
            </w:r>
            <w:r w:rsidRPr="00243E85">
              <w:rPr>
                <w:noProof/>
                <w:color w:val="000000"/>
              </w:rPr>
              <w:t>CHFCF</w:t>
            </w:r>
            <w:r w:rsidRPr="00243E85">
              <w:rPr>
                <w:noProof/>
                <w:color w:val="000000"/>
                <w:vertAlign w:val="subscript"/>
              </w:rPr>
              <w:t>3</w:t>
            </w:r>
            <w:r w:rsidRPr="00243E85">
              <w:rPr>
                <w:noProof/>
                <w:color w:val="000000"/>
              </w:rPr>
              <w:t xml:space="preserve"> </w:t>
            </w:r>
          </w:p>
        </w:tc>
      </w:tr>
      <w:tr w:rsidR="00B602AA" w:rsidRPr="00243E85">
        <w:trPr>
          <w:tblCellSpacing w:w="0" w:type="dxa"/>
        </w:trPr>
        <w:tc>
          <w:tcPr>
            <w:tcW w:w="0" w:type="auto"/>
            <w:hideMark/>
          </w:tcPr>
          <w:p w:rsidR="00B602AA" w:rsidRPr="00243E85" w:rsidRDefault="005C5300">
            <w:pPr>
              <w:spacing w:after="0"/>
              <w:rPr>
                <w:rFonts w:eastAsia="Times New Roman"/>
                <w:noProof/>
                <w:color w:val="000000"/>
                <w:szCs w:val="24"/>
              </w:rPr>
            </w:pPr>
            <w:r w:rsidRPr="00243E85">
              <w:rPr>
                <w:noProof/>
                <w:color w:val="000000"/>
              </w:rPr>
              <w:t>—</w:t>
            </w:r>
          </w:p>
        </w:tc>
        <w:tc>
          <w:tcPr>
            <w:tcW w:w="0" w:type="auto"/>
            <w:hideMark/>
          </w:tcPr>
          <w:p w:rsidR="00B602AA" w:rsidRPr="00243E85" w:rsidRDefault="005C5300">
            <w:pPr>
              <w:spacing w:after="0"/>
              <w:rPr>
                <w:rFonts w:eastAsia="Times New Roman"/>
                <w:noProof/>
                <w:color w:val="000000"/>
                <w:szCs w:val="24"/>
              </w:rPr>
            </w:pPr>
            <w:r w:rsidRPr="00243E85">
              <w:rPr>
                <w:noProof/>
                <w:color w:val="000000"/>
              </w:rPr>
              <w:t>HFC-236cb CF</w:t>
            </w:r>
            <w:r w:rsidRPr="00243E85">
              <w:rPr>
                <w:noProof/>
                <w:color w:val="000000"/>
                <w:vertAlign w:val="subscript"/>
              </w:rPr>
              <w:t>3</w:t>
            </w:r>
            <w:r w:rsidRPr="00243E85">
              <w:rPr>
                <w:noProof/>
                <w:color w:val="000000"/>
              </w:rPr>
              <w:t>CF</w:t>
            </w:r>
            <w:r w:rsidRPr="00243E85">
              <w:rPr>
                <w:noProof/>
                <w:color w:val="000000"/>
                <w:vertAlign w:val="subscript"/>
              </w:rPr>
              <w:t>2</w:t>
            </w:r>
            <w:r w:rsidRPr="00243E85">
              <w:rPr>
                <w:noProof/>
                <w:color w:val="000000"/>
              </w:rPr>
              <w:t>CH</w:t>
            </w:r>
            <w:r w:rsidRPr="00243E85">
              <w:rPr>
                <w:noProof/>
                <w:color w:val="000000"/>
                <w:vertAlign w:val="subscript"/>
              </w:rPr>
              <w:t>2</w:t>
            </w:r>
            <w:r w:rsidRPr="00243E85">
              <w:rPr>
                <w:noProof/>
                <w:color w:val="000000"/>
              </w:rPr>
              <w:t>F</w:t>
            </w:r>
          </w:p>
        </w:tc>
      </w:tr>
      <w:tr w:rsidR="00B602AA" w:rsidRPr="00243E85">
        <w:trPr>
          <w:tblCellSpacing w:w="0" w:type="dxa"/>
        </w:trPr>
        <w:tc>
          <w:tcPr>
            <w:tcW w:w="0" w:type="auto"/>
            <w:hideMark/>
          </w:tcPr>
          <w:p w:rsidR="00B602AA" w:rsidRPr="00243E85" w:rsidRDefault="005C5300">
            <w:pPr>
              <w:spacing w:after="0"/>
              <w:rPr>
                <w:rFonts w:eastAsia="Times New Roman"/>
                <w:noProof/>
                <w:color w:val="000000"/>
                <w:szCs w:val="24"/>
              </w:rPr>
            </w:pPr>
            <w:r w:rsidRPr="00243E85">
              <w:rPr>
                <w:noProof/>
                <w:color w:val="000000"/>
              </w:rPr>
              <w:t>—</w:t>
            </w:r>
          </w:p>
        </w:tc>
        <w:tc>
          <w:tcPr>
            <w:tcW w:w="0" w:type="auto"/>
            <w:hideMark/>
          </w:tcPr>
          <w:p w:rsidR="00B602AA" w:rsidRPr="00243E85" w:rsidRDefault="005C5300">
            <w:pPr>
              <w:spacing w:after="0"/>
              <w:rPr>
                <w:rFonts w:eastAsia="Times New Roman"/>
                <w:noProof/>
                <w:color w:val="000000"/>
                <w:szCs w:val="24"/>
              </w:rPr>
            </w:pPr>
            <w:r w:rsidRPr="00243E85">
              <w:rPr>
                <w:noProof/>
                <w:color w:val="000000"/>
              </w:rPr>
              <w:t>HFC-236ea CF</w:t>
            </w:r>
            <w:r w:rsidRPr="00243E85">
              <w:rPr>
                <w:noProof/>
                <w:color w:val="000000"/>
                <w:vertAlign w:val="subscript"/>
              </w:rPr>
              <w:t>3</w:t>
            </w:r>
            <w:r w:rsidRPr="00243E85">
              <w:rPr>
                <w:noProof/>
                <w:color w:val="000000"/>
              </w:rPr>
              <w:t>CHFCHF</w:t>
            </w:r>
            <w:r w:rsidRPr="00243E85">
              <w:rPr>
                <w:noProof/>
                <w:color w:val="000000"/>
                <w:vertAlign w:val="subscript"/>
              </w:rPr>
              <w:t>2</w:t>
            </w:r>
            <w:r w:rsidRPr="00243E85">
              <w:rPr>
                <w:noProof/>
                <w:color w:val="000000"/>
              </w:rPr>
              <w:t xml:space="preserve"> </w:t>
            </w:r>
          </w:p>
        </w:tc>
      </w:tr>
      <w:tr w:rsidR="00B602AA" w:rsidRPr="00243E85">
        <w:trPr>
          <w:tblCellSpacing w:w="0" w:type="dxa"/>
        </w:trPr>
        <w:tc>
          <w:tcPr>
            <w:tcW w:w="0" w:type="auto"/>
            <w:hideMark/>
          </w:tcPr>
          <w:p w:rsidR="00B602AA" w:rsidRPr="00243E85" w:rsidRDefault="005C5300">
            <w:pPr>
              <w:spacing w:after="0"/>
              <w:rPr>
                <w:rFonts w:eastAsia="Times New Roman"/>
                <w:noProof/>
                <w:color w:val="000000"/>
                <w:szCs w:val="24"/>
              </w:rPr>
            </w:pPr>
            <w:r w:rsidRPr="00243E85">
              <w:rPr>
                <w:noProof/>
                <w:color w:val="000000"/>
              </w:rPr>
              <w:t>—</w:t>
            </w:r>
          </w:p>
        </w:tc>
        <w:tc>
          <w:tcPr>
            <w:tcW w:w="0" w:type="auto"/>
            <w:hideMark/>
          </w:tcPr>
          <w:p w:rsidR="00B602AA" w:rsidRPr="00243E85" w:rsidRDefault="005C5300">
            <w:pPr>
              <w:spacing w:after="0"/>
              <w:rPr>
                <w:rFonts w:eastAsia="Times New Roman"/>
                <w:noProof/>
                <w:color w:val="000000"/>
                <w:szCs w:val="24"/>
              </w:rPr>
            </w:pPr>
            <w:r w:rsidRPr="00243E85">
              <w:rPr>
                <w:noProof/>
                <w:color w:val="000000"/>
              </w:rPr>
              <w:t>HFC-236fa CF</w:t>
            </w:r>
            <w:r w:rsidRPr="00243E85">
              <w:rPr>
                <w:noProof/>
                <w:color w:val="000000"/>
                <w:vertAlign w:val="subscript"/>
              </w:rPr>
              <w:t>3</w:t>
            </w:r>
            <w:r w:rsidRPr="00243E85">
              <w:rPr>
                <w:noProof/>
                <w:color w:val="000000"/>
              </w:rPr>
              <w:t>CH</w:t>
            </w:r>
            <w:r w:rsidRPr="00243E85">
              <w:rPr>
                <w:noProof/>
                <w:color w:val="000000"/>
                <w:vertAlign w:val="subscript"/>
              </w:rPr>
              <w:t>2</w:t>
            </w:r>
            <w:r w:rsidRPr="00243E85">
              <w:rPr>
                <w:noProof/>
                <w:color w:val="000000"/>
              </w:rPr>
              <w:t>CF</w:t>
            </w:r>
            <w:r w:rsidRPr="00243E85">
              <w:rPr>
                <w:noProof/>
                <w:color w:val="000000"/>
                <w:vertAlign w:val="subscript"/>
              </w:rPr>
              <w:t>3</w:t>
            </w:r>
            <w:r w:rsidRPr="00243E85">
              <w:rPr>
                <w:noProof/>
                <w:color w:val="000000"/>
              </w:rPr>
              <w:t xml:space="preserve"> </w:t>
            </w:r>
          </w:p>
        </w:tc>
      </w:tr>
      <w:tr w:rsidR="00B602AA" w:rsidRPr="00243E85">
        <w:trPr>
          <w:tblCellSpacing w:w="0" w:type="dxa"/>
        </w:trPr>
        <w:tc>
          <w:tcPr>
            <w:tcW w:w="0" w:type="auto"/>
            <w:hideMark/>
          </w:tcPr>
          <w:p w:rsidR="00B602AA" w:rsidRPr="00243E85" w:rsidRDefault="005C5300">
            <w:pPr>
              <w:spacing w:after="0"/>
              <w:rPr>
                <w:rFonts w:eastAsia="Times New Roman"/>
                <w:noProof/>
                <w:color w:val="000000"/>
                <w:szCs w:val="24"/>
              </w:rPr>
            </w:pPr>
            <w:r w:rsidRPr="00243E85">
              <w:rPr>
                <w:noProof/>
                <w:color w:val="000000"/>
              </w:rPr>
              <w:t>—</w:t>
            </w:r>
          </w:p>
        </w:tc>
        <w:tc>
          <w:tcPr>
            <w:tcW w:w="0" w:type="auto"/>
            <w:hideMark/>
          </w:tcPr>
          <w:p w:rsidR="00B602AA" w:rsidRPr="00243E85" w:rsidRDefault="005C5300">
            <w:pPr>
              <w:spacing w:after="0"/>
              <w:rPr>
                <w:rFonts w:eastAsia="Times New Roman"/>
                <w:noProof/>
                <w:color w:val="000000"/>
                <w:szCs w:val="24"/>
              </w:rPr>
            </w:pPr>
            <w:r w:rsidRPr="00243E85">
              <w:rPr>
                <w:noProof/>
                <w:color w:val="000000"/>
              </w:rPr>
              <w:t>HFC-245fa CHF</w:t>
            </w:r>
            <w:r w:rsidRPr="00243E85">
              <w:rPr>
                <w:noProof/>
                <w:color w:val="000000"/>
                <w:vertAlign w:val="subscript"/>
              </w:rPr>
              <w:t>2</w:t>
            </w:r>
            <w:r w:rsidRPr="00243E85">
              <w:rPr>
                <w:noProof/>
                <w:color w:val="000000"/>
              </w:rPr>
              <w:t>CH</w:t>
            </w:r>
            <w:r w:rsidRPr="00243E85">
              <w:rPr>
                <w:noProof/>
                <w:color w:val="000000"/>
                <w:vertAlign w:val="subscript"/>
              </w:rPr>
              <w:t>2</w:t>
            </w:r>
            <w:r w:rsidRPr="00243E85">
              <w:rPr>
                <w:noProof/>
                <w:color w:val="000000"/>
              </w:rPr>
              <w:t>CF</w:t>
            </w:r>
            <w:r w:rsidRPr="00243E85">
              <w:rPr>
                <w:noProof/>
                <w:color w:val="000000"/>
                <w:vertAlign w:val="subscript"/>
              </w:rPr>
              <w:t>3</w:t>
            </w:r>
            <w:r w:rsidRPr="00243E85">
              <w:rPr>
                <w:noProof/>
                <w:color w:val="000000"/>
              </w:rPr>
              <w:t xml:space="preserve"> </w:t>
            </w:r>
          </w:p>
        </w:tc>
      </w:tr>
      <w:tr w:rsidR="00B602AA" w:rsidRPr="00243E85">
        <w:trPr>
          <w:tblCellSpacing w:w="0" w:type="dxa"/>
        </w:trPr>
        <w:tc>
          <w:tcPr>
            <w:tcW w:w="0" w:type="auto"/>
            <w:hideMark/>
          </w:tcPr>
          <w:p w:rsidR="00B602AA" w:rsidRPr="00243E85" w:rsidRDefault="005C5300">
            <w:pPr>
              <w:spacing w:after="0"/>
              <w:rPr>
                <w:rFonts w:eastAsia="Times New Roman"/>
                <w:noProof/>
                <w:color w:val="000000"/>
                <w:szCs w:val="24"/>
              </w:rPr>
            </w:pPr>
            <w:r w:rsidRPr="00243E85">
              <w:rPr>
                <w:noProof/>
                <w:color w:val="000000"/>
              </w:rPr>
              <w:lastRenderedPageBreak/>
              <w:t>—</w:t>
            </w:r>
          </w:p>
        </w:tc>
        <w:tc>
          <w:tcPr>
            <w:tcW w:w="0" w:type="auto"/>
            <w:hideMark/>
          </w:tcPr>
          <w:p w:rsidR="00B602AA" w:rsidRPr="00243E85" w:rsidRDefault="005C5300">
            <w:pPr>
              <w:spacing w:after="0"/>
              <w:rPr>
                <w:rFonts w:eastAsia="Times New Roman"/>
                <w:noProof/>
                <w:color w:val="000000"/>
                <w:szCs w:val="24"/>
              </w:rPr>
            </w:pPr>
            <w:r w:rsidRPr="00243E85">
              <w:rPr>
                <w:noProof/>
                <w:color w:val="000000"/>
              </w:rPr>
              <w:t>HFC-245ca CH</w:t>
            </w:r>
            <w:r w:rsidRPr="00243E85">
              <w:rPr>
                <w:noProof/>
                <w:color w:val="000000"/>
                <w:vertAlign w:val="subscript"/>
              </w:rPr>
              <w:t>2</w:t>
            </w:r>
            <w:r w:rsidRPr="00243E85">
              <w:rPr>
                <w:noProof/>
                <w:color w:val="000000"/>
              </w:rPr>
              <w:t>FCF</w:t>
            </w:r>
            <w:r w:rsidRPr="00243E85">
              <w:rPr>
                <w:noProof/>
                <w:color w:val="000000"/>
                <w:vertAlign w:val="subscript"/>
              </w:rPr>
              <w:t>2</w:t>
            </w:r>
            <w:r w:rsidRPr="00243E85">
              <w:rPr>
                <w:noProof/>
                <w:color w:val="000000"/>
              </w:rPr>
              <w:t>CHF</w:t>
            </w:r>
            <w:r w:rsidRPr="00243E85">
              <w:rPr>
                <w:noProof/>
                <w:color w:val="000000"/>
                <w:vertAlign w:val="subscript"/>
              </w:rPr>
              <w:t>2</w:t>
            </w:r>
            <w:r w:rsidRPr="00243E85">
              <w:rPr>
                <w:noProof/>
                <w:color w:val="000000"/>
              </w:rPr>
              <w:t xml:space="preserve"> </w:t>
            </w:r>
          </w:p>
        </w:tc>
      </w:tr>
      <w:tr w:rsidR="00B602AA" w:rsidRPr="00243E85">
        <w:trPr>
          <w:tblCellSpacing w:w="0" w:type="dxa"/>
        </w:trPr>
        <w:tc>
          <w:tcPr>
            <w:tcW w:w="0" w:type="auto"/>
            <w:hideMark/>
          </w:tcPr>
          <w:p w:rsidR="00B602AA" w:rsidRPr="00243E85" w:rsidRDefault="005C5300">
            <w:pPr>
              <w:spacing w:after="0"/>
              <w:rPr>
                <w:rFonts w:eastAsia="Times New Roman"/>
                <w:noProof/>
                <w:color w:val="000000"/>
                <w:szCs w:val="24"/>
              </w:rPr>
            </w:pPr>
            <w:r w:rsidRPr="00243E85">
              <w:rPr>
                <w:noProof/>
                <w:color w:val="000000"/>
              </w:rPr>
              <w:t>—</w:t>
            </w:r>
          </w:p>
        </w:tc>
        <w:tc>
          <w:tcPr>
            <w:tcW w:w="0" w:type="auto"/>
            <w:hideMark/>
          </w:tcPr>
          <w:p w:rsidR="00B602AA" w:rsidRPr="00243E85" w:rsidRDefault="005C5300">
            <w:pPr>
              <w:spacing w:after="0"/>
              <w:rPr>
                <w:rFonts w:eastAsia="Times New Roman"/>
                <w:noProof/>
                <w:color w:val="000000"/>
                <w:szCs w:val="24"/>
              </w:rPr>
            </w:pPr>
            <w:r w:rsidRPr="00243E85">
              <w:rPr>
                <w:noProof/>
                <w:color w:val="000000"/>
              </w:rPr>
              <w:t>HFC-365mfc CH</w:t>
            </w:r>
            <w:r w:rsidRPr="00243E85">
              <w:rPr>
                <w:noProof/>
                <w:color w:val="000000"/>
                <w:vertAlign w:val="subscript"/>
              </w:rPr>
              <w:t>3</w:t>
            </w:r>
            <w:r w:rsidRPr="00243E85">
              <w:rPr>
                <w:noProof/>
                <w:color w:val="000000"/>
              </w:rPr>
              <w:t>CF</w:t>
            </w:r>
            <w:r w:rsidRPr="00243E85">
              <w:rPr>
                <w:noProof/>
                <w:color w:val="000000"/>
                <w:vertAlign w:val="subscript"/>
              </w:rPr>
              <w:t>2</w:t>
            </w:r>
            <w:r w:rsidRPr="00243E85">
              <w:rPr>
                <w:noProof/>
                <w:color w:val="000000"/>
              </w:rPr>
              <w:t>CH</w:t>
            </w:r>
            <w:r w:rsidRPr="00243E85">
              <w:rPr>
                <w:noProof/>
                <w:color w:val="000000"/>
                <w:vertAlign w:val="subscript"/>
              </w:rPr>
              <w:t>2</w:t>
            </w:r>
            <w:r w:rsidRPr="00243E85">
              <w:rPr>
                <w:noProof/>
                <w:color w:val="000000"/>
              </w:rPr>
              <w:t>CF</w:t>
            </w:r>
            <w:r w:rsidRPr="00243E85">
              <w:rPr>
                <w:noProof/>
                <w:color w:val="000000"/>
                <w:vertAlign w:val="subscript"/>
              </w:rPr>
              <w:t>3</w:t>
            </w:r>
            <w:r w:rsidRPr="00243E85">
              <w:rPr>
                <w:noProof/>
                <w:color w:val="000000"/>
              </w:rPr>
              <w:t xml:space="preserve"> </w:t>
            </w:r>
          </w:p>
        </w:tc>
      </w:tr>
      <w:tr w:rsidR="00B602AA" w:rsidRPr="00243E85">
        <w:trPr>
          <w:tblCellSpacing w:w="0" w:type="dxa"/>
        </w:trPr>
        <w:tc>
          <w:tcPr>
            <w:tcW w:w="0" w:type="auto"/>
            <w:hideMark/>
          </w:tcPr>
          <w:p w:rsidR="00B602AA" w:rsidRPr="00243E85" w:rsidRDefault="005C5300">
            <w:pPr>
              <w:spacing w:after="0"/>
              <w:rPr>
                <w:rFonts w:eastAsia="Times New Roman"/>
                <w:noProof/>
                <w:color w:val="000000"/>
                <w:szCs w:val="24"/>
              </w:rPr>
            </w:pPr>
            <w:r w:rsidRPr="00243E85">
              <w:rPr>
                <w:noProof/>
                <w:color w:val="000000"/>
              </w:rPr>
              <w:t>—</w:t>
            </w:r>
          </w:p>
        </w:tc>
        <w:tc>
          <w:tcPr>
            <w:tcW w:w="0" w:type="auto"/>
            <w:hideMark/>
          </w:tcPr>
          <w:p w:rsidR="00B602AA" w:rsidRPr="00243E85" w:rsidRDefault="005C5300">
            <w:pPr>
              <w:spacing w:after="0"/>
              <w:rPr>
                <w:rFonts w:eastAsia="Times New Roman"/>
                <w:noProof/>
                <w:color w:val="000000"/>
                <w:szCs w:val="24"/>
              </w:rPr>
            </w:pPr>
            <w:r w:rsidRPr="00243E85">
              <w:rPr>
                <w:noProof/>
                <w:color w:val="000000"/>
              </w:rPr>
              <w:t>HFC-43-10mee CF</w:t>
            </w:r>
            <w:r w:rsidRPr="00243E85">
              <w:rPr>
                <w:noProof/>
                <w:color w:val="000000"/>
                <w:vertAlign w:val="subscript"/>
              </w:rPr>
              <w:t>3</w:t>
            </w:r>
            <w:r w:rsidRPr="00243E85">
              <w:rPr>
                <w:noProof/>
                <w:color w:val="000000"/>
              </w:rPr>
              <w:t>CHFCHFCF</w:t>
            </w:r>
            <w:r w:rsidRPr="00243E85">
              <w:rPr>
                <w:noProof/>
                <w:color w:val="000000"/>
                <w:vertAlign w:val="subscript"/>
              </w:rPr>
              <w:t>2</w:t>
            </w:r>
            <w:r w:rsidRPr="00243E85">
              <w:rPr>
                <w:noProof/>
                <w:color w:val="000000"/>
              </w:rPr>
              <w:t>CF</w:t>
            </w:r>
            <w:r w:rsidRPr="00243E85">
              <w:rPr>
                <w:noProof/>
                <w:color w:val="000000"/>
                <w:vertAlign w:val="subscript"/>
              </w:rPr>
              <w:t>3</w:t>
            </w:r>
            <w:r w:rsidRPr="00243E85">
              <w:rPr>
                <w:noProof/>
                <w:color w:val="000000"/>
              </w:rPr>
              <w:t xml:space="preserve"> arba (C</w:t>
            </w:r>
            <w:r w:rsidRPr="00243E85">
              <w:rPr>
                <w:noProof/>
                <w:color w:val="000000"/>
                <w:vertAlign w:val="subscript"/>
              </w:rPr>
              <w:t>5</w:t>
            </w:r>
            <w:r w:rsidRPr="00243E85">
              <w:rPr>
                <w:noProof/>
                <w:color w:val="000000"/>
              </w:rPr>
              <w:t>H</w:t>
            </w:r>
            <w:r w:rsidRPr="00243E85">
              <w:rPr>
                <w:noProof/>
                <w:color w:val="000000"/>
                <w:vertAlign w:val="subscript"/>
              </w:rPr>
              <w:t>2</w:t>
            </w:r>
            <w:r w:rsidRPr="00243E85">
              <w:rPr>
                <w:noProof/>
                <w:color w:val="000000"/>
              </w:rPr>
              <w:t>F</w:t>
            </w:r>
            <w:r w:rsidRPr="00243E85">
              <w:rPr>
                <w:noProof/>
                <w:color w:val="000000"/>
                <w:vertAlign w:val="subscript"/>
              </w:rPr>
              <w:t>10</w:t>
            </w:r>
            <w:r w:rsidRPr="00243E85">
              <w:rPr>
                <w:noProof/>
                <w:color w:val="000000"/>
              </w:rPr>
              <w:t>)</w:t>
            </w:r>
          </w:p>
        </w:tc>
      </w:tr>
    </w:tbl>
    <w:p w:rsidR="00B602AA" w:rsidRPr="00243E85" w:rsidRDefault="005C5300">
      <w:pPr>
        <w:spacing w:after="0"/>
        <w:rPr>
          <w:rFonts w:eastAsia="Times New Roman"/>
          <w:noProof/>
          <w:color w:val="000000"/>
          <w:szCs w:val="24"/>
        </w:rPr>
      </w:pPr>
      <w:r w:rsidRPr="00243E85">
        <w:rPr>
          <w:noProof/>
          <w:color w:val="000000"/>
        </w:rPr>
        <w:t>perfluorangliavandenilius (PFC):</w:t>
      </w:r>
    </w:p>
    <w:tbl>
      <w:tblPr>
        <w:tblW w:w="5000" w:type="pct"/>
        <w:tblCellSpacing w:w="0" w:type="dxa"/>
        <w:tblCellMar>
          <w:left w:w="0" w:type="dxa"/>
          <w:right w:w="0" w:type="dxa"/>
        </w:tblCellMar>
        <w:tblLook w:val="04A0" w:firstRow="1" w:lastRow="0" w:firstColumn="1" w:lastColumn="0" w:noHBand="0" w:noVBand="1"/>
      </w:tblPr>
      <w:tblGrid>
        <w:gridCol w:w="587"/>
        <w:gridCol w:w="8486"/>
      </w:tblGrid>
      <w:tr w:rsidR="00B602AA" w:rsidRPr="00243E85">
        <w:trPr>
          <w:tblCellSpacing w:w="0" w:type="dxa"/>
        </w:trPr>
        <w:tc>
          <w:tcPr>
            <w:tcW w:w="0" w:type="auto"/>
            <w:hideMark/>
          </w:tcPr>
          <w:p w:rsidR="00B602AA" w:rsidRPr="00243E85" w:rsidRDefault="005C5300">
            <w:pPr>
              <w:spacing w:after="0"/>
              <w:rPr>
                <w:rFonts w:eastAsia="Times New Roman"/>
                <w:noProof/>
                <w:color w:val="000000"/>
                <w:szCs w:val="24"/>
              </w:rPr>
            </w:pPr>
            <w:r w:rsidRPr="00243E85">
              <w:rPr>
                <w:noProof/>
                <w:color w:val="000000"/>
              </w:rPr>
              <w:t>—</w:t>
            </w:r>
          </w:p>
        </w:tc>
        <w:tc>
          <w:tcPr>
            <w:tcW w:w="0" w:type="auto"/>
            <w:hideMark/>
          </w:tcPr>
          <w:p w:rsidR="00B602AA" w:rsidRPr="00243E85" w:rsidRDefault="005C5300">
            <w:pPr>
              <w:spacing w:after="0"/>
              <w:rPr>
                <w:rFonts w:eastAsia="Times New Roman"/>
                <w:noProof/>
                <w:color w:val="000000"/>
                <w:szCs w:val="24"/>
              </w:rPr>
            </w:pPr>
            <w:r w:rsidRPr="00243E85">
              <w:rPr>
                <w:noProof/>
                <w:color w:val="000000"/>
              </w:rPr>
              <w:t>PFC-14, perfluormetaną, CF</w:t>
            </w:r>
            <w:r w:rsidRPr="00243E85">
              <w:rPr>
                <w:noProof/>
                <w:color w:val="000000"/>
                <w:vertAlign w:val="subscript"/>
              </w:rPr>
              <w:t>4</w:t>
            </w:r>
            <w:r w:rsidRPr="00243E85">
              <w:rPr>
                <w:noProof/>
                <w:color w:val="000000"/>
              </w:rPr>
              <w:t xml:space="preserve"> </w:t>
            </w:r>
          </w:p>
        </w:tc>
      </w:tr>
      <w:tr w:rsidR="00B602AA" w:rsidRPr="00243E85">
        <w:trPr>
          <w:tblCellSpacing w:w="0" w:type="dxa"/>
        </w:trPr>
        <w:tc>
          <w:tcPr>
            <w:tcW w:w="0" w:type="auto"/>
            <w:hideMark/>
          </w:tcPr>
          <w:p w:rsidR="00B602AA" w:rsidRPr="00243E85" w:rsidRDefault="005C5300">
            <w:pPr>
              <w:spacing w:after="0"/>
              <w:rPr>
                <w:rFonts w:eastAsia="Times New Roman"/>
                <w:noProof/>
                <w:color w:val="000000"/>
                <w:szCs w:val="24"/>
              </w:rPr>
            </w:pPr>
            <w:r w:rsidRPr="00243E85">
              <w:rPr>
                <w:noProof/>
                <w:color w:val="000000"/>
              </w:rPr>
              <w:t>—</w:t>
            </w:r>
          </w:p>
        </w:tc>
        <w:tc>
          <w:tcPr>
            <w:tcW w:w="0" w:type="auto"/>
            <w:hideMark/>
          </w:tcPr>
          <w:p w:rsidR="00B602AA" w:rsidRPr="00243E85" w:rsidRDefault="005C5300">
            <w:pPr>
              <w:spacing w:after="0"/>
              <w:rPr>
                <w:rFonts w:eastAsia="Times New Roman"/>
                <w:noProof/>
                <w:color w:val="000000"/>
                <w:szCs w:val="24"/>
              </w:rPr>
            </w:pPr>
            <w:r w:rsidRPr="00243E85">
              <w:rPr>
                <w:noProof/>
                <w:color w:val="000000"/>
              </w:rPr>
              <w:t>PFC-116, perfluoretaną, C</w:t>
            </w:r>
            <w:r w:rsidRPr="00243E85">
              <w:rPr>
                <w:noProof/>
                <w:color w:val="000000"/>
                <w:vertAlign w:val="subscript"/>
              </w:rPr>
              <w:t>2</w:t>
            </w:r>
            <w:r w:rsidRPr="00243E85">
              <w:rPr>
                <w:noProof/>
                <w:color w:val="000000"/>
              </w:rPr>
              <w:t>F</w:t>
            </w:r>
            <w:r w:rsidRPr="00243E85">
              <w:rPr>
                <w:noProof/>
                <w:color w:val="000000"/>
                <w:vertAlign w:val="subscript"/>
              </w:rPr>
              <w:t>6</w:t>
            </w:r>
            <w:r w:rsidRPr="00243E85">
              <w:rPr>
                <w:noProof/>
                <w:color w:val="000000"/>
              </w:rPr>
              <w:t xml:space="preserve"> </w:t>
            </w:r>
          </w:p>
        </w:tc>
      </w:tr>
      <w:tr w:rsidR="00B602AA" w:rsidRPr="00243E85">
        <w:trPr>
          <w:tblCellSpacing w:w="0" w:type="dxa"/>
        </w:trPr>
        <w:tc>
          <w:tcPr>
            <w:tcW w:w="0" w:type="auto"/>
            <w:hideMark/>
          </w:tcPr>
          <w:p w:rsidR="00B602AA" w:rsidRPr="00243E85" w:rsidRDefault="005C5300">
            <w:pPr>
              <w:spacing w:after="0"/>
              <w:rPr>
                <w:rFonts w:eastAsia="Times New Roman"/>
                <w:noProof/>
                <w:color w:val="000000"/>
                <w:szCs w:val="24"/>
              </w:rPr>
            </w:pPr>
            <w:r w:rsidRPr="00243E85">
              <w:rPr>
                <w:noProof/>
                <w:color w:val="000000"/>
              </w:rPr>
              <w:t>—</w:t>
            </w:r>
          </w:p>
        </w:tc>
        <w:tc>
          <w:tcPr>
            <w:tcW w:w="0" w:type="auto"/>
            <w:hideMark/>
          </w:tcPr>
          <w:p w:rsidR="00B602AA" w:rsidRPr="00243E85" w:rsidRDefault="005C5300">
            <w:pPr>
              <w:spacing w:after="0"/>
              <w:rPr>
                <w:rFonts w:eastAsia="Times New Roman"/>
                <w:noProof/>
                <w:color w:val="000000"/>
                <w:szCs w:val="24"/>
              </w:rPr>
            </w:pPr>
            <w:r w:rsidRPr="00243E85">
              <w:rPr>
                <w:noProof/>
                <w:color w:val="000000"/>
              </w:rPr>
              <w:t>PFC-218, perfluorpropaną, C</w:t>
            </w:r>
            <w:r w:rsidRPr="00243E85">
              <w:rPr>
                <w:noProof/>
                <w:color w:val="000000"/>
                <w:vertAlign w:val="subscript"/>
              </w:rPr>
              <w:t>3</w:t>
            </w:r>
            <w:r w:rsidRPr="00243E85">
              <w:rPr>
                <w:noProof/>
                <w:color w:val="000000"/>
              </w:rPr>
              <w:t>F</w:t>
            </w:r>
            <w:r w:rsidRPr="00243E85">
              <w:rPr>
                <w:noProof/>
                <w:color w:val="000000"/>
                <w:vertAlign w:val="subscript"/>
              </w:rPr>
              <w:t>8</w:t>
            </w:r>
            <w:r w:rsidRPr="00243E85">
              <w:rPr>
                <w:noProof/>
                <w:color w:val="000000"/>
              </w:rPr>
              <w:t xml:space="preserve"> </w:t>
            </w:r>
          </w:p>
        </w:tc>
      </w:tr>
      <w:tr w:rsidR="00B602AA" w:rsidRPr="00243E85">
        <w:trPr>
          <w:tblCellSpacing w:w="0" w:type="dxa"/>
        </w:trPr>
        <w:tc>
          <w:tcPr>
            <w:tcW w:w="0" w:type="auto"/>
            <w:hideMark/>
          </w:tcPr>
          <w:p w:rsidR="00B602AA" w:rsidRPr="00243E85" w:rsidRDefault="005C5300">
            <w:pPr>
              <w:spacing w:after="0"/>
              <w:rPr>
                <w:rFonts w:eastAsia="Times New Roman"/>
                <w:noProof/>
                <w:color w:val="000000"/>
                <w:szCs w:val="24"/>
              </w:rPr>
            </w:pPr>
            <w:r w:rsidRPr="00243E85">
              <w:rPr>
                <w:noProof/>
                <w:color w:val="000000"/>
              </w:rPr>
              <w:t>—</w:t>
            </w:r>
          </w:p>
        </w:tc>
        <w:tc>
          <w:tcPr>
            <w:tcW w:w="0" w:type="auto"/>
            <w:hideMark/>
          </w:tcPr>
          <w:p w:rsidR="00B602AA" w:rsidRPr="00243E85" w:rsidRDefault="005C5300">
            <w:pPr>
              <w:spacing w:after="0"/>
              <w:rPr>
                <w:rFonts w:eastAsia="Times New Roman"/>
                <w:noProof/>
                <w:color w:val="000000"/>
                <w:szCs w:val="24"/>
              </w:rPr>
            </w:pPr>
            <w:r w:rsidRPr="00243E85">
              <w:rPr>
                <w:noProof/>
                <w:color w:val="000000"/>
              </w:rPr>
              <w:t>PFC-318, perfluorciklobutaną, C</w:t>
            </w:r>
            <w:r w:rsidRPr="00243E85">
              <w:rPr>
                <w:noProof/>
                <w:color w:val="000000"/>
                <w:vertAlign w:val="subscript"/>
              </w:rPr>
              <w:t>4</w:t>
            </w:r>
            <w:r w:rsidRPr="00243E85">
              <w:rPr>
                <w:noProof/>
                <w:color w:val="000000"/>
              </w:rPr>
              <w:t>F</w:t>
            </w:r>
            <w:r w:rsidRPr="00243E85">
              <w:rPr>
                <w:noProof/>
                <w:color w:val="000000"/>
                <w:vertAlign w:val="subscript"/>
              </w:rPr>
              <w:t>8</w:t>
            </w:r>
            <w:r w:rsidRPr="00243E85">
              <w:rPr>
                <w:noProof/>
                <w:color w:val="000000"/>
              </w:rPr>
              <w:t xml:space="preserve"> </w:t>
            </w:r>
          </w:p>
        </w:tc>
      </w:tr>
      <w:tr w:rsidR="00B602AA" w:rsidRPr="00243E85">
        <w:trPr>
          <w:tblCellSpacing w:w="0" w:type="dxa"/>
        </w:trPr>
        <w:tc>
          <w:tcPr>
            <w:tcW w:w="0" w:type="auto"/>
            <w:hideMark/>
          </w:tcPr>
          <w:p w:rsidR="00B602AA" w:rsidRPr="00243E85" w:rsidRDefault="005C5300">
            <w:pPr>
              <w:spacing w:after="0"/>
              <w:rPr>
                <w:rFonts w:eastAsia="Times New Roman"/>
                <w:noProof/>
                <w:color w:val="000000"/>
                <w:szCs w:val="24"/>
              </w:rPr>
            </w:pPr>
            <w:r w:rsidRPr="00243E85">
              <w:rPr>
                <w:noProof/>
                <w:color w:val="000000"/>
              </w:rPr>
              <w:t>—</w:t>
            </w:r>
          </w:p>
        </w:tc>
        <w:tc>
          <w:tcPr>
            <w:tcW w:w="0" w:type="auto"/>
            <w:hideMark/>
          </w:tcPr>
          <w:p w:rsidR="00B602AA" w:rsidRPr="00243E85" w:rsidRDefault="005C5300">
            <w:pPr>
              <w:spacing w:after="0"/>
              <w:rPr>
                <w:rFonts w:eastAsia="Times New Roman"/>
                <w:noProof/>
                <w:color w:val="000000"/>
                <w:szCs w:val="24"/>
              </w:rPr>
            </w:pPr>
            <w:r w:rsidRPr="00243E85">
              <w:rPr>
                <w:noProof/>
                <w:color w:val="000000"/>
              </w:rPr>
              <w:t>perfluorciklopropaną c-C</w:t>
            </w:r>
            <w:r w:rsidRPr="00243E85">
              <w:rPr>
                <w:noProof/>
                <w:color w:val="000000"/>
                <w:vertAlign w:val="subscript"/>
              </w:rPr>
              <w:t>3</w:t>
            </w:r>
            <w:r w:rsidRPr="00243E85">
              <w:rPr>
                <w:noProof/>
                <w:color w:val="000000"/>
              </w:rPr>
              <w:t>F</w:t>
            </w:r>
            <w:r w:rsidRPr="00243E85">
              <w:rPr>
                <w:noProof/>
                <w:color w:val="000000"/>
                <w:vertAlign w:val="subscript"/>
              </w:rPr>
              <w:t>6</w:t>
            </w:r>
            <w:r w:rsidRPr="00243E85">
              <w:rPr>
                <w:noProof/>
                <w:color w:val="000000"/>
              </w:rPr>
              <w:t xml:space="preserve"> </w:t>
            </w:r>
          </w:p>
        </w:tc>
      </w:tr>
      <w:tr w:rsidR="00B602AA" w:rsidRPr="00243E85">
        <w:trPr>
          <w:tblCellSpacing w:w="0" w:type="dxa"/>
        </w:trPr>
        <w:tc>
          <w:tcPr>
            <w:tcW w:w="0" w:type="auto"/>
            <w:hideMark/>
          </w:tcPr>
          <w:p w:rsidR="00B602AA" w:rsidRPr="00243E85" w:rsidRDefault="005C5300">
            <w:pPr>
              <w:spacing w:after="0"/>
              <w:rPr>
                <w:rFonts w:eastAsia="Times New Roman"/>
                <w:noProof/>
                <w:color w:val="000000"/>
                <w:szCs w:val="24"/>
              </w:rPr>
            </w:pPr>
            <w:r w:rsidRPr="00243E85">
              <w:rPr>
                <w:noProof/>
                <w:color w:val="000000"/>
              </w:rPr>
              <w:t>—</w:t>
            </w:r>
          </w:p>
        </w:tc>
        <w:tc>
          <w:tcPr>
            <w:tcW w:w="0" w:type="auto"/>
            <w:hideMark/>
          </w:tcPr>
          <w:p w:rsidR="00B602AA" w:rsidRPr="00243E85" w:rsidRDefault="005C5300">
            <w:pPr>
              <w:spacing w:after="0"/>
              <w:rPr>
                <w:rFonts w:eastAsia="Times New Roman"/>
                <w:noProof/>
                <w:color w:val="000000"/>
                <w:szCs w:val="24"/>
              </w:rPr>
            </w:pPr>
            <w:r w:rsidRPr="00243E85">
              <w:rPr>
                <w:noProof/>
                <w:color w:val="000000"/>
              </w:rPr>
              <w:t>PFC-3-1-10, perfluorbutaną, C</w:t>
            </w:r>
            <w:r w:rsidRPr="00243E85">
              <w:rPr>
                <w:noProof/>
                <w:color w:val="000000"/>
                <w:vertAlign w:val="subscript"/>
              </w:rPr>
              <w:t>4</w:t>
            </w:r>
            <w:r w:rsidRPr="00243E85">
              <w:rPr>
                <w:noProof/>
                <w:color w:val="000000"/>
              </w:rPr>
              <w:t>F</w:t>
            </w:r>
            <w:r w:rsidRPr="00243E85">
              <w:rPr>
                <w:noProof/>
                <w:color w:val="000000"/>
                <w:vertAlign w:val="subscript"/>
              </w:rPr>
              <w:t>10</w:t>
            </w:r>
            <w:r w:rsidRPr="00243E85">
              <w:rPr>
                <w:noProof/>
                <w:color w:val="000000"/>
              </w:rPr>
              <w:t xml:space="preserve"> </w:t>
            </w:r>
          </w:p>
        </w:tc>
      </w:tr>
      <w:tr w:rsidR="00B602AA" w:rsidRPr="00243E85">
        <w:trPr>
          <w:tblCellSpacing w:w="0" w:type="dxa"/>
        </w:trPr>
        <w:tc>
          <w:tcPr>
            <w:tcW w:w="0" w:type="auto"/>
            <w:hideMark/>
          </w:tcPr>
          <w:p w:rsidR="00B602AA" w:rsidRPr="00243E85" w:rsidRDefault="005C5300">
            <w:pPr>
              <w:spacing w:after="0"/>
              <w:rPr>
                <w:rFonts w:eastAsia="Times New Roman"/>
                <w:noProof/>
                <w:color w:val="000000"/>
                <w:szCs w:val="24"/>
              </w:rPr>
            </w:pPr>
            <w:r w:rsidRPr="00243E85">
              <w:rPr>
                <w:noProof/>
                <w:color w:val="000000"/>
              </w:rPr>
              <w:t>—</w:t>
            </w:r>
          </w:p>
        </w:tc>
        <w:tc>
          <w:tcPr>
            <w:tcW w:w="0" w:type="auto"/>
            <w:hideMark/>
          </w:tcPr>
          <w:p w:rsidR="00B602AA" w:rsidRPr="00243E85" w:rsidRDefault="005C5300">
            <w:pPr>
              <w:spacing w:after="0"/>
              <w:rPr>
                <w:rFonts w:eastAsia="Times New Roman"/>
                <w:noProof/>
                <w:color w:val="000000"/>
                <w:szCs w:val="24"/>
              </w:rPr>
            </w:pPr>
            <w:r w:rsidRPr="00243E85">
              <w:rPr>
                <w:noProof/>
                <w:color w:val="000000"/>
              </w:rPr>
              <w:t>PFC-4-1-12, perfluorpentaną, C</w:t>
            </w:r>
            <w:r w:rsidRPr="00243E85">
              <w:rPr>
                <w:noProof/>
                <w:color w:val="000000"/>
                <w:vertAlign w:val="subscript"/>
              </w:rPr>
              <w:t>5</w:t>
            </w:r>
            <w:r w:rsidRPr="00243E85">
              <w:rPr>
                <w:noProof/>
                <w:color w:val="000000"/>
              </w:rPr>
              <w:t>F</w:t>
            </w:r>
            <w:r w:rsidRPr="00243E85">
              <w:rPr>
                <w:noProof/>
                <w:color w:val="000000"/>
                <w:vertAlign w:val="subscript"/>
              </w:rPr>
              <w:t>12</w:t>
            </w:r>
            <w:r w:rsidRPr="00243E85">
              <w:rPr>
                <w:noProof/>
                <w:color w:val="000000"/>
              </w:rPr>
              <w:t xml:space="preserve"> </w:t>
            </w:r>
          </w:p>
        </w:tc>
      </w:tr>
      <w:tr w:rsidR="00B602AA" w:rsidRPr="00243E85">
        <w:trPr>
          <w:tblCellSpacing w:w="0" w:type="dxa"/>
        </w:trPr>
        <w:tc>
          <w:tcPr>
            <w:tcW w:w="0" w:type="auto"/>
            <w:hideMark/>
          </w:tcPr>
          <w:p w:rsidR="00B602AA" w:rsidRPr="00243E85" w:rsidRDefault="005C5300">
            <w:pPr>
              <w:spacing w:after="0"/>
              <w:rPr>
                <w:rFonts w:eastAsia="Times New Roman"/>
                <w:noProof/>
                <w:color w:val="000000"/>
                <w:szCs w:val="24"/>
              </w:rPr>
            </w:pPr>
            <w:r w:rsidRPr="00243E85">
              <w:rPr>
                <w:noProof/>
                <w:color w:val="000000"/>
              </w:rPr>
              <w:t>—</w:t>
            </w:r>
          </w:p>
        </w:tc>
        <w:tc>
          <w:tcPr>
            <w:tcW w:w="0" w:type="auto"/>
            <w:hideMark/>
          </w:tcPr>
          <w:p w:rsidR="00B602AA" w:rsidRPr="00243E85" w:rsidRDefault="005C5300">
            <w:pPr>
              <w:spacing w:after="0"/>
              <w:rPr>
                <w:rFonts w:eastAsia="Times New Roman"/>
                <w:noProof/>
                <w:color w:val="000000"/>
                <w:szCs w:val="24"/>
              </w:rPr>
            </w:pPr>
            <w:r w:rsidRPr="00243E85">
              <w:rPr>
                <w:noProof/>
                <w:color w:val="000000"/>
              </w:rPr>
              <w:t>PFC-5-1-14, perfluorheksaną, C</w:t>
            </w:r>
            <w:r w:rsidRPr="00243E85">
              <w:rPr>
                <w:noProof/>
                <w:color w:val="000000"/>
                <w:vertAlign w:val="subscript"/>
              </w:rPr>
              <w:t>6</w:t>
            </w:r>
            <w:r w:rsidRPr="00243E85">
              <w:rPr>
                <w:noProof/>
                <w:color w:val="000000"/>
              </w:rPr>
              <w:t>F</w:t>
            </w:r>
            <w:r w:rsidRPr="00243E85">
              <w:rPr>
                <w:noProof/>
                <w:color w:val="000000"/>
                <w:vertAlign w:val="subscript"/>
              </w:rPr>
              <w:t>14</w:t>
            </w:r>
            <w:r w:rsidRPr="00243E85">
              <w:rPr>
                <w:noProof/>
                <w:color w:val="000000"/>
              </w:rPr>
              <w:t xml:space="preserve"> </w:t>
            </w:r>
          </w:p>
        </w:tc>
      </w:tr>
      <w:tr w:rsidR="00B602AA" w:rsidRPr="00243E85">
        <w:trPr>
          <w:tblCellSpacing w:w="0" w:type="dxa"/>
        </w:trPr>
        <w:tc>
          <w:tcPr>
            <w:tcW w:w="0" w:type="auto"/>
            <w:hideMark/>
          </w:tcPr>
          <w:p w:rsidR="00B602AA" w:rsidRPr="00243E85" w:rsidRDefault="005C5300">
            <w:pPr>
              <w:spacing w:after="0"/>
              <w:rPr>
                <w:rFonts w:eastAsia="Times New Roman"/>
                <w:noProof/>
                <w:color w:val="000000"/>
                <w:szCs w:val="24"/>
              </w:rPr>
            </w:pPr>
            <w:r w:rsidRPr="00243E85">
              <w:rPr>
                <w:noProof/>
                <w:color w:val="000000"/>
              </w:rPr>
              <w:t>—</w:t>
            </w:r>
          </w:p>
        </w:tc>
        <w:tc>
          <w:tcPr>
            <w:tcW w:w="0" w:type="auto"/>
            <w:hideMark/>
          </w:tcPr>
          <w:p w:rsidR="00B602AA" w:rsidRPr="00243E85" w:rsidRDefault="005C5300">
            <w:pPr>
              <w:spacing w:after="0"/>
              <w:rPr>
                <w:rFonts w:eastAsia="Times New Roman"/>
                <w:noProof/>
                <w:color w:val="000000"/>
                <w:szCs w:val="24"/>
              </w:rPr>
            </w:pPr>
            <w:r w:rsidRPr="00243E85">
              <w:rPr>
                <w:noProof/>
                <w:color w:val="000000"/>
              </w:rPr>
              <w:t>PFC-9-1-18, C</w:t>
            </w:r>
            <w:r w:rsidRPr="00243E85">
              <w:rPr>
                <w:noProof/>
                <w:color w:val="000000"/>
                <w:vertAlign w:val="subscript"/>
              </w:rPr>
              <w:t>10</w:t>
            </w:r>
            <w:r w:rsidRPr="00243E85">
              <w:rPr>
                <w:noProof/>
                <w:color w:val="000000"/>
              </w:rPr>
              <w:t>F</w:t>
            </w:r>
            <w:r w:rsidRPr="00243E85">
              <w:rPr>
                <w:noProof/>
                <w:color w:val="000000"/>
                <w:vertAlign w:val="subscript"/>
              </w:rPr>
              <w:t>18</w:t>
            </w:r>
            <w:r w:rsidRPr="00243E85">
              <w:rPr>
                <w:noProof/>
                <w:color w:val="000000"/>
              </w:rPr>
              <w:t xml:space="preserve"> </w:t>
            </w:r>
          </w:p>
        </w:tc>
      </w:tr>
    </w:tbl>
    <w:p w:rsidR="00B602AA" w:rsidRPr="00243E85" w:rsidRDefault="00B602AA">
      <w:pPr>
        <w:rPr>
          <w:rFonts w:eastAsia="Times New Roman"/>
          <w:noProof/>
          <w:color w:val="000000"/>
          <w:szCs w:val="24"/>
        </w:rPr>
      </w:pPr>
    </w:p>
    <w:p w:rsidR="00B602AA" w:rsidRPr="00243E85" w:rsidRDefault="005C5300" w:rsidP="00056BCA">
      <w:pPr>
        <w:spacing w:after="0"/>
        <w:jc w:val="center"/>
        <w:rPr>
          <w:rFonts w:eastAsia="Times New Roman"/>
          <w:b/>
          <w:noProof/>
          <w:color w:val="000000"/>
          <w:szCs w:val="24"/>
        </w:rPr>
      </w:pPr>
      <w:r w:rsidRPr="00243E85">
        <w:rPr>
          <w:b/>
          <w:noProof/>
          <w:color w:val="000000"/>
        </w:rPr>
        <w:t>3 dalis. Žemės naudojimo, žemės naudojimo keitimo ir miškininkystės sektoriaus stebėjimo ir ataskaitų teikimo metodikos</w:t>
      </w:r>
    </w:p>
    <w:p w:rsidR="00B602AA" w:rsidRPr="00243E85" w:rsidRDefault="005C5300">
      <w:pPr>
        <w:rPr>
          <w:noProof/>
        </w:rPr>
      </w:pPr>
      <w:r w:rsidRPr="00243E85">
        <w:t xml:space="preserve">Erdviniai žemės naudojimo paskirties keitimo duomenys, skirti žemės naudojimo paskirties kategorijoms ir žemės naudojimo paskirties kategorijų keitimui identifikuoti ir sekti. </w:t>
      </w:r>
    </w:p>
    <w:p w:rsidR="00B602AA" w:rsidRPr="00243E85" w:rsidRDefault="005C5300">
      <w:pPr>
        <w:rPr>
          <w:noProof/>
        </w:rPr>
      </w:pPr>
      <w:r w:rsidRPr="00243E85">
        <w:t xml:space="preserve">1 lygio metodika naudojant visuotinai suderintus teršalų išmetimo koeficientus ir parametrų vertes pagal 2006 m. Tarpvyriausybinės klimato kaitos komisijos gaires dėl nacionalinės ŠESD apskaitos. </w:t>
      </w:r>
    </w:p>
    <w:p w:rsidR="00B602AA" w:rsidRPr="00243E85" w:rsidRDefault="005C5300">
      <w:pPr>
        <w:rPr>
          <w:noProof/>
        </w:rPr>
      </w:pPr>
      <w:r w:rsidRPr="00243E85">
        <w:t xml:space="preserve">Kiek tai susiję su išmetamomis ir pašalinamomis ŠESD anglies absorbente, kuriam tenka bent 25–30 % išmetamo ar pašalinamo ŠESD kiekio šaltinio ar absorbento kategorijoje, kuriam valstybės narės nacionalinėje apskaitos sistemoje teikiama pirmenybė, nes dėl apskaičiuoto absoliutaus išmetamo ir pašalinamo ŠESD kiekio, išmetamo ir pašalinamo ŠESD kiekio tendencijų arba išmetamų ir pašalinamų ŠESD kiekio neapibrėžties jis daro didelį poveikį šalies bendrajai ŠESD apskaitai – bent 2 lygio metodika naudojant nacionaliniu lygiu nustatytus teršalų išmetimo koeficientus ir parametrų vertes, pritaikyta prie nacionalinių aplinkybių pagal 2006 m. Tarpvyriausybinės klimato kaitos komisijos gaires dėl nacionalinės ŠESD apskaitos. </w:t>
      </w:r>
    </w:p>
    <w:p w:rsidR="00B602AA" w:rsidRPr="00243E85" w:rsidRDefault="005C5300">
      <w:pPr>
        <w:rPr>
          <w:noProof/>
        </w:rPr>
      </w:pPr>
      <w:r w:rsidRPr="00243E85">
        <w:t>Valstybės narės raginamos taikyti 3 lygio metodiką naudojant neparametrinį prie nacionalinių aplinkybių pritaikytą modeliavimą, apibūdinantį biofizinės sistemos fizinę sąveiką, pagal 2006 m. Tarpvyriausybinės klimato kaitos komisijos gaires dėl ŠESD apskaitos nacionalinių ataskaitų.</w:t>
      </w:r>
    </w:p>
    <w:p w:rsidR="00B602AA" w:rsidRPr="00243E85" w:rsidRDefault="005C5300" w:rsidP="00056BCA">
      <w:pPr>
        <w:jc w:val="center"/>
        <w:rPr>
          <w:b/>
          <w:noProof/>
        </w:rPr>
      </w:pPr>
      <w:r w:rsidRPr="00243E85">
        <w:rPr>
          <w:b/>
          <w:noProof/>
        </w:rPr>
        <w:t>4 dalis. Apskaitos rodikliai</w:t>
      </w:r>
    </w:p>
    <w:tbl>
      <w:tblPr>
        <w:tblW w:w="4516" w:type="pct"/>
        <w:tblLook w:val="04A0" w:firstRow="1" w:lastRow="0" w:firstColumn="1" w:lastColumn="0" w:noHBand="0" w:noVBand="1"/>
      </w:tblPr>
      <w:tblGrid>
        <w:gridCol w:w="2022"/>
        <w:gridCol w:w="6368"/>
      </w:tblGrid>
      <w:tr w:rsidR="00B602AA" w:rsidRPr="00243E85">
        <w:trPr>
          <w:tblHeader/>
        </w:trPr>
        <w:tc>
          <w:tcPr>
            <w:tcW w:w="1205" w:type="pct"/>
          </w:tcPr>
          <w:p w:rsidR="00B602AA" w:rsidRPr="00243E85" w:rsidRDefault="005C5300">
            <w:pPr>
              <w:pStyle w:val="AFWTable"/>
              <w:rPr>
                <w:rFonts w:ascii="Times New Roman" w:hAnsi="Times New Roman" w:cs="Times New Roman"/>
                <w:noProof/>
              </w:rPr>
            </w:pPr>
            <w:r w:rsidRPr="00243E85">
              <w:rPr>
                <w:rFonts w:ascii="Times New Roman" w:hAnsi="Times New Roman"/>
                <w:noProof/>
              </w:rPr>
              <w:t>Rodiklio pavadinimas</w:t>
            </w:r>
          </w:p>
        </w:tc>
        <w:tc>
          <w:tcPr>
            <w:tcW w:w="3795" w:type="pct"/>
          </w:tcPr>
          <w:p w:rsidR="00B602AA" w:rsidRPr="00243E85" w:rsidRDefault="005C5300">
            <w:pPr>
              <w:pStyle w:val="AFWTable"/>
              <w:rPr>
                <w:rFonts w:ascii="Times New Roman" w:hAnsi="Times New Roman" w:cs="Times New Roman"/>
                <w:noProof/>
              </w:rPr>
            </w:pPr>
            <w:r w:rsidRPr="00243E85">
              <w:rPr>
                <w:rFonts w:ascii="Times New Roman" w:hAnsi="Times New Roman"/>
                <w:noProof/>
              </w:rPr>
              <w:t>Rodiklis</w:t>
            </w:r>
          </w:p>
        </w:tc>
      </w:tr>
      <w:tr w:rsidR="00B602AA" w:rsidRPr="00243E85">
        <w:tc>
          <w:tcPr>
            <w:tcW w:w="1205" w:type="pct"/>
          </w:tcPr>
          <w:p w:rsidR="00B602AA" w:rsidRPr="00243E85" w:rsidRDefault="005C5300">
            <w:pPr>
              <w:pStyle w:val="AFWTable"/>
              <w:rPr>
                <w:rFonts w:ascii="Times New Roman" w:hAnsi="Times New Roman" w:cs="Times New Roman"/>
                <w:b/>
                <w:noProof/>
              </w:rPr>
            </w:pPr>
            <w:r w:rsidRPr="00243E85">
              <w:rPr>
                <w:rFonts w:ascii="Times New Roman" w:hAnsi="Times New Roman"/>
                <w:noProof/>
              </w:rPr>
              <w:t>TRANSFORMATION B0</w:t>
            </w:r>
          </w:p>
          <w:p w:rsidR="00B602AA" w:rsidRPr="00243E85" w:rsidRDefault="00B602AA">
            <w:pPr>
              <w:pStyle w:val="AFWTable"/>
              <w:rPr>
                <w:rFonts w:ascii="Times New Roman" w:hAnsi="Times New Roman" w:cs="Times New Roman"/>
                <w:b/>
                <w:noProof/>
              </w:rPr>
            </w:pPr>
          </w:p>
        </w:tc>
        <w:tc>
          <w:tcPr>
            <w:tcW w:w="3795" w:type="pct"/>
          </w:tcPr>
          <w:p w:rsidR="00B602AA" w:rsidRPr="00243E85" w:rsidRDefault="005C5300">
            <w:pPr>
              <w:pStyle w:val="AFWTable"/>
              <w:rPr>
                <w:rFonts w:ascii="Times New Roman" w:hAnsi="Times New Roman" w:cs="Times New Roman"/>
                <w:noProof/>
              </w:rPr>
            </w:pPr>
            <w:r w:rsidRPr="00243E85">
              <w:rPr>
                <w:rFonts w:ascii="Times New Roman" w:hAnsi="Times New Roman"/>
                <w:noProof/>
              </w:rPr>
              <w:t>Savitasis viešojo tinklo ir savo reikmėms energiją gaminančių jėgainių išmestas CO</w:t>
            </w:r>
            <w:r w:rsidRPr="00243E85">
              <w:rPr>
                <w:rFonts w:ascii="Times New Roman" w:hAnsi="Times New Roman"/>
                <w:noProof/>
                <w:vertAlign w:val="subscript"/>
              </w:rPr>
              <w:t>2</w:t>
            </w:r>
            <w:r w:rsidRPr="00243E85">
              <w:rPr>
                <w:rFonts w:ascii="Times New Roman" w:hAnsi="Times New Roman"/>
                <w:noProof/>
              </w:rPr>
              <w:t xml:space="preserve"> kiekis, t/TJ</w:t>
            </w:r>
          </w:p>
          <w:p w:rsidR="00B602AA" w:rsidRPr="00243E85" w:rsidRDefault="005C5300">
            <w:pPr>
              <w:pStyle w:val="AFWTable"/>
              <w:rPr>
                <w:rFonts w:ascii="Times New Roman" w:hAnsi="Times New Roman" w:cs="Times New Roman"/>
                <w:noProof/>
              </w:rPr>
            </w:pPr>
            <w:r w:rsidRPr="00243E85">
              <w:rPr>
                <w:rFonts w:ascii="Times New Roman" w:hAnsi="Times New Roman"/>
                <w:noProof/>
              </w:rPr>
              <w:t>Viešojo tinklo ir savo reikmėms energiją gaminančių šiluminių jėgainių išmestas CO</w:t>
            </w:r>
            <w:r w:rsidRPr="00243E85">
              <w:rPr>
                <w:rFonts w:ascii="Times New Roman" w:hAnsi="Times New Roman"/>
                <w:noProof/>
                <w:vertAlign w:val="subscript"/>
              </w:rPr>
              <w:t>2</w:t>
            </w:r>
            <w:r w:rsidRPr="00243E85">
              <w:rPr>
                <w:rFonts w:ascii="Times New Roman" w:hAnsi="Times New Roman"/>
                <w:noProof/>
              </w:rPr>
              <w:t xml:space="preserve"> kiekis (kt), padalytas iš visų produktų – viešojo tinklo ir savo reikmėms gaminančių šiluminių jėgainių visos produkcijos, PJ</w:t>
            </w:r>
          </w:p>
        </w:tc>
      </w:tr>
      <w:tr w:rsidR="00B602AA" w:rsidRPr="00243E85">
        <w:tc>
          <w:tcPr>
            <w:tcW w:w="1205" w:type="pct"/>
          </w:tcPr>
          <w:p w:rsidR="00B602AA" w:rsidRPr="00243E85" w:rsidRDefault="005C5300">
            <w:pPr>
              <w:pStyle w:val="AFWTable"/>
              <w:rPr>
                <w:rFonts w:ascii="Times New Roman" w:hAnsi="Times New Roman" w:cs="Times New Roman"/>
                <w:b/>
                <w:noProof/>
              </w:rPr>
            </w:pPr>
            <w:r w:rsidRPr="00243E85">
              <w:rPr>
                <w:rFonts w:ascii="Times New Roman" w:hAnsi="Times New Roman"/>
                <w:noProof/>
              </w:rPr>
              <w:t>TRANSFORMATION E0</w:t>
            </w:r>
          </w:p>
          <w:p w:rsidR="00B602AA" w:rsidRPr="00243E85" w:rsidRDefault="00B602AA">
            <w:pPr>
              <w:pStyle w:val="AFWTable"/>
              <w:rPr>
                <w:rFonts w:ascii="Times New Roman" w:hAnsi="Times New Roman" w:cs="Times New Roman"/>
                <w:b/>
                <w:noProof/>
              </w:rPr>
            </w:pPr>
          </w:p>
        </w:tc>
        <w:tc>
          <w:tcPr>
            <w:tcW w:w="3795" w:type="pct"/>
          </w:tcPr>
          <w:p w:rsidR="00B602AA" w:rsidRPr="00243E85" w:rsidRDefault="005C5300">
            <w:pPr>
              <w:pStyle w:val="AFWTable"/>
              <w:rPr>
                <w:rFonts w:ascii="Times New Roman" w:hAnsi="Times New Roman" w:cs="Times New Roman"/>
                <w:noProof/>
              </w:rPr>
            </w:pPr>
            <w:r w:rsidRPr="00243E85">
              <w:rPr>
                <w:rFonts w:ascii="Times New Roman" w:hAnsi="Times New Roman"/>
                <w:noProof/>
              </w:rPr>
              <w:t>Savitasis savo reikmėms energiją gaminančių jėgainių išmestas CO</w:t>
            </w:r>
            <w:r w:rsidRPr="00243E85">
              <w:rPr>
                <w:rFonts w:ascii="Times New Roman" w:hAnsi="Times New Roman"/>
                <w:noProof/>
                <w:vertAlign w:val="subscript"/>
              </w:rPr>
              <w:t>2</w:t>
            </w:r>
            <w:r w:rsidRPr="00243E85">
              <w:rPr>
                <w:rFonts w:ascii="Times New Roman" w:hAnsi="Times New Roman"/>
                <w:noProof/>
              </w:rPr>
              <w:t xml:space="preserve"> kiekis, t/TJ</w:t>
            </w:r>
          </w:p>
          <w:p w:rsidR="00B602AA" w:rsidRPr="00243E85" w:rsidRDefault="005C5300">
            <w:pPr>
              <w:pStyle w:val="AFWTable"/>
              <w:rPr>
                <w:rFonts w:ascii="Times New Roman" w:hAnsi="Times New Roman" w:cs="Times New Roman"/>
                <w:noProof/>
              </w:rPr>
            </w:pPr>
            <w:r w:rsidRPr="00243E85">
              <w:rPr>
                <w:rFonts w:ascii="Times New Roman" w:hAnsi="Times New Roman"/>
                <w:noProof/>
              </w:rPr>
              <w:t>Savo reikmėms energiją gaminančių jėgainių išmestas CO</w:t>
            </w:r>
            <w:r w:rsidRPr="00243E85">
              <w:rPr>
                <w:rFonts w:ascii="Times New Roman" w:hAnsi="Times New Roman"/>
                <w:noProof/>
                <w:vertAlign w:val="subscript"/>
              </w:rPr>
              <w:t>2</w:t>
            </w:r>
            <w:r w:rsidRPr="00243E85">
              <w:rPr>
                <w:rFonts w:ascii="Times New Roman" w:hAnsi="Times New Roman"/>
                <w:noProof/>
              </w:rPr>
              <w:t xml:space="preserve"> kiekis (kt), padalytas iš savo reikmėms energiją gaminančių šiluminių jėgainių visų produktų, PJ</w:t>
            </w:r>
          </w:p>
        </w:tc>
      </w:tr>
      <w:tr w:rsidR="00B602AA" w:rsidRPr="00243E85">
        <w:tc>
          <w:tcPr>
            <w:tcW w:w="1205" w:type="pct"/>
          </w:tcPr>
          <w:p w:rsidR="00B602AA" w:rsidRPr="00243E85" w:rsidRDefault="005C5300">
            <w:pPr>
              <w:pStyle w:val="AFWTable"/>
              <w:rPr>
                <w:rFonts w:ascii="Times New Roman" w:hAnsi="Times New Roman" w:cs="Times New Roman"/>
                <w:b/>
                <w:noProof/>
              </w:rPr>
            </w:pPr>
            <w:r w:rsidRPr="00243E85">
              <w:rPr>
                <w:rFonts w:ascii="Times New Roman" w:hAnsi="Times New Roman"/>
                <w:noProof/>
              </w:rPr>
              <w:t>INDUSTRY A1.1</w:t>
            </w:r>
          </w:p>
          <w:p w:rsidR="00B602AA" w:rsidRPr="00243E85" w:rsidRDefault="00B602AA">
            <w:pPr>
              <w:pStyle w:val="AFWTable"/>
              <w:rPr>
                <w:rFonts w:ascii="Times New Roman" w:hAnsi="Times New Roman" w:cs="Times New Roman"/>
                <w:b/>
                <w:noProof/>
              </w:rPr>
            </w:pPr>
          </w:p>
        </w:tc>
        <w:tc>
          <w:tcPr>
            <w:tcW w:w="3795" w:type="pct"/>
          </w:tcPr>
          <w:p w:rsidR="00B602AA" w:rsidRPr="00243E85" w:rsidRDefault="005C5300">
            <w:pPr>
              <w:pStyle w:val="AFWTable"/>
              <w:rPr>
                <w:rFonts w:ascii="Times New Roman" w:hAnsi="Times New Roman" w:cs="Times New Roman"/>
                <w:noProof/>
              </w:rPr>
            </w:pPr>
            <w:r w:rsidRPr="00243E85">
              <w:rPr>
                <w:rFonts w:ascii="Times New Roman" w:hAnsi="Times New Roman"/>
                <w:noProof/>
              </w:rPr>
              <w:lastRenderedPageBreak/>
              <w:t>Bendras taršos CO</w:t>
            </w:r>
            <w:r w:rsidRPr="00243E85">
              <w:rPr>
                <w:rFonts w:ascii="Times New Roman" w:hAnsi="Times New Roman"/>
                <w:noProof/>
                <w:vertAlign w:val="subscript"/>
              </w:rPr>
              <w:t>2</w:t>
            </w:r>
            <w:r w:rsidRPr="00243E85">
              <w:rPr>
                <w:rFonts w:ascii="Times New Roman" w:hAnsi="Times New Roman"/>
                <w:noProof/>
              </w:rPr>
              <w:t xml:space="preserve"> intensyvumas – geležies ir plieno pramonė, t/mln. EUR</w:t>
            </w:r>
          </w:p>
          <w:p w:rsidR="00B602AA" w:rsidRPr="00243E85" w:rsidRDefault="005C5300">
            <w:pPr>
              <w:pStyle w:val="AFWTable"/>
              <w:rPr>
                <w:rFonts w:ascii="Times New Roman" w:hAnsi="Times New Roman" w:cs="Times New Roman"/>
                <w:noProof/>
              </w:rPr>
            </w:pPr>
            <w:r w:rsidRPr="00243E85">
              <w:rPr>
                <w:rFonts w:ascii="Times New Roman" w:hAnsi="Times New Roman"/>
                <w:noProof/>
              </w:rPr>
              <w:lastRenderedPageBreak/>
              <w:t>Visas juodosios metalurgijos išmestas CO</w:t>
            </w:r>
            <w:r w:rsidRPr="00243E85">
              <w:rPr>
                <w:rFonts w:ascii="Times New Roman" w:hAnsi="Times New Roman"/>
                <w:noProof/>
                <w:vertAlign w:val="subscript"/>
              </w:rPr>
              <w:t>2</w:t>
            </w:r>
            <w:r w:rsidRPr="00243E85">
              <w:rPr>
                <w:rFonts w:ascii="Times New Roman" w:hAnsi="Times New Roman"/>
                <w:noProof/>
              </w:rPr>
              <w:t xml:space="preserve"> kiekis (kt), padalytas iš geležies ir plieno pramonės bendrosios pridėtinės vertės</w:t>
            </w:r>
          </w:p>
        </w:tc>
      </w:tr>
      <w:tr w:rsidR="00B602AA" w:rsidRPr="00243E85">
        <w:tc>
          <w:tcPr>
            <w:tcW w:w="1205" w:type="pct"/>
          </w:tcPr>
          <w:p w:rsidR="00B602AA" w:rsidRPr="00243E85" w:rsidRDefault="005C5300">
            <w:pPr>
              <w:pStyle w:val="AFWTable"/>
              <w:rPr>
                <w:rFonts w:ascii="Times New Roman" w:hAnsi="Times New Roman" w:cs="Times New Roman"/>
                <w:b/>
                <w:noProof/>
              </w:rPr>
            </w:pPr>
            <w:r w:rsidRPr="00243E85">
              <w:rPr>
                <w:rFonts w:ascii="Times New Roman" w:hAnsi="Times New Roman"/>
                <w:noProof/>
              </w:rPr>
              <w:lastRenderedPageBreak/>
              <w:t>INDUSTRY A1.2</w:t>
            </w:r>
          </w:p>
          <w:p w:rsidR="00B602AA" w:rsidRPr="00243E85" w:rsidRDefault="00B602AA">
            <w:pPr>
              <w:pStyle w:val="AFWTable"/>
              <w:rPr>
                <w:rFonts w:ascii="Times New Roman" w:hAnsi="Times New Roman" w:cs="Times New Roman"/>
                <w:b/>
                <w:noProof/>
              </w:rPr>
            </w:pPr>
          </w:p>
        </w:tc>
        <w:tc>
          <w:tcPr>
            <w:tcW w:w="3795" w:type="pct"/>
          </w:tcPr>
          <w:p w:rsidR="00B602AA" w:rsidRPr="00243E85" w:rsidRDefault="005C5300">
            <w:pPr>
              <w:pStyle w:val="AFWTable"/>
              <w:rPr>
                <w:rFonts w:ascii="Times New Roman" w:hAnsi="Times New Roman" w:cs="Times New Roman"/>
                <w:noProof/>
              </w:rPr>
            </w:pPr>
            <w:r w:rsidRPr="00243E85">
              <w:rPr>
                <w:rFonts w:ascii="Times New Roman" w:hAnsi="Times New Roman"/>
                <w:noProof/>
              </w:rPr>
              <w:t>Su energija susijęs taršos CO</w:t>
            </w:r>
            <w:r w:rsidRPr="00243E85">
              <w:rPr>
                <w:rFonts w:ascii="Times New Roman" w:hAnsi="Times New Roman"/>
                <w:noProof/>
                <w:vertAlign w:val="subscript"/>
              </w:rPr>
              <w:t>2</w:t>
            </w:r>
            <w:r w:rsidRPr="00243E85">
              <w:rPr>
                <w:rFonts w:ascii="Times New Roman" w:hAnsi="Times New Roman"/>
                <w:noProof/>
              </w:rPr>
              <w:t xml:space="preserve"> intensyvumas – chemijos pramonė, t/mln. EUR</w:t>
            </w:r>
          </w:p>
          <w:p w:rsidR="00B602AA" w:rsidRPr="00243E85" w:rsidRDefault="005C5300">
            <w:pPr>
              <w:pStyle w:val="AFWTable"/>
              <w:rPr>
                <w:rFonts w:ascii="Times New Roman" w:hAnsi="Times New Roman" w:cs="Times New Roman"/>
                <w:noProof/>
              </w:rPr>
            </w:pPr>
            <w:r w:rsidRPr="00243E85">
              <w:rPr>
                <w:rFonts w:ascii="Times New Roman" w:hAnsi="Times New Roman"/>
                <w:noProof/>
              </w:rPr>
              <w:t>Su energija susijęs chemijos pramonės išmestas CO</w:t>
            </w:r>
            <w:r w:rsidRPr="00243E85">
              <w:rPr>
                <w:rFonts w:ascii="Times New Roman" w:hAnsi="Times New Roman"/>
                <w:noProof/>
                <w:vertAlign w:val="subscript"/>
              </w:rPr>
              <w:t>2</w:t>
            </w:r>
            <w:r w:rsidRPr="00243E85">
              <w:rPr>
                <w:rFonts w:ascii="Times New Roman" w:hAnsi="Times New Roman"/>
                <w:noProof/>
              </w:rPr>
              <w:t xml:space="preserve"> kiekis (kt), padalytas iš chemijos pramonės bendrosios pridėtinės vertės</w:t>
            </w:r>
          </w:p>
        </w:tc>
      </w:tr>
      <w:tr w:rsidR="00B602AA" w:rsidRPr="00243E85">
        <w:tc>
          <w:tcPr>
            <w:tcW w:w="1205" w:type="pct"/>
          </w:tcPr>
          <w:p w:rsidR="00B602AA" w:rsidRPr="00243E85" w:rsidRDefault="005C5300">
            <w:pPr>
              <w:pStyle w:val="AFWTable"/>
              <w:rPr>
                <w:rFonts w:ascii="Times New Roman" w:hAnsi="Times New Roman" w:cs="Times New Roman"/>
                <w:b/>
                <w:noProof/>
              </w:rPr>
            </w:pPr>
            <w:r w:rsidRPr="00243E85">
              <w:rPr>
                <w:rFonts w:ascii="Times New Roman" w:hAnsi="Times New Roman"/>
                <w:noProof/>
              </w:rPr>
              <w:t>INDUSTRY A1.3</w:t>
            </w:r>
          </w:p>
          <w:p w:rsidR="00B602AA" w:rsidRPr="00243E85" w:rsidRDefault="00B602AA">
            <w:pPr>
              <w:pStyle w:val="AFWTable"/>
              <w:rPr>
                <w:rFonts w:ascii="Times New Roman" w:hAnsi="Times New Roman" w:cs="Times New Roman"/>
                <w:b/>
                <w:noProof/>
              </w:rPr>
            </w:pPr>
          </w:p>
        </w:tc>
        <w:tc>
          <w:tcPr>
            <w:tcW w:w="3795" w:type="pct"/>
          </w:tcPr>
          <w:p w:rsidR="00B602AA" w:rsidRPr="00243E85" w:rsidRDefault="005C5300">
            <w:pPr>
              <w:pStyle w:val="AFWTable"/>
              <w:rPr>
                <w:rFonts w:ascii="Times New Roman" w:hAnsi="Times New Roman" w:cs="Times New Roman"/>
                <w:noProof/>
              </w:rPr>
            </w:pPr>
            <w:r w:rsidRPr="00243E85">
              <w:rPr>
                <w:rFonts w:ascii="Times New Roman" w:hAnsi="Times New Roman"/>
                <w:noProof/>
              </w:rPr>
              <w:t>Su energija susijęs taršos CO</w:t>
            </w:r>
            <w:r w:rsidRPr="00243E85">
              <w:rPr>
                <w:rFonts w:ascii="Times New Roman" w:hAnsi="Times New Roman"/>
                <w:noProof/>
                <w:vertAlign w:val="subscript"/>
              </w:rPr>
              <w:t>2</w:t>
            </w:r>
            <w:r w:rsidRPr="00243E85">
              <w:rPr>
                <w:rFonts w:ascii="Times New Roman" w:hAnsi="Times New Roman"/>
                <w:noProof/>
              </w:rPr>
              <w:t xml:space="preserve"> intensyvumas – stiklo, molinių dirbinių ir statybinių medžiagų pramonė, t/mln. EUR</w:t>
            </w:r>
          </w:p>
          <w:p w:rsidR="00B602AA" w:rsidRPr="00243E85" w:rsidRDefault="005C5300">
            <w:pPr>
              <w:pStyle w:val="AFWTable"/>
              <w:rPr>
                <w:rFonts w:ascii="Times New Roman" w:hAnsi="Times New Roman" w:cs="Times New Roman"/>
                <w:noProof/>
              </w:rPr>
            </w:pPr>
            <w:r w:rsidRPr="00243E85">
              <w:rPr>
                <w:rFonts w:ascii="Times New Roman" w:hAnsi="Times New Roman"/>
                <w:noProof/>
              </w:rPr>
              <w:t>Su energija susijęs stiklo, molinių dirbinių ir statybinių medžiagų pramonės išmestas CO</w:t>
            </w:r>
            <w:r w:rsidRPr="00243E85">
              <w:rPr>
                <w:rFonts w:ascii="Times New Roman" w:hAnsi="Times New Roman"/>
                <w:noProof/>
                <w:vertAlign w:val="subscript"/>
              </w:rPr>
              <w:t>2</w:t>
            </w:r>
            <w:r w:rsidRPr="00243E85">
              <w:rPr>
                <w:rFonts w:ascii="Times New Roman" w:hAnsi="Times New Roman"/>
                <w:noProof/>
              </w:rPr>
              <w:t xml:space="preserve"> kiekis (kt), padalytas iš stiklo, molinių dirbinių ir statybinių medžiagų pramonės bendrosios pridėtinės vertės</w:t>
            </w:r>
          </w:p>
        </w:tc>
      </w:tr>
      <w:tr w:rsidR="00B602AA" w:rsidRPr="00243E85">
        <w:tc>
          <w:tcPr>
            <w:tcW w:w="1205" w:type="pct"/>
          </w:tcPr>
          <w:p w:rsidR="00B602AA" w:rsidRPr="00243E85" w:rsidRDefault="005C5300">
            <w:pPr>
              <w:pStyle w:val="AFWTable"/>
              <w:rPr>
                <w:rFonts w:ascii="Times New Roman" w:hAnsi="Times New Roman" w:cs="Times New Roman"/>
                <w:b/>
                <w:noProof/>
              </w:rPr>
            </w:pPr>
            <w:r w:rsidRPr="00243E85">
              <w:rPr>
                <w:rFonts w:ascii="Times New Roman" w:hAnsi="Times New Roman"/>
                <w:noProof/>
              </w:rPr>
              <w:t>INDUSTRY A1.4</w:t>
            </w:r>
          </w:p>
          <w:p w:rsidR="00B602AA" w:rsidRPr="00243E85" w:rsidRDefault="00B602AA">
            <w:pPr>
              <w:pStyle w:val="AFWTable"/>
              <w:rPr>
                <w:rFonts w:ascii="Times New Roman" w:hAnsi="Times New Roman" w:cs="Times New Roman"/>
                <w:b/>
                <w:noProof/>
              </w:rPr>
            </w:pPr>
          </w:p>
        </w:tc>
        <w:tc>
          <w:tcPr>
            <w:tcW w:w="3795" w:type="pct"/>
          </w:tcPr>
          <w:p w:rsidR="00B602AA" w:rsidRPr="00243E85" w:rsidRDefault="005C5300">
            <w:pPr>
              <w:pStyle w:val="AFWTable"/>
              <w:rPr>
                <w:rFonts w:ascii="Times New Roman" w:hAnsi="Times New Roman" w:cs="Times New Roman"/>
                <w:noProof/>
              </w:rPr>
            </w:pPr>
            <w:r w:rsidRPr="00243E85">
              <w:rPr>
                <w:rFonts w:ascii="Times New Roman" w:hAnsi="Times New Roman"/>
                <w:noProof/>
              </w:rPr>
              <w:t>Su energija susijęs taršos CO</w:t>
            </w:r>
            <w:r w:rsidRPr="00243E85">
              <w:rPr>
                <w:rFonts w:ascii="Times New Roman" w:hAnsi="Times New Roman"/>
                <w:noProof/>
                <w:vertAlign w:val="subscript"/>
              </w:rPr>
              <w:t>2</w:t>
            </w:r>
            <w:r w:rsidRPr="00243E85">
              <w:rPr>
                <w:rFonts w:ascii="Times New Roman" w:hAnsi="Times New Roman"/>
                <w:noProof/>
              </w:rPr>
              <w:t xml:space="preserve"> intensyvumas – maisto, gėrimų ir tabako gaminių pramonė, t/mln. EUR</w:t>
            </w:r>
          </w:p>
          <w:p w:rsidR="00B602AA" w:rsidRPr="00243E85" w:rsidRDefault="005C5300">
            <w:pPr>
              <w:pStyle w:val="AFWTable"/>
              <w:rPr>
                <w:rFonts w:ascii="Times New Roman" w:hAnsi="Times New Roman" w:cs="Times New Roman"/>
                <w:noProof/>
              </w:rPr>
            </w:pPr>
            <w:r w:rsidRPr="00243E85">
              <w:rPr>
                <w:rFonts w:ascii="Times New Roman" w:hAnsi="Times New Roman"/>
                <w:noProof/>
              </w:rPr>
              <w:t>Su energija susijęs maisto, gėrimų ir tabako gaminių pramonės išmestas CO</w:t>
            </w:r>
            <w:r w:rsidRPr="00243E85">
              <w:rPr>
                <w:rFonts w:ascii="Times New Roman" w:hAnsi="Times New Roman"/>
                <w:noProof/>
                <w:vertAlign w:val="subscript"/>
              </w:rPr>
              <w:t>2</w:t>
            </w:r>
            <w:r w:rsidRPr="00243E85">
              <w:rPr>
                <w:rFonts w:ascii="Times New Roman" w:hAnsi="Times New Roman"/>
                <w:noProof/>
              </w:rPr>
              <w:t xml:space="preserve"> kiekis (kt), padalytas iš maisto, gėrimų ir tabako gaminių pramonės bendrosios pridėtinės vertės, mln. EUR (EC95)</w:t>
            </w:r>
          </w:p>
        </w:tc>
      </w:tr>
      <w:tr w:rsidR="00B602AA" w:rsidRPr="00243E85">
        <w:tc>
          <w:tcPr>
            <w:tcW w:w="1205" w:type="pct"/>
          </w:tcPr>
          <w:p w:rsidR="00B602AA" w:rsidRPr="00243E85" w:rsidRDefault="005C5300">
            <w:pPr>
              <w:pStyle w:val="AFWTable"/>
              <w:rPr>
                <w:rFonts w:ascii="Times New Roman" w:hAnsi="Times New Roman" w:cs="Times New Roman"/>
                <w:b/>
                <w:noProof/>
              </w:rPr>
            </w:pPr>
            <w:r w:rsidRPr="00243E85">
              <w:rPr>
                <w:rFonts w:ascii="Times New Roman" w:hAnsi="Times New Roman"/>
                <w:noProof/>
              </w:rPr>
              <w:t>INDUSTRY A1.5</w:t>
            </w:r>
          </w:p>
          <w:p w:rsidR="00B602AA" w:rsidRPr="00243E85" w:rsidRDefault="00B602AA">
            <w:pPr>
              <w:pStyle w:val="AFWTable"/>
              <w:rPr>
                <w:rFonts w:ascii="Times New Roman" w:hAnsi="Times New Roman" w:cs="Times New Roman"/>
                <w:b/>
                <w:noProof/>
              </w:rPr>
            </w:pPr>
          </w:p>
        </w:tc>
        <w:tc>
          <w:tcPr>
            <w:tcW w:w="3795" w:type="pct"/>
          </w:tcPr>
          <w:p w:rsidR="00B602AA" w:rsidRPr="00243E85" w:rsidRDefault="005C5300">
            <w:pPr>
              <w:pStyle w:val="AFWTable"/>
              <w:rPr>
                <w:rFonts w:ascii="Times New Roman" w:hAnsi="Times New Roman" w:cs="Times New Roman"/>
                <w:noProof/>
              </w:rPr>
            </w:pPr>
            <w:r w:rsidRPr="00243E85">
              <w:rPr>
                <w:rFonts w:ascii="Times New Roman" w:hAnsi="Times New Roman"/>
                <w:noProof/>
              </w:rPr>
              <w:t>Su energija susijęs taršos CO</w:t>
            </w:r>
            <w:r w:rsidRPr="00243E85">
              <w:rPr>
                <w:rFonts w:ascii="Times New Roman" w:hAnsi="Times New Roman"/>
                <w:noProof/>
                <w:vertAlign w:val="subscript"/>
              </w:rPr>
              <w:t>2</w:t>
            </w:r>
            <w:r w:rsidRPr="00243E85">
              <w:rPr>
                <w:rFonts w:ascii="Times New Roman" w:hAnsi="Times New Roman"/>
                <w:noProof/>
              </w:rPr>
              <w:t xml:space="preserve"> intensyvumas – popieriaus ir spausdinimo pramonė, t/mln. EUR Su energija susijęs popieriaus ir spausdinimo pramonės išmesto CO</w:t>
            </w:r>
            <w:r w:rsidRPr="00243E85">
              <w:rPr>
                <w:rFonts w:ascii="Times New Roman" w:hAnsi="Times New Roman"/>
                <w:noProof/>
                <w:vertAlign w:val="subscript"/>
              </w:rPr>
              <w:t>2</w:t>
            </w:r>
            <w:r w:rsidRPr="00243E85">
              <w:rPr>
                <w:rFonts w:ascii="Times New Roman" w:hAnsi="Times New Roman"/>
                <w:noProof/>
              </w:rPr>
              <w:t xml:space="preserve"> kiekis (kt), padalytas iš popieriaus ir spausdinimo pramonės bendrosios pridėtinės vertės, mln. EUR (EC95)</w:t>
            </w:r>
          </w:p>
        </w:tc>
      </w:tr>
      <w:tr w:rsidR="00B602AA" w:rsidRPr="00243E85">
        <w:tc>
          <w:tcPr>
            <w:tcW w:w="1205" w:type="pct"/>
          </w:tcPr>
          <w:p w:rsidR="00B602AA" w:rsidRPr="00243E85" w:rsidRDefault="005C5300">
            <w:pPr>
              <w:pStyle w:val="AFWTable"/>
              <w:rPr>
                <w:rFonts w:ascii="Times New Roman" w:hAnsi="Times New Roman" w:cs="Times New Roman"/>
                <w:b/>
                <w:noProof/>
              </w:rPr>
            </w:pPr>
            <w:r w:rsidRPr="00243E85">
              <w:rPr>
                <w:rFonts w:ascii="Times New Roman" w:hAnsi="Times New Roman"/>
                <w:noProof/>
              </w:rPr>
              <w:t>HOUSEHOLDS A0</w:t>
            </w:r>
          </w:p>
          <w:p w:rsidR="00B602AA" w:rsidRPr="00243E85" w:rsidRDefault="00B602AA">
            <w:pPr>
              <w:pStyle w:val="AFWTable"/>
              <w:rPr>
                <w:rFonts w:ascii="Times New Roman" w:hAnsi="Times New Roman" w:cs="Times New Roman"/>
                <w:b/>
                <w:noProof/>
              </w:rPr>
            </w:pPr>
          </w:p>
        </w:tc>
        <w:tc>
          <w:tcPr>
            <w:tcW w:w="3795" w:type="pct"/>
          </w:tcPr>
          <w:p w:rsidR="00B602AA" w:rsidRPr="00243E85" w:rsidRDefault="005C5300">
            <w:pPr>
              <w:pStyle w:val="AFWTable"/>
              <w:rPr>
                <w:rFonts w:ascii="Times New Roman" w:hAnsi="Times New Roman" w:cs="Times New Roman"/>
                <w:noProof/>
              </w:rPr>
            </w:pPr>
            <w:r w:rsidRPr="00243E85">
              <w:rPr>
                <w:rFonts w:ascii="Times New Roman" w:hAnsi="Times New Roman"/>
                <w:noProof/>
              </w:rPr>
              <w:t>Savitasis namų ūkių CO</w:t>
            </w:r>
            <w:r w:rsidRPr="00243E85">
              <w:rPr>
                <w:rFonts w:ascii="Times New Roman" w:hAnsi="Times New Roman"/>
                <w:noProof/>
                <w:vertAlign w:val="subscript"/>
              </w:rPr>
              <w:t>2</w:t>
            </w:r>
            <w:r w:rsidRPr="00243E85">
              <w:rPr>
                <w:rFonts w:ascii="Times New Roman" w:hAnsi="Times New Roman"/>
                <w:noProof/>
              </w:rPr>
              <w:t xml:space="preserve"> kiekis, išmestas vartojant energiją patalpoms šildyti, t/m</w:t>
            </w:r>
            <w:r w:rsidRPr="00243E85">
              <w:rPr>
                <w:rFonts w:ascii="Times New Roman" w:hAnsi="Times New Roman"/>
                <w:noProof/>
                <w:vertAlign w:val="superscript"/>
              </w:rPr>
              <w:t>2</w:t>
            </w:r>
          </w:p>
          <w:p w:rsidR="00B602AA" w:rsidRPr="00243E85" w:rsidRDefault="005C5300">
            <w:pPr>
              <w:pStyle w:val="AFWTable"/>
              <w:rPr>
                <w:rFonts w:ascii="Times New Roman" w:hAnsi="Times New Roman" w:cs="Times New Roman"/>
                <w:noProof/>
              </w:rPr>
            </w:pPr>
            <w:r w:rsidRPr="00243E85">
              <w:rPr>
                <w:rFonts w:ascii="Times New Roman" w:hAnsi="Times New Roman"/>
                <w:noProof/>
              </w:rPr>
              <w:t>Namų ūkių CO</w:t>
            </w:r>
            <w:r w:rsidRPr="00243E85">
              <w:rPr>
                <w:rFonts w:ascii="Times New Roman" w:hAnsi="Times New Roman"/>
                <w:noProof/>
                <w:vertAlign w:val="subscript"/>
              </w:rPr>
              <w:t>2</w:t>
            </w:r>
            <w:r w:rsidRPr="00243E85">
              <w:rPr>
                <w:rFonts w:ascii="Times New Roman" w:hAnsi="Times New Roman"/>
                <w:noProof/>
              </w:rPr>
              <w:t xml:space="preserve"> kiekis, išmestas vartojant energiją patalpoms šildyti, padalytas iš ilgalaikių būstų ploto, mln. m</w:t>
            </w:r>
            <w:r w:rsidRPr="00243E85">
              <w:rPr>
                <w:rFonts w:ascii="Times New Roman" w:hAnsi="Times New Roman"/>
                <w:noProof/>
                <w:vertAlign w:val="superscript"/>
              </w:rPr>
              <w:t>2</w:t>
            </w:r>
          </w:p>
        </w:tc>
      </w:tr>
      <w:tr w:rsidR="00B602AA" w:rsidRPr="00243E85">
        <w:tc>
          <w:tcPr>
            <w:tcW w:w="1205" w:type="pct"/>
          </w:tcPr>
          <w:p w:rsidR="00B602AA" w:rsidRPr="00243E85" w:rsidRDefault="005C5300">
            <w:pPr>
              <w:pStyle w:val="AFWTable"/>
              <w:rPr>
                <w:rFonts w:ascii="Times New Roman" w:hAnsi="Times New Roman" w:cs="Times New Roman"/>
                <w:b/>
                <w:noProof/>
              </w:rPr>
            </w:pPr>
            <w:r w:rsidRPr="00243E85">
              <w:rPr>
                <w:rFonts w:ascii="Times New Roman" w:hAnsi="Times New Roman"/>
                <w:noProof/>
              </w:rPr>
              <w:t>SERVICES B0</w:t>
            </w:r>
          </w:p>
          <w:p w:rsidR="00B602AA" w:rsidRPr="00243E85" w:rsidRDefault="00B602AA">
            <w:pPr>
              <w:pStyle w:val="AFWTable"/>
              <w:rPr>
                <w:rFonts w:ascii="Times New Roman" w:hAnsi="Times New Roman" w:cs="Times New Roman"/>
                <w:b/>
                <w:noProof/>
              </w:rPr>
            </w:pPr>
          </w:p>
        </w:tc>
        <w:tc>
          <w:tcPr>
            <w:tcW w:w="3795" w:type="pct"/>
          </w:tcPr>
          <w:p w:rsidR="00B602AA" w:rsidRPr="00243E85" w:rsidRDefault="005C5300">
            <w:pPr>
              <w:pStyle w:val="AFWTable"/>
              <w:rPr>
                <w:rFonts w:ascii="Times New Roman" w:hAnsi="Times New Roman" w:cs="Times New Roman"/>
                <w:noProof/>
              </w:rPr>
            </w:pPr>
            <w:r w:rsidRPr="00243E85">
              <w:rPr>
                <w:rFonts w:ascii="Times New Roman" w:hAnsi="Times New Roman"/>
                <w:noProof/>
              </w:rPr>
              <w:t>Savitasis komercinio ir institucinio sektoriaus CO</w:t>
            </w:r>
            <w:r w:rsidRPr="00243E85">
              <w:rPr>
                <w:rFonts w:ascii="Times New Roman" w:hAnsi="Times New Roman"/>
                <w:noProof/>
                <w:vertAlign w:val="subscript"/>
              </w:rPr>
              <w:t>2</w:t>
            </w:r>
            <w:r w:rsidRPr="00243E85">
              <w:rPr>
                <w:rFonts w:ascii="Times New Roman" w:hAnsi="Times New Roman"/>
                <w:noProof/>
              </w:rPr>
              <w:t xml:space="preserve"> kiekis, išmestas vartojant energiją patalpoms šildyti, kg/m</w:t>
            </w:r>
            <w:r w:rsidRPr="00243E85">
              <w:rPr>
                <w:rFonts w:ascii="Times New Roman" w:hAnsi="Times New Roman"/>
                <w:noProof/>
                <w:vertAlign w:val="superscript"/>
              </w:rPr>
              <w:t>2</w:t>
            </w:r>
          </w:p>
          <w:p w:rsidR="00B602AA" w:rsidRPr="00243E85" w:rsidRDefault="005C5300">
            <w:pPr>
              <w:pStyle w:val="AFWTable"/>
              <w:rPr>
                <w:rFonts w:ascii="Times New Roman" w:hAnsi="Times New Roman" w:cs="Times New Roman"/>
                <w:noProof/>
              </w:rPr>
            </w:pPr>
            <w:r w:rsidRPr="00243E85">
              <w:rPr>
                <w:rFonts w:ascii="Times New Roman" w:hAnsi="Times New Roman"/>
                <w:noProof/>
              </w:rPr>
              <w:t>Komercinio ir institucinio sektoriaus CO</w:t>
            </w:r>
            <w:r w:rsidRPr="00243E85">
              <w:rPr>
                <w:rFonts w:ascii="Times New Roman" w:hAnsi="Times New Roman"/>
                <w:noProof/>
                <w:vertAlign w:val="subscript"/>
              </w:rPr>
              <w:t>2</w:t>
            </w:r>
            <w:r w:rsidRPr="00243E85">
              <w:rPr>
                <w:rFonts w:ascii="Times New Roman" w:hAnsi="Times New Roman"/>
                <w:noProof/>
              </w:rPr>
              <w:t xml:space="preserve"> kiekis, išmestas vartojant energiją patalpoms šildyti (kt), padalytas iš paslaugų pastatų patalpų ploto, mln. m</w:t>
            </w:r>
            <w:r w:rsidRPr="00243E85">
              <w:rPr>
                <w:rFonts w:ascii="Times New Roman" w:hAnsi="Times New Roman"/>
                <w:noProof/>
                <w:vertAlign w:val="superscript"/>
              </w:rPr>
              <w:t>2</w:t>
            </w:r>
          </w:p>
        </w:tc>
      </w:tr>
      <w:tr w:rsidR="00B602AA" w:rsidRPr="00243E85">
        <w:tc>
          <w:tcPr>
            <w:tcW w:w="1205" w:type="pct"/>
          </w:tcPr>
          <w:p w:rsidR="00B602AA" w:rsidRPr="00243E85" w:rsidRDefault="005C5300">
            <w:pPr>
              <w:pStyle w:val="AFWTable"/>
              <w:rPr>
                <w:rFonts w:ascii="Times New Roman" w:hAnsi="Times New Roman" w:cs="Times New Roman"/>
                <w:b/>
                <w:noProof/>
              </w:rPr>
            </w:pPr>
            <w:r w:rsidRPr="00243E85">
              <w:rPr>
                <w:rFonts w:ascii="Times New Roman" w:hAnsi="Times New Roman"/>
                <w:noProof/>
              </w:rPr>
              <w:t>TRANSPORT B0</w:t>
            </w:r>
          </w:p>
        </w:tc>
        <w:tc>
          <w:tcPr>
            <w:tcW w:w="3795" w:type="pct"/>
          </w:tcPr>
          <w:p w:rsidR="00B602AA" w:rsidRPr="00243E85" w:rsidRDefault="005C5300">
            <w:pPr>
              <w:pStyle w:val="AFWTable"/>
              <w:rPr>
                <w:rFonts w:ascii="Times New Roman" w:hAnsi="Times New Roman" w:cs="Times New Roman"/>
                <w:noProof/>
              </w:rPr>
            </w:pPr>
            <w:r w:rsidRPr="00243E85">
              <w:rPr>
                <w:rFonts w:ascii="Times New Roman" w:hAnsi="Times New Roman"/>
                <w:noProof/>
              </w:rPr>
              <w:t>Savitasis dyzelinu varomų keleivinių automobilių išmestas CO</w:t>
            </w:r>
            <w:r w:rsidRPr="00243E85">
              <w:rPr>
                <w:rFonts w:ascii="Times New Roman" w:hAnsi="Times New Roman"/>
                <w:noProof/>
                <w:vertAlign w:val="subscript"/>
              </w:rPr>
              <w:t>2</w:t>
            </w:r>
            <w:r w:rsidRPr="00243E85">
              <w:rPr>
                <w:rFonts w:ascii="Times New Roman" w:hAnsi="Times New Roman"/>
                <w:noProof/>
              </w:rPr>
              <w:t xml:space="preserve"> kiekis, g/100 km</w:t>
            </w:r>
          </w:p>
        </w:tc>
      </w:tr>
      <w:tr w:rsidR="00B602AA" w:rsidRPr="00243E85">
        <w:tc>
          <w:tcPr>
            <w:tcW w:w="1205" w:type="pct"/>
          </w:tcPr>
          <w:p w:rsidR="00B602AA" w:rsidRPr="00243E85" w:rsidRDefault="005C5300">
            <w:pPr>
              <w:pStyle w:val="AFWTable"/>
              <w:rPr>
                <w:rFonts w:ascii="Times New Roman" w:hAnsi="Times New Roman" w:cs="Times New Roman"/>
                <w:b/>
                <w:noProof/>
              </w:rPr>
            </w:pPr>
            <w:r w:rsidRPr="00243E85">
              <w:rPr>
                <w:rFonts w:ascii="Times New Roman" w:hAnsi="Times New Roman"/>
                <w:noProof/>
              </w:rPr>
              <w:t>TRANSPORT B0</w:t>
            </w:r>
          </w:p>
        </w:tc>
        <w:tc>
          <w:tcPr>
            <w:tcW w:w="3795" w:type="pct"/>
          </w:tcPr>
          <w:p w:rsidR="00B602AA" w:rsidRPr="00243E85" w:rsidRDefault="005C5300">
            <w:pPr>
              <w:pStyle w:val="AFWTable"/>
              <w:rPr>
                <w:rFonts w:ascii="Times New Roman" w:hAnsi="Times New Roman" w:cs="Times New Roman"/>
                <w:noProof/>
              </w:rPr>
            </w:pPr>
            <w:r w:rsidRPr="00243E85">
              <w:rPr>
                <w:rFonts w:ascii="Times New Roman" w:hAnsi="Times New Roman"/>
                <w:noProof/>
              </w:rPr>
              <w:t>Savitasis benzinu varomų keleivinių automobilių išmestas CO</w:t>
            </w:r>
            <w:r w:rsidRPr="00243E85">
              <w:rPr>
                <w:rFonts w:ascii="Times New Roman" w:hAnsi="Times New Roman"/>
                <w:noProof/>
                <w:vertAlign w:val="subscript"/>
              </w:rPr>
              <w:t>2</w:t>
            </w:r>
            <w:r w:rsidRPr="00243E85">
              <w:rPr>
                <w:rFonts w:ascii="Times New Roman" w:hAnsi="Times New Roman"/>
                <w:noProof/>
              </w:rPr>
              <w:t xml:space="preserve"> kiekis, g/100 km</w:t>
            </w:r>
          </w:p>
        </w:tc>
      </w:tr>
    </w:tbl>
    <w:p w:rsidR="00B602AA" w:rsidRPr="00243E85" w:rsidRDefault="00B602AA">
      <w:pPr>
        <w:rPr>
          <w:rFonts w:eastAsia="Times New Roman"/>
          <w:noProof/>
          <w:color w:val="000000"/>
          <w:szCs w:val="24"/>
        </w:rPr>
      </w:pPr>
    </w:p>
    <w:p w:rsidR="0056435C" w:rsidRPr="00243E85" w:rsidRDefault="005C5300" w:rsidP="00056BCA">
      <w:pPr>
        <w:pStyle w:val="Annexetitre"/>
        <w:rPr>
          <w:b w:val="0"/>
          <w:i/>
          <w:noProof/>
          <w:u w:val="none"/>
        </w:rPr>
      </w:pPr>
      <w:r w:rsidRPr="00243E85">
        <w:rPr>
          <w:b w:val="0"/>
          <w:i/>
          <w:noProof/>
          <w:u w:val="none"/>
        </w:rPr>
        <w:t>IV PRIEDAS</w:t>
      </w:r>
    </w:p>
    <w:p w:rsidR="00B602AA" w:rsidRPr="00243E85" w:rsidRDefault="0056435C" w:rsidP="00056BCA">
      <w:pPr>
        <w:jc w:val="center"/>
        <w:rPr>
          <w:noProof/>
        </w:rPr>
      </w:pPr>
      <w:r w:rsidRPr="00243E85">
        <w:rPr>
          <w:b/>
          <w:noProof/>
        </w:rPr>
        <w:t>INFORMACIJA APIE ŠILTNAMIO EFEKTĄ SUKELIANČIŲ DUJŲ IŠMETIMO POLITIKĄ IR PRIEMONES</w:t>
      </w:r>
    </w:p>
    <w:p w:rsidR="00B602AA" w:rsidRPr="00243E85" w:rsidRDefault="005C5300">
      <w:pPr>
        <w:rPr>
          <w:noProof/>
        </w:rPr>
      </w:pPr>
      <w:r w:rsidRPr="00243E85">
        <w:t>Į ataskaitas, nurodytas 16 straipsnyje, įtraukiama informacija:</w:t>
      </w:r>
    </w:p>
    <w:p w:rsidR="00B602AA" w:rsidRPr="00243E85" w:rsidRDefault="005C5300">
      <w:pPr>
        <w:pStyle w:val="Point0letter"/>
        <w:numPr>
          <w:ilvl w:val="1"/>
          <w:numId w:val="4"/>
        </w:numPr>
        <w:rPr>
          <w:noProof/>
        </w:rPr>
      </w:pPr>
      <w:r w:rsidRPr="00243E85">
        <w:t xml:space="preserve">ataskaitų apie politiką ir priemones, taip pat dėl žmogaus veiklos iš atskirų šaltinių išmetamo ŠESD kiekio ir absorbentais pašalinamo tokių dujų kiekio prognozių teikimo pagal 32 straipsnio 1 dalį nacionalinės sistemos aprašas arba informacija apie tos sistemos pakeitimus, jeigu toks aprašas jau buvo pateiktas; </w:t>
      </w:r>
    </w:p>
    <w:p w:rsidR="00B602AA" w:rsidRPr="00243E85" w:rsidRDefault="005C5300">
      <w:pPr>
        <w:pStyle w:val="Point0letter"/>
        <w:rPr>
          <w:noProof/>
        </w:rPr>
      </w:pPr>
      <w:r w:rsidRPr="00243E85">
        <w:t>naujausia informacija, susijusi su ilgalaikėmis išmetamųjų teršalų kiekio mažinimo strategijomis, nurodytomis 14 straipsnyje, ir su tų strategijų įgyvendinimo pažanga;</w:t>
      </w:r>
    </w:p>
    <w:p w:rsidR="00B602AA" w:rsidRPr="00243E85" w:rsidRDefault="005C5300">
      <w:pPr>
        <w:pStyle w:val="Point0letter"/>
        <w:rPr>
          <w:noProof/>
        </w:rPr>
      </w:pPr>
      <w:r w:rsidRPr="00243E85">
        <w:t xml:space="preserve">informacija apie nacionalinę politiką bei priemones arba priemonių grupes ir apie Sąjungos politikos ir priemonių arba priemonių grupių, kuriomis ribojamas ar mažinamas ŠESD išmetimas iš atskirų šaltinių ir gerinamas šalinimas absorbentais, įgyvendinimą, pateikiama pagal sektorius ir pagal III priedo 2 dalyje nurodytas dujas ar dujų grupes (hidrofluorangliavandeniliai ir perfluorangliavandeniliai). Toje informacijoje nurodoma taikoma ir atitinkama nacionalinė arba Sąjungos politika ir ji apima: </w:t>
      </w:r>
    </w:p>
    <w:p w:rsidR="00B602AA" w:rsidRPr="00243E85" w:rsidRDefault="005C5300">
      <w:pPr>
        <w:pStyle w:val="Point1"/>
        <w:rPr>
          <w:noProof/>
        </w:rPr>
      </w:pPr>
      <w:r w:rsidRPr="00243E85">
        <w:t>i)</w:t>
      </w:r>
      <w:r w:rsidRPr="00243E85">
        <w:tab/>
        <w:t>politikos arba priemonės tikslą ir trumpą jos apibūdinimą,</w:t>
      </w:r>
    </w:p>
    <w:p w:rsidR="00B602AA" w:rsidRPr="00243E85" w:rsidRDefault="005C5300">
      <w:pPr>
        <w:pStyle w:val="Point1"/>
        <w:rPr>
          <w:noProof/>
        </w:rPr>
      </w:pPr>
      <w:r w:rsidRPr="00243E85">
        <w:t>ii)</w:t>
      </w:r>
      <w:r w:rsidRPr="00243E85">
        <w:tab/>
        <w:t>politikos įgyvendinimo priemonės rūšį,</w:t>
      </w:r>
    </w:p>
    <w:p w:rsidR="00B602AA" w:rsidRPr="00243E85" w:rsidRDefault="005C5300">
      <w:pPr>
        <w:pStyle w:val="Point1"/>
        <w:rPr>
          <w:noProof/>
        </w:rPr>
      </w:pPr>
      <w:r w:rsidRPr="00243E85">
        <w:t>iii)</w:t>
      </w:r>
      <w:r w:rsidRPr="00243E85">
        <w:tab/>
        <w:t>politikos arba priemonės, arba priemonių grupės įgyvendinimo būklę,</w:t>
      </w:r>
    </w:p>
    <w:p w:rsidR="00B602AA" w:rsidRPr="00243E85" w:rsidRDefault="005C5300">
      <w:pPr>
        <w:pStyle w:val="Point1"/>
        <w:rPr>
          <w:noProof/>
        </w:rPr>
      </w:pPr>
      <w:r w:rsidRPr="00243E85">
        <w:t>iv)</w:t>
      </w:r>
      <w:r w:rsidRPr="00243E85">
        <w:tab/>
        <w:t>per tam tikrą laiką padarytos pažangos stebėjimo ir vertinimo rodiklius,</w:t>
      </w:r>
    </w:p>
    <w:p w:rsidR="00B602AA" w:rsidRPr="00243E85" w:rsidRDefault="005C5300">
      <w:pPr>
        <w:pStyle w:val="Point1"/>
        <w:rPr>
          <w:noProof/>
        </w:rPr>
      </w:pPr>
      <w:r w:rsidRPr="00243E85">
        <w:t>v)</w:t>
      </w:r>
      <w:r w:rsidRPr="00243E85">
        <w:tab/>
        <w:t xml:space="preserve">kiekybinius poveikio ŠESD išmetimui iš atskirų šaltinių ir šalinimui absorbentais įverčius, suskirstytus pagal: </w:t>
      </w:r>
    </w:p>
    <w:p w:rsidR="00B602AA" w:rsidRPr="00243E85" w:rsidRDefault="005C5300">
      <w:pPr>
        <w:pStyle w:val="Tiret2"/>
        <w:numPr>
          <w:ilvl w:val="0"/>
          <w:numId w:val="12"/>
        </w:numPr>
        <w:rPr>
          <w:noProof/>
        </w:rPr>
      </w:pPr>
      <w:r w:rsidRPr="00243E85">
        <w:t xml:space="preserve">atskirų politikos sričių ir priemonių arba jų grupių poveikio švelninant klimato kaitą </w:t>
      </w:r>
      <w:r w:rsidRPr="00243E85">
        <w:rPr>
          <w:i/>
        </w:rPr>
        <w:t>ex ante</w:t>
      </w:r>
      <w:r w:rsidRPr="00243E85">
        <w:t xml:space="preserve"> vertinimo rezultatus. Įverčiai pateikiami ketverių </w:t>
      </w:r>
      <w:r w:rsidRPr="00243E85">
        <w:lastRenderedPageBreak/>
        <w:t>būsimų metų, kurių paskutinis skaitmuo yra 0 arba 5 ir kurie eina iš karto po ataskaitinių metų, sekai, atskiriant ŠESD, kurioms taikoma Direktyva 2003/87/EB, išmetimą ir dujų, kurioms taikomas Reglamentas [ ] [ESR] ir Reglamentas [ ] [LULUCF], išmetimą,</w:t>
      </w:r>
    </w:p>
    <w:p w:rsidR="00B602AA" w:rsidRPr="00243E85" w:rsidRDefault="005C5300">
      <w:pPr>
        <w:pStyle w:val="Tiret2"/>
        <w:rPr>
          <w:noProof/>
        </w:rPr>
      </w:pPr>
      <w:r w:rsidRPr="00243E85">
        <w:t xml:space="preserve">atskirų politikos sričių ir priemonių arba jų grupių poveikio švelninant klimato kaitą </w:t>
      </w:r>
      <w:r w:rsidRPr="00243E85">
        <w:rPr>
          <w:i/>
        </w:rPr>
        <w:t>ex post</w:t>
      </w:r>
      <w:r w:rsidRPr="00243E85">
        <w:t xml:space="preserve"> vertinimo rezultatus, jei yra, atskiriant ŠESD, kurioms taikoma Direktyva 2003/87/EB, išmetimą ir dujų, kurioms taikomas Reglamentas [ ] [ESR] ir Reglamentas [ ] [LULUCF], išmetimą,</w:t>
      </w:r>
    </w:p>
    <w:p w:rsidR="00B602AA" w:rsidRPr="00243E85" w:rsidRDefault="005C5300">
      <w:pPr>
        <w:pStyle w:val="Point1"/>
        <w:rPr>
          <w:noProof/>
        </w:rPr>
      </w:pPr>
      <w:r w:rsidRPr="00243E85">
        <w:t>vi)</w:t>
      </w:r>
      <w:r w:rsidRPr="00243E85">
        <w:tab/>
        <w:t>prognozuojamų politikos ir priemonių įgyvendinimo sąnaudų ir naudos sąmatas, taip pat faktinių politikos ir priemonių įgyvendinimo išlaidų ir naudos įverčius,</w:t>
      </w:r>
    </w:p>
    <w:p w:rsidR="00B602AA" w:rsidRPr="00243E85" w:rsidRDefault="005C5300">
      <w:pPr>
        <w:pStyle w:val="Point1"/>
        <w:rPr>
          <w:noProof/>
        </w:rPr>
      </w:pPr>
      <w:r w:rsidRPr="00243E85">
        <w:t>vii)</w:t>
      </w:r>
      <w:r w:rsidRPr="00243E85">
        <w:tab/>
        <w:t xml:space="preserve">visas nuorodas į nacionalinės politikos ir priemonių sąnaudų ir poveikio vertinimus, į informaciją apie Sąjungos politiką ir priemones, kuriomis ribojamas ar mažinamas ŠESD išmetimas iš atskirų šaltinių ir gerinamas šalinimas absorbentais, ir į pagrindžiamąsias technines ataskaitas, </w:t>
      </w:r>
    </w:p>
    <w:p w:rsidR="00B602AA" w:rsidRPr="00243E85" w:rsidRDefault="005C5300">
      <w:pPr>
        <w:pStyle w:val="Point1"/>
        <w:rPr>
          <w:noProof/>
        </w:rPr>
      </w:pPr>
      <w:r w:rsidRPr="00243E85">
        <w:t>viii)</w:t>
      </w:r>
      <w:r w:rsidRPr="00243E85">
        <w:tab/>
        <w:t>vertinimą, kaip politika arba priemonėmis prisidedama prie ilgalaikės išmetamųjų teršalų kiekio mažinimo strategijos, nurodytos 14 straipsnyje, įgyvendinimo;</w:t>
      </w:r>
    </w:p>
    <w:p w:rsidR="00B602AA" w:rsidRPr="00243E85" w:rsidRDefault="005C5300">
      <w:pPr>
        <w:pStyle w:val="Point0letter"/>
        <w:rPr>
          <w:noProof/>
        </w:rPr>
      </w:pPr>
      <w:r w:rsidRPr="00243E85">
        <w:t>informacija apie planuojamas papildomas nacionalinės politikos kryptis ir priemones, numatytas siekiant išmetamą ŠESD kiekį apriboti dar labiau, nei reikalaujama pagal Reglamentu [ ] [ESR] ir Reglamentu [ ] [LULUCF] nustatytus įpareigojimus;</w:t>
      </w:r>
    </w:p>
    <w:p w:rsidR="00B602AA" w:rsidRPr="00243E85" w:rsidRDefault="005C5300">
      <w:pPr>
        <w:pStyle w:val="Point0letter"/>
        <w:rPr>
          <w:noProof/>
        </w:rPr>
      </w:pPr>
      <w:r w:rsidRPr="00243E85">
        <w:t>informacija apie įvairios politikos ir priemonių, apie kurias pranešta pagal c punktą, sąsajas ir apie tai, kaip ta politika ir priemonės veikia įvairius prognozavimo scenarijus.</w:t>
      </w:r>
    </w:p>
    <w:p w:rsidR="0056435C" w:rsidRPr="00243E85" w:rsidRDefault="0056435C" w:rsidP="00056BCA">
      <w:pPr>
        <w:pStyle w:val="Annexetitre"/>
        <w:rPr>
          <w:b w:val="0"/>
          <w:i/>
          <w:noProof/>
          <w:u w:val="none"/>
        </w:rPr>
      </w:pPr>
      <w:r w:rsidRPr="00243E85">
        <w:rPr>
          <w:b w:val="0"/>
          <w:i/>
          <w:noProof/>
          <w:u w:val="none"/>
        </w:rPr>
        <w:t>V PRIEDAS</w:t>
      </w:r>
    </w:p>
    <w:p w:rsidR="00B602AA" w:rsidRPr="00243E85" w:rsidRDefault="0056435C" w:rsidP="00056BCA">
      <w:pPr>
        <w:jc w:val="center"/>
        <w:rPr>
          <w:noProof/>
        </w:rPr>
      </w:pPr>
      <w:r w:rsidRPr="00243E85">
        <w:rPr>
          <w:b/>
          <w:noProof/>
        </w:rPr>
        <w:t>INFORMACIJA APIE IŠMETAMO ŠILTNAMIO EFEKTĄ SUKELIANČIŲ DUJŲ KIEKIO PROGNOZES</w:t>
      </w:r>
    </w:p>
    <w:p w:rsidR="00B602AA" w:rsidRPr="00243E85" w:rsidRDefault="005C5300">
      <w:pPr>
        <w:rPr>
          <w:rFonts w:eastAsia="Times New Roman"/>
          <w:noProof/>
          <w:color w:val="000000"/>
          <w:sz w:val="19"/>
          <w:szCs w:val="19"/>
        </w:rPr>
      </w:pPr>
      <w:r w:rsidRPr="00243E85">
        <w:t>Į ataskaitas, nurodytas 16 straipsnyje, įtraukiama informacija:</w:t>
      </w:r>
    </w:p>
    <w:p w:rsidR="00B602AA" w:rsidRPr="00243E85" w:rsidRDefault="005C5300">
      <w:pPr>
        <w:pStyle w:val="Point0letter"/>
        <w:numPr>
          <w:ilvl w:val="1"/>
          <w:numId w:val="3"/>
        </w:numPr>
        <w:rPr>
          <w:noProof/>
        </w:rPr>
      </w:pPr>
      <w:r w:rsidRPr="00243E85">
        <w:t xml:space="preserve">prognozės netaikant priemonių, jei tokių yra, prognozės pritaikius priemones ir prognozės pritaikius papildomas priemones; </w:t>
      </w:r>
    </w:p>
    <w:p w:rsidR="00B602AA" w:rsidRPr="00243E85" w:rsidRDefault="005C5300">
      <w:pPr>
        <w:pStyle w:val="Point0letter"/>
        <w:rPr>
          <w:noProof/>
        </w:rPr>
      </w:pPr>
      <w:r w:rsidRPr="00243E85">
        <w:t xml:space="preserve">bendras prognozuojamas ŠESD kiekis ir atskirai įvertinti prognozuojami ŠESD kiekiai, išmesti iš taršos šaltinių, kuriems taikoma Direktyva 2003/87/EB ir Reglamentas [ ] [ESR], ir iš atskirų šaltinių išmesto ŠESD kiekio ir absorbentais pašalinto tokių dujų kiekio prognozės pagal Reglamentą [ ] [LULUCF]; </w:t>
      </w:r>
    </w:p>
    <w:p w:rsidR="00B602AA" w:rsidRPr="00243E85" w:rsidRDefault="005C5300">
      <w:pPr>
        <w:pStyle w:val="Point0letter"/>
        <w:rPr>
          <w:noProof/>
        </w:rPr>
      </w:pPr>
      <w:r w:rsidRPr="00243E85">
        <w:t xml:space="preserve">pagal 16 straipsnio 1 dalies a punktą nustatytos politikos ir priemonių poveikis. Jeigu tokia politika arba priemonės neįtrauktos, tai turėtų būti aiškiai nurodyta ir paaiškinta; </w:t>
      </w:r>
    </w:p>
    <w:p w:rsidR="00B602AA" w:rsidRPr="00243E85" w:rsidRDefault="005C5300">
      <w:pPr>
        <w:pStyle w:val="Point0letter"/>
        <w:rPr>
          <w:noProof/>
        </w:rPr>
      </w:pPr>
      <w:r w:rsidRPr="00243E85">
        <w:t xml:space="preserve">prognozuojant atliktos jautrumo analizės rezultatai ir informacija apie naudotus modelius ir parametrus; </w:t>
      </w:r>
    </w:p>
    <w:p w:rsidR="00B602AA" w:rsidRPr="00243E85" w:rsidRDefault="005C5300">
      <w:pPr>
        <w:pStyle w:val="Point0letter"/>
        <w:rPr>
          <w:noProof/>
        </w:rPr>
      </w:pPr>
      <w:r w:rsidRPr="00243E85">
        <w:t xml:space="preserve">visos susijusios nuorodos į vertinimą ir technines ataskaitas, kuriomis grindžiamos 16 straipsnio 4 dalyje nurodytos prognozės. </w:t>
      </w:r>
    </w:p>
    <w:p w:rsidR="0056435C" w:rsidRPr="00243E85" w:rsidRDefault="0056435C" w:rsidP="00056BCA">
      <w:pPr>
        <w:pStyle w:val="Annexetitre"/>
        <w:rPr>
          <w:b w:val="0"/>
          <w:i/>
          <w:noProof/>
          <w:u w:val="none"/>
        </w:rPr>
      </w:pPr>
      <w:r w:rsidRPr="00243E85">
        <w:rPr>
          <w:b w:val="0"/>
          <w:i/>
          <w:noProof/>
          <w:u w:val="none"/>
        </w:rPr>
        <w:t>VI PRIEDAS</w:t>
      </w:r>
    </w:p>
    <w:p w:rsidR="00B602AA" w:rsidRPr="00243E85" w:rsidRDefault="0056435C" w:rsidP="00056BCA">
      <w:pPr>
        <w:jc w:val="center"/>
        <w:rPr>
          <w:noProof/>
        </w:rPr>
      </w:pPr>
      <w:r w:rsidRPr="00243E85">
        <w:rPr>
          <w:b/>
          <w:noProof/>
        </w:rPr>
        <w:lastRenderedPageBreak/>
        <w:t>INFORMACIJA APIE NACIONALINIUS PRISITAIKYMO PRIE KLIMATO KAITOS VEIKSMUS, FINANSINĘ IR TECHNOLOGINĘ PARAMĄ BESIVYSTANČIOMS ŠALIMS, PAJAMAS IŠ AUKCIONŲ</w:t>
      </w:r>
    </w:p>
    <w:p w:rsidR="0056435C" w:rsidRPr="00243E85" w:rsidRDefault="005C5300" w:rsidP="00056BCA">
      <w:pPr>
        <w:jc w:val="center"/>
        <w:rPr>
          <w:b/>
          <w:noProof/>
        </w:rPr>
      </w:pPr>
      <w:r w:rsidRPr="00243E85">
        <w:rPr>
          <w:b/>
        </w:rPr>
        <w:t>1 dalis</w:t>
      </w:r>
    </w:p>
    <w:p w:rsidR="00B602AA" w:rsidRPr="00243E85" w:rsidRDefault="005C5300" w:rsidP="00056BCA">
      <w:pPr>
        <w:jc w:val="center"/>
        <w:rPr>
          <w:i/>
          <w:noProof/>
        </w:rPr>
      </w:pPr>
      <w:r w:rsidRPr="00243E85">
        <w:rPr>
          <w:i/>
          <w:noProof/>
        </w:rPr>
        <w:t>Prisitaikymo prie klimato kaitos ataskaitos</w:t>
      </w:r>
    </w:p>
    <w:p w:rsidR="00B602AA" w:rsidRPr="00243E85" w:rsidRDefault="005C5300">
      <w:pPr>
        <w:pStyle w:val="NormalWeb"/>
        <w:rPr>
          <w:noProof/>
        </w:rPr>
      </w:pPr>
      <w:r w:rsidRPr="00243E85">
        <w:t>Į ataskaitas, nurodytas 17 straipsnio 1 dalyje, įtraukiama informacija:</w:t>
      </w:r>
    </w:p>
    <w:p w:rsidR="00B602AA" w:rsidRPr="00243E85" w:rsidRDefault="005C5300">
      <w:pPr>
        <w:pStyle w:val="Point0letter"/>
        <w:numPr>
          <w:ilvl w:val="1"/>
          <w:numId w:val="34"/>
        </w:numPr>
        <w:rPr>
          <w:noProof/>
        </w:rPr>
      </w:pPr>
      <w:r w:rsidRPr="00243E85">
        <w:t>pagrindiniai prisitaikymo prie klimato kaitos tikslai, uždaviniai ir institucinė struktūra;</w:t>
      </w:r>
    </w:p>
    <w:p w:rsidR="00B602AA" w:rsidRPr="00243E85" w:rsidRDefault="005C5300">
      <w:pPr>
        <w:pStyle w:val="Point0letter"/>
        <w:rPr>
          <w:noProof/>
        </w:rPr>
      </w:pPr>
      <w:r w:rsidRPr="00243E85">
        <w:t xml:space="preserve">klimato kaitos prognozės, įskaitant ekstremalias oro sąlygas, klimato kaitos poveikis, pažeidžiamumas dėl klimato kaitos padarinių ir rizika bei didžiausi klimato kaitos pavojai; </w:t>
      </w:r>
    </w:p>
    <w:p w:rsidR="00B602AA" w:rsidRPr="00243E85" w:rsidRDefault="005C5300">
      <w:pPr>
        <w:pStyle w:val="Point0letter"/>
        <w:rPr>
          <w:noProof/>
        </w:rPr>
      </w:pPr>
      <w:r w:rsidRPr="00243E85">
        <w:t>gebėjimas prisitaikyti prie klimato kaitos;</w:t>
      </w:r>
    </w:p>
    <w:p w:rsidR="00B602AA" w:rsidRPr="00243E85" w:rsidRDefault="005C5300">
      <w:pPr>
        <w:pStyle w:val="Point0letter"/>
        <w:rPr>
          <w:noProof/>
        </w:rPr>
      </w:pPr>
      <w:r w:rsidRPr="00243E85">
        <w:t>prisitaikymo prie klimato kaitos planai ir strategijos;</w:t>
      </w:r>
    </w:p>
    <w:p w:rsidR="00B602AA" w:rsidRPr="00243E85" w:rsidRDefault="005C5300">
      <w:pPr>
        <w:pStyle w:val="Point0letter"/>
        <w:rPr>
          <w:noProof/>
        </w:rPr>
      </w:pPr>
      <w:r w:rsidRPr="00243E85">
        <w:t>institucinė struktūra, įskaitant vertikalųjį ir horizontalųjį valdymą, taip pat koordinavimo, stebėjimo ir valdymo sistemas;</w:t>
      </w:r>
    </w:p>
    <w:p w:rsidR="00B602AA" w:rsidRPr="00243E85" w:rsidRDefault="005C5300">
      <w:pPr>
        <w:pStyle w:val="Point0letter"/>
        <w:rPr>
          <w:noProof/>
        </w:rPr>
      </w:pPr>
      <w:r w:rsidRPr="00243E85">
        <w:t>padaryta įgyvendinimo pažanga, įskaitant gerąją patirtį ir valdymo pakeitimus.</w:t>
      </w:r>
    </w:p>
    <w:p w:rsidR="0056435C" w:rsidRPr="00243E85" w:rsidRDefault="005C5300" w:rsidP="00056BCA">
      <w:pPr>
        <w:jc w:val="center"/>
        <w:rPr>
          <w:b/>
          <w:noProof/>
        </w:rPr>
      </w:pPr>
      <w:r w:rsidRPr="00243E85">
        <w:rPr>
          <w:b/>
          <w:noProof/>
        </w:rPr>
        <w:t>2 dalis</w:t>
      </w:r>
    </w:p>
    <w:p w:rsidR="00B602AA" w:rsidRPr="00243E85" w:rsidRDefault="005C5300" w:rsidP="00056BCA">
      <w:pPr>
        <w:jc w:val="center"/>
        <w:rPr>
          <w:i/>
          <w:noProof/>
        </w:rPr>
      </w:pPr>
      <w:r w:rsidRPr="00243E85">
        <w:rPr>
          <w:i/>
          <w:noProof/>
        </w:rPr>
        <w:t>Paramos besivystančioms šalims ataskaitos</w:t>
      </w:r>
    </w:p>
    <w:p w:rsidR="00B602AA" w:rsidRPr="00243E85" w:rsidRDefault="005C5300">
      <w:pPr>
        <w:rPr>
          <w:noProof/>
        </w:rPr>
      </w:pPr>
      <w:r w:rsidRPr="00243E85">
        <w:t>Į ataskaitas, nurodytas 17 straipsnio 2 dalies a punkte, įtraukiama informacija:</w:t>
      </w:r>
    </w:p>
    <w:p w:rsidR="00B602AA" w:rsidRPr="00243E85" w:rsidRDefault="005C5300">
      <w:pPr>
        <w:pStyle w:val="Point0letter"/>
        <w:numPr>
          <w:ilvl w:val="1"/>
          <w:numId w:val="5"/>
        </w:numPr>
        <w:rPr>
          <w:noProof/>
        </w:rPr>
      </w:pPr>
      <w:r w:rsidRPr="00243E85">
        <w:t>informacija apie finansinę paramą, paskirtą ir X-1 metais suteiktą besivystančioms šalims, įskaitant:</w:t>
      </w:r>
    </w:p>
    <w:p w:rsidR="00B602AA" w:rsidRPr="00243E85" w:rsidRDefault="005C5300">
      <w:pPr>
        <w:pStyle w:val="Point1"/>
        <w:rPr>
          <w:noProof/>
        </w:rPr>
      </w:pPr>
      <w:r w:rsidRPr="00243E85">
        <w:t>i)</w:t>
      </w:r>
      <w:r w:rsidRPr="00243E85">
        <w:tab/>
        <w:t>kiekybinę informaciją apie viešuosius ir valstybės narės sutelktus finansinius išteklius. Informacija apie finansinius srautus turi būti grindžiama vadinamaisiais su klimato kaitos švelninimu susijusios paramos ir su prisitaikymu prie klimato kaitos susijusios paramos Rio rodikliais ir kitų stebėjimo sistemų, kurias sukūrė Ekonominio bendradarbiavimo ir plėtros organizacijos Paramos vystymuisi komitetas, duomenimis,</w:t>
      </w:r>
    </w:p>
    <w:p w:rsidR="00B602AA" w:rsidRPr="00243E85" w:rsidRDefault="005C5300">
      <w:pPr>
        <w:pStyle w:val="Point1"/>
        <w:rPr>
          <w:noProof/>
        </w:rPr>
      </w:pPr>
      <w:r w:rsidRPr="00243E85">
        <w:t>ii)</w:t>
      </w:r>
      <w:r w:rsidRPr="00243E85">
        <w:tab/>
        <w:t>kokybinę metodinę informaciją, kuria būtų paaiškintas kiekybinės informacijos išvedimo metodas, įskaitant paaiškinimą, kokia metodika duomenys išreikšti skaičiais, ir, jei dera, kitą informaciją apie naudotas skaičių, ypač susijusių su informacija apie sutelktus finansinius srautus, išvedimo apibrėžtis ir metodikas,</w:t>
      </w:r>
    </w:p>
    <w:p w:rsidR="00B602AA" w:rsidRPr="00243E85" w:rsidRDefault="005C5300">
      <w:pPr>
        <w:pStyle w:val="Point1"/>
        <w:rPr>
          <w:noProof/>
        </w:rPr>
      </w:pPr>
      <w:r w:rsidRPr="00243E85">
        <w:t>iii)</w:t>
      </w:r>
      <w:r w:rsidRPr="00243E85">
        <w:tab/>
        <w:t>turimą informaciją apie valstybių narių veiklą, susijusią su viešosiomis lėšomis finansuojamais technologijų perdavimo projektais ir pajėgumų stiprinimo projektais besivystančioms šalims pagal Jungtinių Tautų bendrąją klimato kaitos konvenciją, įskaitant tai, ar įgyvendinant technologijų perdavimo arba pajėgumų stiprinimo projektą siekta sušvelninti klimato kaitos poveikį arba prie jo prisitaikyti, taip pat įskaitant paramą gaunančią šalį, suteiktos paramos sumą, perduotos technologijos arba pajėgumų stiprinimo projekto rūšį;</w:t>
      </w:r>
    </w:p>
    <w:p w:rsidR="00B602AA" w:rsidRPr="00243E85" w:rsidRDefault="005C5300">
      <w:pPr>
        <w:pStyle w:val="Point0letter"/>
        <w:numPr>
          <w:ilvl w:val="1"/>
          <w:numId w:val="5"/>
        </w:numPr>
        <w:rPr>
          <w:noProof/>
        </w:rPr>
      </w:pPr>
      <w:r w:rsidRPr="00243E85">
        <w:t xml:space="preserve">X metų ir paskesnių metų informacija apie planuojamą paramos teikimą, įskaitant informaciją apie planuojamą veiklą, susijusią su viešosiomis lėšomis finansuojamais technologijų perdavimo projektais arba pajėgumų stiprinimo projektais besivystančioms šalims pagal Jungtinių Tautų bendrąją klimato kaitos konvenciją, </w:t>
      </w:r>
      <w:r w:rsidRPr="00243E85">
        <w:lastRenderedPageBreak/>
        <w:t>taip pat apie technologijas, kurios bus perduotos, ir pajėgumų stiprinimo projektus, įkaitant tai, ar įgyvendinant technologijų perdavimo arba pajėgumų stiprinimo projektą siekiama sušvelninti klimato kaitos poveikį arba prie jo prisitaikyti, taip pat įskaitant paramą gaunančią šalį, suteiktos paramos sumą, perduotos technologijos arba pajėgumų stiprinimo projekto rūšį.</w:t>
      </w:r>
    </w:p>
    <w:p w:rsidR="0056435C" w:rsidRPr="00243E85" w:rsidRDefault="005C5300" w:rsidP="00056BCA">
      <w:pPr>
        <w:jc w:val="center"/>
        <w:rPr>
          <w:b/>
          <w:noProof/>
        </w:rPr>
      </w:pPr>
      <w:r w:rsidRPr="00243E85">
        <w:rPr>
          <w:b/>
          <w:noProof/>
        </w:rPr>
        <w:t>3 dalis</w:t>
      </w:r>
    </w:p>
    <w:p w:rsidR="00B602AA" w:rsidRPr="00243E85" w:rsidRDefault="005C5300" w:rsidP="00056BCA">
      <w:pPr>
        <w:jc w:val="center"/>
        <w:rPr>
          <w:i/>
          <w:noProof/>
        </w:rPr>
      </w:pPr>
      <w:r w:rsidRPr="00243E85">
        <w:rPr>
          <w:i/>
          <w:noProof/>
        </w:rPr>
        <w:t>Pajamų iš aukcionų ataskaitos</w:t>
      </w:r>
    </w:p>
    <w:p w:rsidR="00B602AA" w:rsidRPr="00243E85" w:rsidRDefault="005C5300">
      <w:pPr>
        <w:rPr>
          <w:noProof/>
        </w:rPr>
      </w:pPr>
      <w:r w:rsidRPr="00243E85">
        <w:t>Į ataskaitas, nurodytas 17 straipsnio 2 dalies b punkte, įtraukiama informacija:</w:t>
      </w:r>
    </w:p>
    <w:p w:rsidR="00B602AA" w:rsidRPr="00243E85" w:rsidRDefault="005C5300">
      <w:pPr>
        <w:pStyle w:val="Point0letter"/>
        <w:numPr>
          <w:ilvl w:val="1"/>
          <w:numId w:val="6"/>
        </w:numPr>
        <w:rPr>
          <w:noProof/>
        </w:rPr>
      </w:pPr>
      <w:r w:rsidRPr="00243E85">
        <w:t xml:space="preserve">informaciją apie pajamų, valstybės narės gautų aukcionuose pardavus leidimus pagal Direktyvos 2003/87/EB 10 straipsnio 1 dalį, panaudojimą X-1 metais, įskaitant informaciją apie tokias pajamas, kurios buvo panaudotos vienam ar daugiau tos direktyvos 10 straipsnio 3 dalyje nurodytų tikslų, arba tų pajamų vertės finansinį atitikmenį, taip pat veiksmus, kurių imtasi pagal tą straipsnį; </w:t>
      </w:r>
    </w:p>
    <w:p w:rsidR="00B602AA" w:rsidRPr="00243E85" w:rsidRDefault="005C5300">
      <w:pPr>
        <w:pStyle w:val="Point0letter"/>
        <w:numPr>
          <w:ilvl w:val="1"/>
          <w:numId w:val="5"/>
        </w:numPr>
        <w:rPr>
          <w:noProof/>
        </w:rPr>
      </w:pPr>
      <w:r w:rsidRPr="00243E85">
        <w:t xml:space="preserve">informaciją apie valstybės narės nustatytą visų pajamų, valstybės narės gautų aukcionuose pardavus aviacijai skirtus leidimus pagal Direktyvos 2003/87/EB 3d straipsnio 1 arba 2 dalį, panaudojimą; ta informacija teikiama pagal tos direktyvos 3d straipsnio 4 dalį. </w:t>
      </w:r>
    </w:p>
    <w:p w:rsidR="00B602AA" w:rsidRPr="00243E85" w:rsidRDefault="005C5300">
      <w:pPr>
        <w:rPr>
          <w:noProof/>
        </w:rPr>
      </w:pPr>
      <w:r w:rsidRPr="00243E85">
        <w:t>Pajamos iš aukcionų, kurios dar neišmokėtos tuo metu, kai valstybė narė pagal 17 straipsnio 2 dalies b punktą teikia ataskaitą Komisijai, suskaičiuojamos ir nurodomos paskesnių metų ataskaitose.</w:t>
      </w:r>
    </w:p>
    <w:p w:rsidR="0056435C" w:rsidRPr="00243E85" w:rsidRDefault="005C5300" w:rsidP="00056BCA">
      <w:pPr>
        <w:pStyle w:val="Annexetitre"/>
        <w:rPr>
          <w:b w:val="0"/>
          <w:i/>
          <w:noProof/>
          <w:u w:val="none"/>
        </w:rPr>
      </w:pPr>
      <w:r w:rsidRPr="00243E85">
        <w:rPr>
          <w:b w:val="0"/>
          <w:i/>
          <w:noProof/>
          <w:u w:val="none"/>
        </w:rPr>
        <w:t>VII PRIEDAS</w:t>
      </w:r>
    </w:p>
    <w:p w:rsidR="00B602AA" w:rsidRPr="00243E85" w:rsidRDefault="005C5300" w:rsidP="00056BCA">
      <w:pPr>
        <w:jc w:val="center"/>
        <w:rPr>
          <w:noProof/>
        </w:rPr>
      </w:pPr>
      <w:r w:rsidRPr="00243E85">
        <w:rPr>
          <w:b/>
          <w:noProof/>
        </w:rPr>
        <w:t>PAPILDOMI ATASKAITŲ TEIKIMO ĮPAREIGOJIMAI</w:t>
      </w:r>
    </w:p>
    <w:p w:rsidR="0056435C" w:rsidRPr="00243E85" w:rsidRDefault="005C5300" w:rsidP="00056BCA">
      <w:pPr>
        <w:jc w:val="center"/>
        <w:rPr>
          <w:b/>
          <w:noProof/>
        </w:rPr>
      </w:pPr>
      <w:r w:rsidRPr="00243E85">
        <w:rPr>
          <w:b/>
          <w:noProof/>
        </w:rPr>
        <w:t>1 dalis</w:t>
      </w:r>
    </w:p>
    <w:p w:rsidR="00B602AA" w:rsidRPr="00243E85" w:rsidRDefault="005C5300" w:rsidP="00056BCA">
      <w:pPr>
        <w:jc w:val="center"/>
        <w:rPr>
          <w:i/>
          <w:noProof/>
        </w:rPr>
      </w:pPr>
      <w:r w:rsidRPr="00243E85">
        <w:rPr>
          <w:i/>
          <w:noProof/>
        </w:rPr>
        <w:t>Papildomi atsinaujinančiųjų išteklių energijos srities ataskaitų teikimo įpareigojimai</w:t>
      </w:r>
    </w:p>
    <w:p w:rsidR="00B602AA" w:rsidRPr="00243E85" w:rsidRDefault="005C5300">
      <w:pPr>
        <w:rPr>
          <w:b/>
          <w:noProof/>
          <w:sz w:val="28"/>
          <w:szCs w:val="28"/>
        </w:rPr>
      </w:pPr>
      <w:r w:rsidRPr="00243E85">
        <w:t>Jei nenurodyta kitaip, ši papildoma informacija įrašoma pagal 18 straipsnio c punktą:</w:t>
      </w:r>
    </w:p>
    <w:p w:rsidR="00B602AA" w:rsidRPr="00243E85" w:rsidRDefault="005C5300">
      <w:pPr>
        <w:pStyle w:val="Point0letter"/>
        <w:numPr>
          <w:ilvl w:val="1"/>
          <w:numId w:val="7"/>
        </w:numPr>
        <w:rPr>
          <w:noProof/>
        </w:rPr>
      </w:pPr>
      <w:r w:rsidRPr="00243E85">
        <w:t>iš atsinaujinančiųjų išteklių pagamintos elektros energijos, dujų, šildymo ir vėsinimo energijos kilmės garantijų sistemos veikimas, kilmės garantijų išdavimo bei panaikinimo lygiai ir gaunamas metinis šalyje suvartojamas atsinaujinančiųjų išteklių energijos kiekis, taip pat sistemos patikimumo ir apsaugos nuo sukčiavimo užtikrinimo priemonės;</w:t>
      </w:r>
    </w:p>
    <w:p w:rsidR="00B602AA" w:rsidRPr="00243E85" w:rsidRDefault="005C5300">
      <w:pPr>
        <w:pStyle w:val="Point0letter"/>
        <w:rPr>
          <w:noProof/>
        </w:rPr>
      </w:pPr>
      <w:r w:rsidRPr="00243E85">
        <w:t>[naujos Direktyvos 2009/28/EB redakcijos, parengtos pagal pasiūlymą COM(2016)767] 25 straipsnio 4 dalyje nurodyta suvestinė nacionalinių duomenų bazių informacija apie biodegalus, biodujas, pagamintas iš [naujos Direktyvos 2009/28/EB redakcijos, parengtos pagal pasiūlymą COM(2016) 767] IX priede išvardytų rūšių žaliavos, ne biologinės kilmės atsinaujinančiųjų išteklių transporto degalus, atliekinį iškastinį kurą ir elektros energiją, kurią rinkai pateikė kuro tiekėjai, įskaitant informaciją apie kuro rūšis, jų energinę vertę ir, jei taikoma, apie jų žaliavos bazę ir, jei dera, jų rodiklius šiltnamio efektą sukeliančių dujų neišmetimo atžvilgiu; jei nacionalinėje duomenų bazėje nėra faktinių verčių, valstybės narės gali naudoti tipines vertes arba, jei dera, numatytąsias vertes, pateiktas [naujos Direktyvos 2009/28/EB redakcijos, parengtos pagal pasiūlymą COM(2016)767] V priedo A ir B dalyse ir VI priedo A dalyje;</w:t>
      </w:r>
    </w:p>
    <w:p w:rsidR="00B602AA" w:rsidRPr="00243E85" w:rsidRDefault="005C5300">
      <w:pPr>
        <w:pStyle w:val="Point0letter"/>
        <w:rPr>
          <w:noProof/>
        </w:rPr>
      </w:pPr>
      <w:r w:rsidRPr="00243E85">
        <w:t>biomasės išteklių prieinamumo, kilmės ir naudojimo energijai gaminti pokyčiai;</w:t>
      </w:r>
    </w:p>
    <w:p w:rsidR="00B602AA" w:rsidRPr="00243E85" w:rsidRDefault="005C5300">
      <w:pPr>
        <w:pStyle w:val="Point0letter"/>
        <w:rPr>
          <w:noProof/>
        </w:rPr>
      </w:pPr>
      <w:r w:rsidRPr="00243E85">
        <w:lastRenderedPageBreak/>
        <w:t>prekių kainos ir žemės naudojimo pokyčiai valstybėje narėje, susiję su padidėjusiu biomasės ir kitų rūšių atsinaujinančiųjų išteklių energijos naudojimu;</w:t>
      </w:r>
    </w:p>
    <w:p w:rsidR="00B602AA" w:rsidRPr="00243E85" w:rsidRDefault="005C5300">
      <w:pPr>
        <w:pStyle w:val="Point0letter"/>
        <w:rPr>
          <w:noProof/>
        </w:rPr>
      </w:pPr>
      <w:r w:rsidRPr="00243E85">
        <w:t>tikėtinas energijos gamybos iš atsinaujinančiųjų išteklių perviršis, kurį galima perduoti kitoms valstybėms narėms, kad jos laikytųsi [naujos Direktyvos 2009/28/EB redakcijos, parengtos pagal pasiūlymą COM(2016)767] 3 straipsnio 3 dalies ir įgyvendintų 4 straipsnio a dalies 2 punkto i papunktyje nurodytus nacionalinius veiksmus ir trajektorijas;</w:t>
      </w:r>
    </w:p>
    <w:p w:rsidR="00B602AA" w:rsidRPr="00243E85" w:rsidRDefault="005C5300">
      <w:pPr>
        <w:pStyle w:val="Point0letter"/>
        <w:rPr>
          <w:noProof/>
        </w:rPr>
      </w:pPr>
      <w:r w:rsidRPr="00243E85">
        <w:t>iki 2030 m. numatoma atsinaujinančiųjų išteklių energijos paklausa, kuri turės būti patenkinta ne vidaus gamybos pajėgumais, įskaitant biomasės žaliavos importą;</w:t>
      </w:r>
    </w:p>
    <w:p w:rsidR="00B602AA" w:rsidRPr="00243E85" w:rsidRDefault="005C5300">
      <w:pPr>
        <w:pStyle w:val="Point0letter"/>
        <w:rPr>
          <w:noProof/>
        </w:rPr>
      </w:pPr>
      <w:r w:rsidRPr="00243E85">
        <w:t>iš [naujos Direktyvos 2009/28/EB redakcijos, parengtos pagal pasiūlymą COM(2016)767] IX priede išvardytų žaliavų pagamintų biodegalų naudojimo plėtojimas ir jų dalis, įskaitant išteklių įvertinimą, kuriame daugiausia dėmesio skiriama tvarumo aspektams, susijusiems su biodegalų gamybos vietoj maistui ir pašarui skirtų produktų daromu poveikiu, deramai atsižvelgiant į Direktyvoje 2008/98/EB nustatytus atliekų hierarchijos principus ir biomasės pakopinio naudojimo principą atsižvelgiant į regionines ir vietos ekonomines bei technologines aplinkybes, būtinų anglies atsargų išlaikymą dirvožemyje ir dirvožemio bei ekosistemų kokybę;</w:t>
      </w:r>
    </w:p>
    <w:p w:rsidR="00B602AA" w:rsidRPr="00243E85" w:rsidRDefault="005C5300">
      <w:pPr>
        <w:pStyle w:val="Point0letter"/>
        <w:rPr>
          <w:noProof/>
        </w:rPr>
      </w:pPr>
      <w:r w:rsidRPr="00243E85">
        <w:t>numatomas biodegalų, skystųjų bioproduktų bei biomasės kuro gamybos ir naudojimo poveikis biologinei įvairovei, vandens ištekliams, vandens prieinamumui ir kokybei, dirvožemio ir oro kokybei valstybėje narėje;</w:t>
      </w:r>
    </w:p>
    <w:p w:rsidR="00B602AA" w:rsidRPr="00243E85" w:rsidRDefault="005C5300">
      <w:pPr>
        <w:pStyle w:val="Point0letter"/>
        <w:rPr>
          <w:noProof/>
        </w:rPr>
      </w:pPr>
      <w:r w:rsidRPr="00243E85">
        <w:t>rizika arba pastebėti sukčiavimo atvejai biodegalų, skystųjų bioproduktų ir biomasės kuro priežiūros grandinėje;</w:t>
      </w:r>
    </w:p>
    <w:p w:rsidR="00B602AA" w:rsidRPr="00243E85" w:rsidRDefault="005C5300">
      <w:pPr>
        <w:pStyle w:val="Point0letter"/>
        <w:rPr>
          <w:noProof/>
        </w:rPr>
      </w:pPr>
      <w:r w:rsidRPr="00243E85">
        <w:t>informacija apie tai, kaip apskaičiuojama biologiškai skaidžių atliekų dalis naudojant atliekas energijos gamybai ir kokių priemonių imtasi siekiant, kad tokie apskaičiavimai būtų tikslesni ir tikrinami;</w:t>
      </w:r>
    </w:p>
    <w:p w:rsidR="00B602AA" w:rsidRPr="00243E85" w:rsidRDefault="005C5300">
      <w:pPr>
        <w:pStyle w:val="Point0letter"/>
        <w:rPr>
          <w:noProof/>
        </w:rPr>
      </w:pPr>
      <w:r w:rsidRPr="00243E85">
        <w:t>elektros energijos ir šilumos gamyba pastatuose iš atsinaujinančiųjų išteklių energijos (kaip apibrėžta Direktyvos 2010/31/ES 2 straipsnio 1 dalyje); Čia išskaidytai pateikiami duomenys apie tai, kiek energijos pagamino fotovoltinės saulės energijos sistemos, saulės šilumos energijos sistemos, biomasės sistemos, šilumos siurbliai, geoterminės sistemos ir visos kitos decentralizuotos atsinaujinančiųjų išteklių energijos sistemos, kiek tokios energijos suvartota ir kiek atiduota į tinklą);</w:t>
      </w:r>
    </w:p>
    <w:p w:rsidR="00B602AA" w:rsidRPr="00243E85" w:rsidRDefault="005C5300">
      <w:pPr>
        <w:pStyle w:val="Point0letter"/>
        <w:rPr>
          <w:noProof/>
        </w:rPr>
      </w:pPr>
      <w:r w:rsidRPr="00243E85">
        <w:t>jei taikoma, maistinės kilmės biodegalų ir pažangiųjų biodegalų dalis, centralizuotam šilumos tiekimui naudojamos atsinaujinančiųjų išteklių energijos dalis, taip pat miestų ir energijos bendruomenių pagaminta atsinaujinančiųjų išteklių energija, kaip apibrėžta [naujos Direktyvos 2009/28/EB redakcijos, parengtos pagal pasiūlymą COM(2016)767] 22 straipsnyje];</w:t>
      </w:r>
    </w:p>
    <w:p w:rsidR="00D267D3" w:rsidRPr="00243E85" w:rsidRDefault="00D267D3" w:rsidP="00D267D3">
      <w:pPr>
        <w:pStyle w:val="Point0letter"/>
        <w:rPr>
          <w:noProof/>
        </w:rPr>
      </w:pPr>
      <w:r w:rsidRPr="00243E85">
        <w:t>pirminis kietosios biomasės šaltinis (1 000 m</w:t>
      </w:r>
      <w:r w:rsidRPr="00243E85">
        <w:rPr>
          <w:vertAlign w:val="superscript"/>
        </w:rPr>
        <w:t>3</w:t>
      </w:r>
      <w:r w:rsidRPr="00243E85">
        <w:t>, bet 1 dalies b punkto iii papunkčio informacija tonomis):</w:t>
      </w:r>
    </w:p>
    <w:p w:rsidR="00D267D3" w:rsidRPr="00243E85" w:rsidRDefault="00D267D3" w:rsidP="00D267D3">
      <w:pPr>
        <w:pStyle w:val="Point1number"/>
        <w:rPr>
          <w:noProof/>
        </w:rPr>
      </w:pPr>
      <w:r w:rsidRPr="00243E85">
        <w:t xml:space="preserve">energijai gaminti naudojama miško biomasė (vidaus gamyba, importas ir eksportas): </w:t>
      </w:r>
    </w:p>
    <w:p w:rsidR="00D267D3" w:rsidRPr="00243E85" w:rsidRDefault="00D267D3" w:rsidP="00D267D3">
      <w:pPr>
        <w:pStyle w:val="Point2letter"/>
        <w:rPr>
          <w:noProof/>
        </w:rPr>
      </w:pPr>
      <w:r w:rsidRPr="00243E85">
        <w:t>energijai gaminti tiesiogiai naudojama pirminė miško biomasė:</w:t>
      </w:r>
    </w:p>
    <w:p w:rsidR="00D267D3" w:rsidRPr="00243E85" w:rsidRDefault="00D267D3" w:rsidP="00D267D3">
      <w:pPr>
        <w:pStyle w:val="Point3"/>
        <w:rPr>
          <w:noProof/>
        </w:rPr>
      </w:pPr>
      <w:r w:rsidRPr="00243E85">
        <w:t>i)</w:t>
      </w:r>
      <w:r w:rsidRPr="00243E85">
        <w:tab/>
        <w:t xml:space="preserve">šakos ir medžių viršūnės (ataskaitos teikiamos savanoriškai),  </w:t>
      </w:r>
    </w:p>
    <w:p w:rsidR="00D267D3" w:rsidRPr="00243E85" w:rsidRDefault="00D267D3" w:rsidP="00D267D3">
      <w:pPr>
        <w:pStyle w:val="Point3"/>
        <w:rPr>
          <w:noProof/>
        </w:rPr>
      </w:pPr>
      <w:r w:rsidRPr="00243E85">
        <w:t>ii)</w:t>
      </w:r>
      <w:r w:rsidRPr="00243E85">
        <w:tab/>
        <w:t>kelmai (ataskaitos teikiamos savanoriškai),</w:t>
      </w:r>
    </w:p>
    <w:p w:rsidR="00D267D3" w:rsidRPr="00243E85" w:rsidRDefault="00D267D3" w:rsidP="00D267D3">
      <w:pPr>
        <w:pStyle w:val="Point3"/>
      </w:pPr>
      <w:r w:rsidRPr="00243E85">
        <w:lastRenderedPageBreak/>
        <w:t>iii)</w:t>
      </w:r>
      <w:r w:rsidRPr="00243E85">
        <w:tab/>
        <w:t xml:space="preserve">apvalioji mediena (atskirai pramoninė apvalioji mediena ir malkinė mediena), </w:t>
      </w:r>
    </w:p>
    <w:p w:rsidR="00D267D3" w:rsidRPr="00243E85" w:rsidRDefault="00D267D3" w:rsidP="00D267D3">
      <w:pPr>
        <w:pStyle w:val="Point2letter"/>
        <w:rPr>
          <w:noProof/>
        </w:rPr>
      </w:pPr>
      <w:r w:rsidRPr="00243E85">
        <w:t xml:space="preserve">energijai gaminti naudojami miško pramonės šalutiniai produktai: </w:t>
      </w:r>
    </w:p>
    <w:p w:rsidR="00D267D3" w:rsidRPr="00243E85" w:rsidRDefault="00D267D3" w:rsidP="00D267D3">
      <w:pPr>
        <w:pStyle w:val="Point3"/>
        <w:rPr>
          <w:noProof/>
        </w:rPr>
      </w:pPr>
      <w:r w:rsidRPr="00243E85">
        <w:t>i)</w:t>
      </w:r>
      <w:r w:rsidRPr="00243E85">
        <w:tab/>
        <w:t>žievės (ataskaitos teikiamos savanoriškai),</w:t>
      </w:r>
    </w:p>
    <w:p w:rsidR="00D267D3" w:rsidRPr="00243E85" w:rsidRDefault="00D267D3" w:rsidP="00D267D3">
      <w:pPr>
        <w:pStyle w:val="Point3"/>
        <w:rPr>
          <w:noProof/>
        </w:rPr>
      </w:pPr>
      <w:r w:rsidRPr="00243E85">
        <w:t>ii)</w:t>
      </w:r>
      <w:r w:rsidRPr="00243E85">
        <w:tab/>
        <w:t>skiedros, pjuvenos ir kitos medienos dalelės,</w:t>
      </w:r>
    </w:p>
    <w:p w:rsidR="00D267D3" w:rsidRPr="00243E85" w:rsidRDefault="00D267D3" w:rsidP="00D267D3">
      <w:pPr>
        <w:pStyle w:val="Point3"/>
        <w:rPr>
          <w:noProof/>
        </w:rPr>
      </w:pPr>
      <w:r w:rsidRPr="00243E85">
        <w:t>iii)</w:t>
      </w:r>
      <w:r w:rsidRPr="00243E85">
        <w:tab/>
        <w:t>juodasis šarmas ir žalia talo alyva,</w:t>
      </w:r>
    </w:p>
    <w:p w:rsidR="00D267D3" w:rsidRPr="00243E85" w:rsidRDefault="00D267D3" w:rsidP="00D267D3">
      <w:pPr>
        <w:pStyle w:val="Point2letter"/>
        <w:rPr>
          <w:noProof/>
        </w:rPr>
      </w:pPr>
      <w:r w:rsidRPr="00243E85">
        <w:t>energijai gaminti tiesiogiai naudojama vartotojo panaudota mediena,</w:t>
      </w:r>
    </w:p>
    <w:p w:rsidR="00D267D3" w:rsidRPr="00243E85" w:rsidRDefault="00D267D3" w:rsidP="00D267D3">
      <w:pPr>
        <w:pStyle w:val="Point2letter"/>
        <w:rPr>
          <w:noProof/>
        </w:rPr>
      </w:pPr>
      <w:r w:rsidRPr="00243E85">
        <w:t xml:space="preserve">iš žaliavos, kuri į apskaitą neįrašyta pagal 1 dalies a, b arba c punktus, pagamintas apdorotas medienos kuras: </w:t>
      </w:r>
    </w:p>
    <w:p w:rsidR="00D267D3" w:rsidRPr="00243E85" w:rsidRDefault="00D267D3" w:rsidP="00D267D3">
      <w:pPr>
        <w:pStyle w:val="Point3"/>
        <w:rPr>
          <w:noProof/>
        </w:rPr>
      </w:pPr>
      <w:r w:rsidRPr="00243E85">
        <w:t>i)</w:t>
      </w:r>
      <w:r w:rsidRPr="00243E85">
        <w:tab/>
        <w:t>medžio anglys,</w:t>
      </w:r>
    </w:p>
    <w:p w:rsidR="00D267D3" w:rsidRPr="00243E85" w:rsidRDefault="00D267D3" w:rsidP="00D267D3">
      <w:pPr>
        <w:pStyle w:val="Point3"/>
        <w:rPr>
          <w:noProof/>
        </w:rPr>
      </w:pPr>
      <w:r w:rsidRPr="00243E85">
        <w:t>ii)</w:t>
      </w:r>
      <w:r w:rsidRPr="00243E85">
        <w:tab/>
        <w:t>medžio granulės ir briketai,</w:t>
      </w:r>
    </w:p>
    <w:p w:rsidR="00D267D3" w:rsidRPr="00243E85" w:rsidRDefault="00D267D3" w:rsidP="00D267D3">
      <w:pPr>
        <w:pStyle w:val="Point1number"/>
        <w:rPr>
          <w:noProof/>
        </w:rPr>
      </w:pPr>
      <w:r w:rsidRPr="00243E85">
        <w:t>energijai gaminti naudojama žemės ūkio biomasė (vidaus gamyba, importas ir eksportas):</w:t>
      </w:r>
    </w:p>
    <w:p w:rsidR="00D267D3" w:rsidRPr="00243E85" w:rsidRDefault="00D267D3" w:rsidP="00D267D3">
      <w:pPr>
        <w:pStyle w:val="Point2letter"/>
        <w:rPr>
          <w:noProof/>
        </w:rPr>
      </w:pPr>
      <w:r w:rsidRPr="00243E85">
        <w:t>elektros energijai arba šilumai gaminti naudojami energetiniai augalai (įskaitant trumpos rotacijos želdinius),</w:t>
      </w:r>
    </w:p>
    <w:p w:rsidR="00D267D3" w:rsidRPr="00243E85" w:rsidRDefault="00D267D3" w:rsidP="00D267D3">
      <w:pPr>
        <w:pStyle w:val="Point2letter"/>
        <w:rPr>
          <w:noProof/>
        </w:rPr>
      </w:pPr>
      <w:r w:rsidRPr="00243E85">
        <w:t>elektros energijai arba šilumai gaminti naudojamos žemės ūkio produktų derliaus liekanos,</w:t>
      </w:r>
    </w:p>
    <w:p w:rsidR="00D267D3" w:rsidRPr="00243E85" w:rsidRDefault="00D267D3" w:rsidP="00D267D3">
      <w:pPr>
        <w:pStyle w:val="Point1number"/>
        <w:rPr>
          <w:noProof/>
        </w:rPr>
      </w:pPr>
      <w:r w:rsidRPr="00243E85">
        <w:t xml:space="preserve">energijai gaminti naudojama organinių atliekų biomasė (vidaus gamyba, importas ir eksportas): </w:t>
      </w:r>
    </w:p>
    <w:p w:rsidR="00D267D3" w:rsidRPr="00243E85" w:rsidRDefault="00D267D3" w:rsidP="00D267D3">
      <w:pPr>
        <w:pStyle w:val="Point2letter"/>
        <w:rPr>
          <w:noProof/>
        </w:rPr>
      </w:pPr>
      <w:r w:rsidRPr="00243E85">
        <w:t>pramonės atliekų organinė frakcija,</w:t>
      </w:r>
    </w:p>
    <w:p w:rsidR="00D267D3" w:rsidRPr="00243E85" w:rsidRDefault="00D267D3" w:rsidP="00D267D3">
      <w:pPr>
        <w:pStyle w:val="Point2letter"/>
        <w:rPr>
          <w:noProof/>
        </w:rPr>
      </w:pPr>
      <w:r w:rsidRPr="00243E85">
        <w:t>komunalinių atliekų organinė frakcija,</w:t>
      </w:r>
    </w:p>
    <w:p w:rsidR="00D267D3" w:rsidRPr="00243E85" w:rsidRDefault="00D267D3" w:rsidP="00D267D3">
      <w:pPr>
        <w:pStyle w:val="Point2letter"/>
        <w:rPr>
          <w:noProof/>
        </w:rPr>
      </w:pPr>
      <w:r w:rsidRPr="00243E85">
        <w:t>dumblo atliekos;</w:t>
      </w:r>
    </w:p>
    <w:p w:rsidR="00B602AA" w:rsidRPr="00243E85" w:rsidRDefault="00B75BF4" w:rsidP="00BD4A85">
      <w:pPr>
        <w:pStyle w:val="Point0letter"/>
        <w:rPr>
          <w:noProof/>
        </w:rPr>
      </w:pPr>
      <w:r w:rsidRPr="00243E85">
        <w:t>galutinės kietosios biomasės energijos suvartojimas (toliau išvardytuose sektoriuose energijai gaminti naudojamos kietosios biomasės kiekis):</w:t>
      </w:r>
    </w:p>
    <w:p w:rsidR="00B602AA" w:rsidRPr="00243E85" w:rsidRDefault="005C5300">
      <w:pPr>
        <w:pStyle w:val="Point1number"/>
        <w:numPr>
          <w:ilvl w:val="2"/>
          <w:numId w:val="38"/>
        </w:numPr>
        <w:rPr>
          <w:noProof/>
        </w:rPr>
      </w:pPr>
      <w:r w:rsidRPr="00243E85">
        <w:t>energetikos sektoriuje:</w:t>
      </w:r>
    </w:p>
    <w:p w:rsidR="00B602AA" w:rsidRPr="00243E85" w:rsidRDefault="005C5300">
      <w:pPr>
        <w:pStyle w:val="Point2letter"/>
        <w:rPr>
          <w:noProof/>
        </w:rPr>
      </w:pPr>
      <w:r w:rsidRPr="00243E85">
        <w:t>elektros energija,</w:t>
      </w:r>
    </w:p>
    <w:p w:rsidR="00B602AA" w:rsidRPr="00243E85" w:rsidRDefault="005C5300">
      <w:pPr>
        <w:pStyle w:val="Point2letter"/>
        <w:rPr>
          <w:noProof/>
        </w:rPr>
      </w:pPr>
      <w:r w:rsidRPr="00243E85">
        <w:t>kogeneracija,</w:t>
      </w:r>
    </w:p>
    <w:p w:rsidR="00B602AA" w:rsidRPr="00243E85" w:rsidRDefault="005C5300">
      <w:pPr>
        <w:pStyle w:val="Point2letter"/>
        <w:rPr>
          <w:noProof/>
        </w:rPr>
      </w:pPr>
      <w:r w:rsidRPr="00243E85">
        <w:t xml:space="preserve">šiluma, </w:t>
      </w:r>
    </w:p>
    <w:p w:rsidR="00B602AA" w:rsidRPr="00243E85" w:rsidRDefault="005C5300">
      <w:pPr>
        <w:pStyle w:val="Point1number"/>
        <w:rPr>
          <w:noProof/>
        </w:rPr>
      </w:pPr>
      <w:r w:rsidRPr="00243E85">
        <w:t>pramonėje (suvartojama ir sau pasigaminama elektros energija, šiluma, bendros gamybos elektros energija ir šiluma),</w:t>
      </w:r>
    </w:p>
    <w:p w:rsidR="00B602AA" w:rsidRPr="00243E85" w:rsidRDefault="005C5300">
      <w:pPr>
        <w:pStyle w:val="Point1number"/>
        <w:rPr>
          <w:noProof/>
        </w:rPr>
      </w:pPr>
      <w:r w:rsidRPr="00243E85">
        <w:t>tiesioginis galutinis suvartojimas būstuose,</w:t>
      </w:r>
    </w:p>
    <w:p w:rsidR="00B602AA" w:rsidRPr="00243E85" w:rsidRDefault="005C5300">
      <w:pPr>
        <w:pStyle w:val="Point1number"/>
        <w:rPr>
          <w:noProof/>
        </w:rPr>
      </w:pPr>
      <w:r w:rsidRPr="00243E85">
        <w:t>kitur.</w:t>
      </w:r>
    </w:p>
    <w:p w:rsidR="00B602AA" w:rsidRPr="00243E85" w:rsidRDefault="00B602AA">
      <w:pPr>
        <w:rPr>
          <w:noProof/>
        </w:rPr>
      </w:pPr>
    </w:p>
    <w:p w:rsidR="009C29BC" w:rsidRPr="00243E85" w:rsidRDefault="005C5300" w:rsidP="00056BCA">
      <w:pPr>
        <w:jc w:val="center"/>
        <w:rPr>
          <w:b/>
          <w:noProof/>
          <w:szCs w:val="24"/>
        </w:rPr>
      </w:pPr>
      <w:r w:rsidRPr="00243E85">
        <w:rPr>
          <w:b/>
          <w:noProof/>
        </w:rPr>
        <w:t>2 dalis</w:t>
      </w:r>
    </w:p>
    <w:p w:rsidR="00B602AA" w:rsidRPr="00243E85" w:rsidRDefault="005C5300" w:rsidP="00056BCA">
      <w:pPr>
        <w:jc w:val="center"/>
        <w:rPr>
          <w:i/>
          <w:noProof/>
          <w:szCs w:val="24"/>
        </w:rPr>
      </w:pPr>
      <w:r w:rsidRPr="00243E85">
        <w:rPr>
          <w:i/>
          <w:noProof/>
        </w:rPr>
        <w:t>Papildomi energijos vartojimo efektyvumo srities ataskaitų teikimo įpareigojimai</w:t>
      </w:r>
    </w:p>
    <w:p w:rsidR="00B602AA" w:rsidRPr="00243E85" w:rsidRDefault="005C5300">
      <w:pPr>
        <w:rPr>
          <w:b/>
          <w:noProof/>
          <w:szCs w:val="24"/>
        </w:rPr>
      </w:pPr>
      <w:r w:rsidRPr="00243E85">
        <w:t>Ši energijos vartojimo efektyvumo srities papildoma informacija įrašoma pagal 19 straipsnio c punktą:</w:t>
      </w:r>
    </w:p>
    <w:p w:rsidR="00B602AA" w:rsidRPr="00243E85" w:rsidRDefault="005C5300">
      <w:pPr>
        <w:pStyle w:val="Point0letter"/>
        <w:numPr>
          <w:ilvl w:val="1"/>
          <w:numId w:val="35"/>
        </w:numPr>
        <w:rPr>
          <w:noProof/>
        </w:rPr>
      </w:pPr>
      <w:r w:rsidRPr="00243E85">
        <w:lastRenderedPageBreak/>
        <w:t>svarbiausia su teisėkūra susijusi ir nesusijusi politika, priemonės, finansavimo priemonės ir programos, kurios 4 straipsnio b dalyje nustatytiems uždaviniams spręsti įgyvendintos X-2 ir X-1 metais (čia X – metai, kuriais reikia pateikti ataskaitą), kad būtų skatinamos energetikos paslaugų rinkos, didinamas pastatų energinis naudingumas, naudojamasi efektyvaus energijos vartojimo galimybėmis dujų ir elektros energijos infrastruktūroje ir šildymo bei vėsinimo sektoriuose, gerinamas informavimas ir keliama kvalifikacija, taip pat kitos energijos vartojimo efektyvumo priemonės;</w:t>
      </w:r>
    </w:p>
    <w:p w:rsidR="00B602AA" w:rsidRPr="00243E85" w:rsidRDefault="005C5300">
      <w:pPr>
        <w:pStyle w:val="Point0letter"/>
        <w:rPr>
          <w:noProof/>
          <w:szCs w:val="24"/>
        </w:rPr>
      </w:pPr>
      <w:r w:rsidRPr="00243E85">
        <w:t>taikant Direktyvos 2012/27/ES [redakcija su pakeitimais, padarytais pagal pasiūlymą COM(2016)761] 7 straipsnį sutaupytas energijos kiekis X-3 ir X-2 metais;</w:t>
      </w:r>
    </w:p>
    <w:p w:rsidR="00B602AA" w:rsidRPr="00243E85" w:rsidRDefault="005C5300">
      <w:pPr>
        <w:pStyle w:val="Point0letter"/>
        <w:rPr>
          <w:noProof/>
          <w:szCs w:val="24"/>
        </w:rPr>
      </w:pPr>
      <w:r w:rsidRPr="00243E85">
        <w:t>pažanga kiekviename sektoriuje ir priežastys, kodėl energijos suvartojimas galutinės energijos suvartojimo sektoriuose X-3 ir X-2 metais buvo stabilus arba didėjo;</w:t>
      </w:r>
    </w:p>
    <w:p w:rsidR="00B602AA" w:rsidRPr="00243E85" w:rsidRDefault="005C5300">
      <w:pPr>
        <w:pStyle w:val="Point0letter"/>
        <w:rPr>
          <w:noProof/>
          <w:szCs w:val="24"/>
        </w:rPr>
      </w:pPr>
      <w:r w:rsidRPr="00243E85">
        <w:t>valstybių narių centrinės valdžios subjektams priklausančių ir jų naudojamų pastatų, kurių bendras naudingasis patalpų plotas viršija 250 m</w:t>
      </w:r>
      <w:r w:rsidRPr="00243E85">
        <w:rPr>
          <w:vertAlign w:val="superscript"/>
        </w:rPr>
        <w:t>2</w:t>
      </w:r>
      <w:r w:rsidRPr="00243E85">
        <w:t>, patalpų bendras plotas, kuris X-2 ir X-1 metų sausio 1 d. neatitiko Direktyvos 2012/27/ES 5 straipsnio 1 dalyje nurodytų energinio naudingumo reikalavimų;</w:t>
      </w:r>
    </w:p>
    <w:p w:rsidR="00B602AA" w:rsidRPr="00243E85" w:rsidRDefault="005C5300">
      <w:pPr>
        <w:pStyle w:val="Point0letter"/>
        <w:rPr>
          <w:noProof/>
          <w:szCs w:val="24"/>
        </w:rPr>
      </w:pPr>
      <w:r w:rsidRPr="00243E85">
        <w:t>Direktyvos 2012/27/ES 5 straipsnio 1 dalyje nurodytas valstybės narės centrinės valdžios subjektams priklausančių ir jų naudojamų šildomų ir (arba) vėsinamų pastatų patalpų bendras plotas, kuris X-3 ir X-2 metais buvo renovuotas, arba reikalavimus atitinkančiuose jų centrinės valdžios subjektams priklausančiuose ir jų naudojamuose pastatuose sutaupytas energijos kiekis, kaip nurodyta Direktyvos 2012/27/ES 5 straipsnio 6 dalyje;</w:t>
      </w:r>
    </w:p>
    <w:p w:rsidR="00B602AA" w:rsidRPr="00243E85" w:rsidRDefault="005C5300">
      <w:pPr>
        <w:pStyle w:val="Point0letter"/>
        <w:rPr>
          <w:noProof/>
          <w:szCs w:val="24"/>
        </w:rPr>
      </w:pPr>
      <w:r w:rsidRPr="00243E85">
        <w:t>X-3 ir X-2 metais atliktų energijos vartojimo auditų skaičius. Be to, visas didelių įmonių, kurioms taikoma Direktyvos 2012/27/ES 8 straipsnio 4 dalis, valstybės narės teritorijoje skaičius ir tose įmonėse X-3 ir X-2 metais atliktų energijos vartojimo auditų skaičius;</w:t>
      </w:r>
    </w:p>
    <w:p w:rsidR="00B602AA" w:rsidRPr="00243E85" w:rsidRDefault="005C5300">
      <w:pPr>
        <w:pStyle w:val="Point0letter"/>
        <w:rPr>
          <w:noProof/>
          <w:szCs w:val="24"/>
        </w:rPr>
      </w:pPr>
      <w:r w:rsidRPr="00243E85">
        <w:t>elektros energijai taikomas nacionalinis pirminės energijos koeficientas;</w:t>
      </w:r>
    </w:p>
    <w:p w:rsidR="00B602AA" w:rsidRPr="00243E85" w:rsidRDefault="005C5300">
      <w:pPr>
        <w:pStyle w:val="Point0letter"/>
        <w:rPr>
          <w:noProof/>
          <w:szCs w:val="24"/>
        </w:rPr>
      </w:pPr>
      <w:r w:rsidRPr="00243E85">
        <w:t>naujų ir renovuotų beveik nulinės energijos pastatų, kaip apibrėžta Direktyvos 2010/31/ES 9 straipsnyje, skaičius ir bendrasis plotas X-2 ir X-1 metais;</w:t>
      </w:r>
    </w:p>
    <w:p w:rsidR="00B602AA" w:rsidRPr="00243E85" w:rsidRDefault="005C5300">
      <w:pPr>
        <w:pStyle w:val="Point0letter"/>
        <w:rPr>
          <w:noProof/>
        </w:rPr>
      </w:pPr>
      <w:r w:rsidRPr="00243E85">
        <w:t>nuoroda į interneto svetainę, kurioje galima rasti Direktyvos 2012/27/ES 18 straipsnio 1 dalies c punkte nurodytą energetinių paslaugų teikėjų sąrašą ar sąsają.</w:t>
      </w:r>
    </w:p>
    <w:p w:rsidR="009C29BC" w:rsidRPr="00243E85" w:rsidRDefault="005C5300" w:rsidP="00056BCA">
      <w:pPr>
        <w:pStyle w:val="Annexetitre"/>
        <w:rPr>
          <w:b w:val="0"/>
          <w:i/>
          <w:noProof/>
          <w:szCs w:val="24"/>
          <w:u w:val="none"/>
        </w:rPr>
      </w:pPr>
      <w:r w:rsidRPr="00243E85">
        <w:rPr>
          <w:b w:val="0"/>
          <w:i/>
          <w:noProof/>
          <w:u w:val="none"/>
        </w:rPr>
        <w:t>VIII PRIEDAS</w:t>
      </w:r>
    </w:p>
    <w:p w:rsidR="00B602AA" w:rsidRPr="00243E85" w:rsidRDefault="005C5300" w:rsidP="00056BCA">
      <w:pPr>
        <w:jc w:val="center"/>
        <w:rPr>
          <w:noProof/>
        </w:rPr>
      </w:pPr>
      <w:r w:rsidRPr="00243E85">
        <w:rPr>
          <w:b/>
          <w:noProof/>
        </w:rPr>
        <w:t>SĄJUNGOS BIOENERGIJOS TVARUMO ATASKAITA</w:t>
      </w:r>
    </w:p>
    <w:p w:rsidR="00B602AA" w:rsidRPr="00243E85" w:rsidRDefault="005C5300">
      <w:pPr>
        <w:rPr>
          <w:noProof/>
          <w:szCs w:val="24"/>
        </w:rPr>
      </w:pPr>
      <w:r w:rsidRPr="00243E85">
        <w:t>ES bioenergijos tvarumo ataskaitoje energijos gamybos iš biomasės klausimais, kurią pagal 29 straipsnio 2 dalies d punktą Komisija turi kas dvejus metus pateikti kartu su energetikos sąjungos būklės ataskaita, pateikiama bent ši informacija:</w:t>
      </w:r>
    </w:p>
    <w:p w:rsidR="00B602AA" w:rsidRPr="00243E85" w:rsidRDefault="005C5300">
      <w:pPr>
        <w:pStyle w:val="Point0letter"/>
        <w:numPr>
          <w:ilvl w:val="1"/>
          <w:numId w:val="8"/>
        </w:numPr>
        <w:rPr>
          <w:noProof/>
          <w:szCs w:val="24"/>
        </w:rPr>
      </w:pPr>
      <w:r w:rsidRPr="00243E85">
        <w:t>įvairių biodegalų, skystųjų bioproduktų ir biomasės kuro santykinė nauda aplinkai ir sąnaudos, Sąjungos importo politikos poveikis šiems veiksniams, energetinio saugumo aspektai ir būdai suderinti vidaus produkciją ir importą;</w:t>
      </w:r>
    </w:p>
    <w:p w:rsidR="00B602AA" w:rsidRPr="00243E85" w:rsidRDefault="005C5300">
      <w:pPr>
        <w:pStyle w:val="Point0letter"/>
        <w:rPr>
          <w:noProof/>
          <w:szCs w:val="24"/>
        </w:rPr>
      </w:pPr>
      <w:r w:rsidRPr="00243E85">
        <w:t>biomasės gamybos ir naudojimo poveikis tvarumui Sąjungoje ir trečiosiose šalyse, įskaitant poveikį biologinei įvairovei;</w:t>
      </w:r>
    </w:p>
    <w:p w:rsidR="007826D8" w:rsidRPr="00243E85" w:rsidRDefault="007826D8" w:rsidP="007826D8">
      <w:pPr>
        <w:pStyle w:val="Point0letter"/>
        <w:rPr>
          <w:noProof/>
          <w:szCs w:val="24"/>
        </w:rPr>
      </w:pPr>
      <w:r w:rsidRPr="00243E85">
        <w:t xml:space="preserve">esamo ir prognozuojamo tvaraus biomasės prieinamumo ir paklausos duomenys ir analizė, įskaitant padidėjusios biomasės paklausos poveikį sektoriams, kuriuose biomasė naudojama; </w:t>
      </w:r>
    </w:p>
    <w:p w:rsidR="00B602AA" w:rsidRPr="00243E85" w:rsidRDefault="005C5300">
      <w:pPr>
        <w:pStyle w:val="Point0letter"/>
        <w:rPr>
          <w:noProof/>
          <w:szCs w:val="24"/>
        </w:rPr>
      </w:pPr>
      <w:r w:rsidRPr="00243E85">
        <w:lastRenderedPageBreak/>
        <w:t>iš [naujos Direktyvos 2009/28/EB redakcijos, parengtos pagal pasiūlymą COM(2016)767] IX priede išvardytų žaliavų pagamintų biodegalų technologinė plėtra, prieinamumas ir tvarumas, įskaitant biodegalų gamybos vietoj maistui ir pašarui skirtų produktų daromo poveikio vertinimą, deramai atsižvelgiant į Direktyvoje 2008/98/EB nustatytus atliekų hierarchijos principus ir biomasės pakopinio naudojimo principą atsižvelgiant į regionines ir vietos ekonomines bei technologines aplinkybes, būtinų anglies atsargų išlaikymą dirvožemyje ir dirvožemio bei ekosistemų kokybę;</w:t>
      </w:r>
    </w:p>
    <w:p w:rsidR="00B602AA" w:rsidRPr="00243E85" w:rsidRDefault="005C5300">
      <w:pPr>
        <w:pStyle w:val="Point0letter"/>
        <w:rPr>
          <w:noProof/>
          <w:szCs w:val="24"/>
        </w:rPr>
      </w:pPr>
      <w:r w:rsidRPr="00243E85">
        <w:t>informacija apie turimus mokslinių tyrimų rezultatus, susijusius su netiesioginiu žemės paskirties keitimu, atsižvelgiant į visus gamybos būdus, tų rezultatų analizė ir vertinimas, ar galima sumažinti neapibrėžtumo intervalą, nustatytą analizėje, atliktoje apskaičiuojant dėl netiesioginio žemės paskirties keitimo numatomą išmetamą kiekį, ir ar galima atsižvelgti į galimą Sąjungos politikos, pavyzdžiui, aplinkos, klimato ir žemės ūkio srityse, poveikį; ir</w:t>
      </w:r>
    </w:p>
    <w:p w:rsidR="00B602AA" w:rsidRPr="00243E85" w:rsidRDefault="005C5300">
      <w:pPr>
        <w:pStyle w:val="Point0letter"/>
        <w:rPr>
          <w:noProof/>
          <w:szCs w:val="24"/>
        </w:rPr>
      </w:pPr>
      <w:r w:rsidRPr="00243E85">
        <w:t>nacionalinės priemonės, kurių, laikydamosi [naujos Direktyvos 2009/28/EB redakcijos, parengtos pagal pasiūlymą COM(2016) 767] 26 straipsnio 2–7 dalyse nustatytų tvarumo ir išmetamo ŠESD kiekio mažinimo kriterijų ir siekdamos apsaugoti dirvožemį, vandenį bei orą, ėmėsi trečiosios šalys bei valstybės narės, kuriose yra svarbūs Sąjungoje vartojamų biodegalų, skystųjų bioproduktų ir biomasės kuro šaltiniai.</w:t>
      </w:r>
    </w:p>
    <w:p w:rsidR="00B602AA" w:rsidRPr="00243E85" w:rsidRDefault="005C5300">
      <w:pPr>
        <w:rPr>
          <w:noProof/>
          <w:szCs w:val="24"/>
        </w:rPr>
      </w:pPr>
      <w:r w:rsidRPr="00243E85">
        <w:t>Teikdama ataskaitas apie išmetamą ŠESD kiekį, sumažintą naudojant biomasę, Komisija naudoja valstybių narių pagal VII priedo 1 dalies b punktą pateiktas vertes, įskaitant numatomo kiekio, išmetamo dėl netiesioginio žemės paskirties keitimo, preliminarias vidutines vertes ir susijusį intervalą, nustatytą remiantis jautrumo analize, kaip nustatyta [naujos Direktyvos 2009/28/EB redakcijos, parengtos pagal pasiūlymą COM(2016)767] VIII priede. Komisija viešai skelbia duomenis, susijusius su vidutiniu preliminariu numatomu kiekiu, išmetamu dėl netiesioginio žemės paskirties keitimo, ir susijusiu intervalu, nustatytu remiantis jautrumo analize. Be to, Komisija įvertina, ar tiesioginio išmetamo kiekio sumažėjimo apskaičiavimas pasikeistų, jei taikant pakaitinį metodą būtų atsižvelgta į šalutinius produktus, ir jei pasikeistų, tai kaip.</w:t>
      </w:r>
    </w:p>
    <w:p w:rsidR="009C29BC" w:rsidRPr="00243E85" w:rsidRDefault="005C5300" w:rsidP="00056BCA">
      <w:pPr>
        <w:pStyle w:val="Annexetitre"/>
        <w:rPr>
          <w:b w:val="0"/>
          <w:i/>
          <w:noProof/>
          <w:szCs w:val="24"/>
          <w:u w:val="none"/>
        </w:rPr>
      </w:pPr>
      <w:r w:rsidRPr="00243E85">
        <w:rPr>
          <w:b w:val="0"/>
          <w:i/>
          <w:noProof/>
          <w:u w:val="none"/>
        </w:rPr>
        <w:t>IX PRIEDAS</w:t>
      </w:r>
    </w:p>
    <w:p w:rsidR="00B602AA" w:rsidRPr="00243E85" w:rsidRDefault="005C5300" w:rsidP="00056BCA">
      <w:pPr>
        <w:jc w:val="center"/>
        <w:rPr>
          <w:noProof/>
        </w:rPr>
      </w:pPr>
      <w:r w:rsidRPr="00243E85">
        <w:rPr>
          <w:b/>
          <w:noProof/>
        </w:rPr>
        <w:t>SAVANORIŠKOS SCHEMOS, DĖL KURIŲ KOMISIJA PRIĖMĖ SPRENDIMĄ PAGAL [NAUJOS DIREKTYVOS 2009/28/EB REDAKCIJOS, PARENGTOS PAGAL PASIŪLYMĄ COM(2016)767] 27 STRAIPSNIO 4 DALĮ</w:t>
      </w:r>
    </w:p>
    <w:p w:rsidR="00B602AA" w:rsidRPr="00243E85" w:rsidRDefault="005C5300">
      <w:pPr>
        <w:rPr>
          <w:noProof/>
          <w:szCs w:val="24"/>
        </w:rPr>
      </w:pPr>
      <w:r w:rsidRPr="00243E85">
        <w:t>Savanoriškų schemų, dėl kurių Komisija priėmė sprendimą pagal [naujos Direktyvos 2009/28/EB redakcijos, parengtos pagal pasiūlymą COM(2016) 767] 27 straipsnio 4 dalį, ataskaitoje, kurią pagal 29 straipsnio 2 dalies e punktą Komisija turi kas dvejus metus pateikti kartu su energetikos sąjungos būklės ataskaita, Komisija vertina bent:</w:t>
      </w:r>
    </w:p>
    <w:p w:rsidR="00B602AA" w:rsidRPr="00243E85" w:rsidRDefault="005C5300">
      <w:pPr>
        <w:pStyle w:val="Point0letter"/>
        <w:numPr>
          <w:ilvl w:val="1"/>
          <w:numId w:val="9"/>
        </w:numPr>
        <w:rPr>
          <w:noProof/>
          <w:szCs w:val="24"/>
        </w:rPr>
      </w:pPr>
      <w:r w:rsidRPr="00243E85">
        <w:t>auditų nepriklausomumą, sąlygas ir dažnumą, tiek atsižvelgiant į tai, kas nurodyta schemos dokumentuose tuo metu, kai Komisija atitinkamą schemą patvirtino, tiek palyginti su pramonės šakos geriausia praktika;</w:t>
      </w:r>
    </w:p>
    <w:p w:rsidR="00B602AA" w:rsidRPr="00243E85" w:rsidRDefault="005C5300">
      <w:pPr>
        <w:pStyle w:val="Point0letter"/>
        <w:rPr>
          <w:noProof/>
        </w:rPr>
      </w:pPr>
      <w:r w:rsidRPr="00243E85">
        <w:t>prieinamumą, patirtį ir skaidrumą taikant metodus, pagal kuriuos nustatomi ir sprendžiami reikalavimų nesilaikymo atvejai, ypač kaip sprendžiami tie atvejai, kai schemos dalyviai padaro rimtus pažeidimus arba yra įtariami padarę rimtus pažeidimus;</w:t>
      </w:r>
    </w:p>
    <w:p w:rsidR="00B602AA" w:rsidRPr="00243E85" w:rsidRDefault="005C5300">
      <w:pPr>
        <w:pStyle w:val="Point0letter"/>
        <w:rPr>
          <w:noProof/>
        </w:rPr>
      </w:pPr>
      <w:r w:rsidRPr="00243E85">
        <w:t xml:space="preserve">skaidrumą, ypač atsižvelgiant į schemos prieinamumą, vertimo į vartojamas šalių ir regionų, kurie yra žaliavų kilmės šalys ir regionai, kalbas prieinamumą, galimybę </w:t>
      </w:r>
      <w:r w:rsidRPr="00243E85">
        <w:lastRenderedPageBreak/>
        <w:t>susipažinti su sertifikuotų operatorių ir atitinkamų sertifikatų sąrašu ir audito ataskaitomis;</w:t>
      </w:r>
    </w:p>
    <w:p w:rsidR="00B602AA" w:rsidRPr="00243E85" w:rsidRDefault="005C5300">
      <w:pPr>
        <w:pStyle w:val="Point0letter"/>
        <w:rPr>
          <w:noProof/>
        </w:rPr>
      </w:pPr>
      <w:r w:rsidRPr="00243E85">
        <w:t>suinteresuotųjų šalių dalyvavimą, ypač konsultavimąsi su čiabuvių ir vietos bendruomenėmis prieš priimant sprendimus, kai rengiamos ir persvarstomos schemos, taip pat atliekant auditus, ir reagavimą, susijusį su jų įnašu;</w:t>
      </w:r>
    </w:p>
    <w:p w:rsidR="00B602AA" w:rsidRPr="00243E85" w:rsidRDefault="005C5300">
      <w:pPr>
        <w:pStyle w:val="Point0letter"/>
        <w:rPr>
          <w:noProof/>
        </w:rPr>
      </w:pPr>
      <w:r w:rsidRPr="00243E85">
        <w:t>bendrą schemos patikimumą, ypač atsižvelgiant į taisykles dėl auditorių ir atitinkamų schemos institucijų akreditavimo, kvalifikacijos ir nepriklausomumo;</w:t>
      </w:r>
    </w:p>
    <w:p w:rsidR="00B602AA" w:rsidRPr="00243E85" w:rsidRDefault="005C5300">
      <w:pPr>
        <w:pStyle w:val="Point0letter"/>
        <w:rPr>
          <w:noProof/>
        </w:rPr>
      </w:pPr>
      <w:r w:rsidRPr="00243E85">
        <w:t>schemos atnaujinimą atsižvelgiant į rinką, žaliavų ir sertifikuotų biodegalų kiekį pagal kilmės šalį ir rūšį, dalyvių skaičių;</w:t>
      </w:r>
    </w:p>
    <w:p w:rsidR="00B602AA" w:rsidRPr="00243E85" w:rsidRDefault="005C5300">
      <w:pPr>
        <w:pStyle w:val="Point0letter"/>
        <w:rPr>
          <w:noProof/>
        </w:rPr>
      </w:pPr>
      <w:r w:rsidRPr="00243E85">
        <w:t>tai, ar sistemą, pagal kurią atsekami atitikties tvarumo kriterijams, kurie numatomi dalyviui (-iams) pagal schemą, įrodymai, yra patogu naudoti ir ar ji yra veiksmingai įgyvendinama atsižvelgiant į sistemos paskirtį užkirsti kelią sukčiavimui, visų pirma nustatyti įtariamus sukčiavimo ir kitų pažeidimų atvejus, imtis su jais susijusių veiksmų bei tolesnių priemonių ir, atitinkamais atvejais, nustatytų sukčiavimo ar pažeidimų atvejų skaičius;</w:t>
      </w:r>
    </w:p>
    <w:p w:rsidR="00B602AA" w:rsidRPr="00243E85" w:rsidRDefault="005C5300">
      <w:pPr>
        <w:pStyle w:val="Point0letter"/>
        <w:rPr>
          <w:noProof/>
        </w:rPr>
      </w:pPr>
      <w:r w:rsidRPr="00243E85">
        <w:t>subjektų galimybes gauti leidimą pripažinti ir stebėti sertifikavimo įstaigas;</w:t>
      </w:r>
    </w:p>
    <w:p w:rsidR="00B602AA" w:rsidRPr="00243E85" w:rsidRDefault="005C5300">
      <w:pPr>
        <w:pStyle w:val="Point0letter"/>
        <w:rPr>
          <w:noProof/>
        </w:rPr>
      </w:pPr>
      <w:r w:rsidRPr="00243E85">
        <w:t>sertifikavimo įstaigų pripažinimo arba akreditavimo kriterijus;</w:t>
      </w:r>
    </w:p>
    <w:p w:rsidR="00B602AA" w:rsidRPr="00243E85" w:rsidRDefault="005C5300">
      <w:pPr>
        <w:pStyle w:val="Point0letter"/>
        <w:rPr>
          <w:noProof/>
        </w:rPr>
      </w:pPr>
      <w:r w:rsidRPr="00243E85">
        <w:t>sertifikavimo įstaigų stebėjimo taisykles;</w:t>
      </w:r>
    </w:p>
    <w:p w:rsidR="00B602AA" w:rsidRPr="00243E85" w:rsidRDefault="005C5300">
      <w:pPr>
        <w:pStyle w:val="Point0letter"/>
        <w:rPr>
          <w:noProof/>
        </w:rPr>
      </w:pPr>
      <w:r w:rsidRPr="00243E85">
        <w:t>būdus, kaip supaprastinti arba pagerinti geriausios praktikos skatinimą.</w:t>
      </w:r>
    </w:p>
    <w:p w:rsidR="009C29BC" w:rsidRPr="00243E85" w:rsidRDefault="009C29BC" w:rsidP="00056BCA">
      <w:pPr>
        <w:pStyle w:val="Annexetitre"/>
        <w:rPr>
          <w:b w:val="0"/>
          <w:i/>
          <w:noProof/>
          <w:u w:val="none"/>
        </w:rPr>
      </w:pPr>
      <w:r w:rsidRPr="00243E85">
        <w:rPr>
          <w:b w:val="0"/>
          <w:i/>
          <w:noProof/>
          <w:u w:val="none"/>
        </w:rPr>
        <w:t>X PRIEDAS</w:t>
      </w:r>
    </w:p>
    <w:p w:rsidR="00B602AA" w:rsidRPr="00243E85" w:rsidRDefault="009C29BC" w:rsidP="00056BCA">
      <w:pPr>
        <w:jc w:val="center"/>
        <w:rPr>
          <w:noProof/>
        </w:rPr>
      </w:pPr>
      <w:r w:rsidRPr="00243E85">
        <w:rPr>
          <w:b/>
          <w:noProof/>
        </w:rPr>
        <w:t>NACIONALINĖS APSKAITOS SISTEMOS</w:t>
      </w:r>
    </w:p>
    <w:p w:rsidR="00B602AA" w:rsidRPr="00243E85" w:rsidRDefault="005C5300">
      <w:pPr>
        <w:rPr>
          <w:noProof/>
        </w:rPr>
      </w:pPr>
      <w:r w:rsidRPr="00243E85">
        <w:t>30 straipsnyje nurodytą informaciją sudaro:</w:t>
      </w:r>
    </w:p>
    <w:p w:rsidR="00B602AA" w:rsidRPr="00243E85" w:rsidRDefault="005C5300">
      <w:pPr>
        <w:pStyle w:val="Point0letter"/>
        <w:numPr>
          <w:ilvl w:val="1"/>
          <w:numId w:val="10"/>
        </w:numPr>
        <w:rPr>
          <w:noProof/>
        </w:rPr>
      </w:pPr>
      <w:r w:rsidRPr="00243E85">
        <w:t xml:space="preserve">su veiklos rūšimis ir įrenginiais susiję duomenys ir metodai pagal Direktyvą 2003/87/EB, kad būtų galima parengti nacionalinę ŠESD apskaitą, siekiant užtikrinti pagal Sąjungos apyvartinių taršos leidimų prekybos sistemą pateiktų ŠESD išmetimo duomenų atitiktį nacionalinės ŠESD apskaitos duomenims; </w:t>
      </w:r>
    </w:p>
    <w:p w:rsidR="00B602AA" w:rsidRPr="00243E85" w:rsidRDefault="005C5300">
      <w:pPr>
        <w:pStyle w:val="Point0letter"/>
        <w:rPr>
          <w:noProof/>
        </w:rPr>
      </w:pPr>
      <w:r w:rsidRPr="00243E85">
        <w:t xml:space="preserve">duomenys, surinkti fluorintų dujų išmetimo įvairiuose sektoriuose ataskaitų teikimo sistemose, kaip nustatyta Reglamento (ES) Nr. 517/2014 20 straipsnyje, kad būtų galima parengti nacionalinę ŠESD dujų apskaitą; </w:t>
      </w:r>
    </w:p>
    <w:p w:rsidR="00B602AA" w:rsidRPr="00243E85" w:rsidRDefault="005C5300">
      <w:pPr>
        <w:pStyle w:val="Point0letter"/>
        <w:rPr>
          <w:noProof/>
        </w:rPr>
      </w:pPr>
      <w:r w:rsidRPr="00243E85">
        <w:t xml:space="preserve">teršalų išmetimo duomenys, pamatiniai duomenys ir metodai, apie kuriuos pranešta iš objektų pagal Reglamentą (EB) Nr. 166/2006, kad būtų galima parengti nacionalinę ŠESD apskaitą; </w:t>
      </w:r>
    </w:p>
    <w:p w:rsidR="00B602AA" w:rsidRPr="00243E85" w:rsidRDefault="005C5300">
      <w:pPr>
        <w:pStyle w:val="Point0letter"/>
        <w:rPr>
          <w:noProof/>
        </w:rPr>
      </w:pPr>
      <w:r w:rsidRPr="00243E85">
        <w:t xml:space="preserve">duomenys, pateikti pagal Reglamentą (EB) Nr. 1099/2008; </w:t>
      </w:r>
    </w:p>
    <w:p w:rsidR="00B602AA" w:rsidRPr="00243E85" w:rsidRDefault="005C5300">
      <w:pPr>
        <w:pStyle w:val="Point0letter"/>
        <w:rPr>
          <w:noProof/>
        </w:rPr>
      </w:pPr>
      <w:r w:rsidRPr="00243E85">
        <w:t>duomenys, surinkti žemės plotų geografinio atsekamumo sistemoje pagal įgyvendinamas Sąjungos ir valstybių narių programas ir atliekamus tyrimus (įskaitant Statistinių duomenų apie žemės dangą ir žemės naudojimą rinkimo sistemą LUCAS ir Europos Žemės stebėjimo programą „Copernicus“).</w:t>
      </w:r>
    </w:p>
    <w:p w:rsidR="009C29BC" w:rsidRPr="00243E85" w:rsidRDefault="005C5300" w:rsidP="00056BCA">
      <w:pPr>
        <w:pStyle w:val="Annexetitre"/>
        <w:rPr>
          <w:b w:val="0"/>
          <w:i/>
          <w:noProof/>
          <w:u w:val="none"/>
        </w:rPr>
      </w:pPr>
      <w:r w:rsidRPr="00243E85">
        <w:rPr>
          <w:b w:val="0"/>
          <w:i/>
          <w:noProof/>
          <w:u w:val="none"/>
        </w:rPr>
        <w:t>XI PRIEDAS</w:t>
      </w:r>
    </w:p>
    <w:p w:rsidR="00B602AA" w:rsidRPr="00243E85" w:rsidRDefault="005C5300" w:rsidP="00056BCA">
      <w:pPr>
        <w:jc w:val="center"/>
        <w:rPr>
          <w:noProof/>
        </w:rPr>
      </w:pPr>
      <w:r w:rsidRPr="00243E85">
        <w:rPr>
          <w:b/>
          <w:noProof/>
        </w:rPr>
        <w:t>ATITIKMENŲ LENTELĖ</w:t>
      </w:r>
    </w:p>
    <w:tbl>
      <w:tblPr>
        <w:tblW w:w="5000"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260"/>
        <w:gridCol w:w="6843"/>
      </w:tblGrid>
      <w:tr w:rsidR="00B602AA" w:rsidRPr="00243E85">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B602AA" w:rsidRPr="00243E85" w:rsidRDefault="005C5300">
            <w:pPr>
              <w:spacing w:before="60" w:after="60"/>
              <w:ind w:right="195"/>
              <w:jc w:val="center"/>
              <w:rPr>
                <w:rFonts w:eastAsia="Times New Roman"/>
                <w:b/>
                <w:bCs/>
                <w:noProof/>
                <w:color w:val="000000"/>
              </w:rPr>
            </w:pPr>
            <w:r w:rsidRPr="00243E85">
              <w:rPr>
                <w:b/>
                <w:noProof/>
                <w:color w:val="000000"/>
              </w:rPr>
              <w:t>Reglamentas (ES) Nr. 525/2013</w:t>
            </w:r>
          </w:p>
        </w:tc>
        <w:tc>
          <w:tcPr>
            <w:tcW w:w="0" w:type="auto"/>
            <w:tcBorders>
              <w:top w:val="single" w:sz="6" w:space="0" w:color="000000"/>
              <w:left w:val="single" w:sz="6" w:space="0" w:color="000000"/>
              <w:bottom w:val="single" w:sz="6" w:space="0" w:color="000000"/>
              <w:right w:val="single" w:sz="6" w:space="0" w:color="000000"/>
            </w:tcBorders>
            <w:hideMark/>
          </w:tcPr>
          <w:p w:rsidR="00B602AA" w:rsidRPr="00243E85" w:rsidRDefault="005C5300">
            <w:pPr>
              <w:spacing w:before="60" w:after="60"/>
              <w:ind w:right="195"/>
              <w:jc w:val="center"/>
              <w:rPr>
                <w:rFonts w:eastAsia="Times New Roman"/>
                <w:b/>
                <w:bCs/>
                <w:noProof/>
                <w:color w:val="000000"/>
              </w:rPr>
            </w:pPr>
            <w:r w:rsidRPr="00243E85">
              <w:rPr>
                <w:b/>
                <w:noProof/>
                <w:color w:val="000000"/>
              </w:rPr>
              <w:t>Šis reglamentas</w:t>
            </w:r>
          </w:p>
        </w:tc>
      </w:tr>
      <w:tr w:rsidR="00B602AA" w:rsidRPr="00243E85">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B602AA" w:rsidRPr="00243E85" w:rsidRDefault="005C5300">
            <w:pPr>
              <w:spacing w:before="60" w:after="60"/>
              <w:rPr>
                <w:rFonts w:eastAsia="Times New Roman"/>
                <w:noProof/>
                <w:color w:val="000000"/>
              </w:rPr>
            </w:pPr>
            <w:r w:rsidRPr="00243E85">
              <w:rPr>
                <w:noProof/>
                <w:color w:val="000000"/>
              </w:rPr>
              <w:lastRenderedPageBreak/>
              <w:t>1 straipsnis</w:t>
            </w:r>
          </w:p>
        </w:tc>
        <w:tc>
          <w:tcPr>
            <w:tcW w:w="0" w:type="auto"/>
            <w:tcBorders>
              <w:top w:val="single" w:sz="6" w:space="0" w:color="000000"/>
              <w:left w:val="single" w:sz="6" w:space="0" w:color="000000"/>
              <w:bottom w:val="single" w:sz="6" w:space="0" w:color="000000"/>
              <w:right w:val="single" w:sz="6" w:space="0" w:color="000000"/>
            </w:tcBorders>
            <w:hideMark/>
          </w:tcPr>
          <w:p w:rsidR="00B602AA" w:rsidRPr="00243E85" w:rsidRDefault="005C5300">
            <w:pPr>
              <w:spacing w:before="60" w:after="60"/>
              <w:rPr>
                <w:rFonts w:eastAsia="Times New Roman"/>
                <w:noProof/>
                <w:color w:val="000000"/>
              </w:rPr>
            </w:pPr>
            <w:r w:rsidRPr="00243E85">
              <w:rPr>
                <w:noProof/>
                <w:color w:val="000000"/>
              </w:rPr>
              <w:t>1 straipsnio 1 dalis</w:t>
            </w:r>
          </w:p>
        </w:tc>
      </w:tr>
      <w:tr w:rsidR="00B602AA" w:rsidRPr="00243E85">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B602AA" w:rsidRPr="00243E85" w:rsidRDefault="005C5300">
            <w:pPr>
              <w:spacing w:before="60" w:after="60"/>
              <w:rPr>
                <w:rFonts w:eastAsia="Times New Roman"/>
                <w:noProof/>
                <w:color w:val="000000"/>
              </w:rPr>
            </w:pPr>
            <w:r w:rsidRPr="00243E85">
              <w:rPr>
                <w:noProof/>
                <w:color w:val="000000"/>
              </w:rPr>
              <w:t>2 straipsnis</w:t>
            </w:r>
          </w:p>
        </w:tc>
        <w:tc>
          <w:tcPr>
            <w:tcW w:w="0" w:type="auto"/>
            <w:tcBorders>
              <w:top w:val="single" w:sz="6" w:space="0" w:color="000000"/>
              <w:left w:val="single" w:sz="6" w:space="0" w:color="000000"/>
              <w:bottom w:val="single" w:sz="6" w:space="0" w:color="000000"/>
              <w:right w:val="single" w:sz="6" w:space="0" w:color="000000"/>
            </w:tcBorders>
            <w:hideMark/>
          </w:tcPr>
          <w:p w:rsidR="00B602AA" w:rsidRPr="00243E85" w:rsidRDefault="005C5300">
            <w:pPr>
              <w:spacing w:before="60" w:after="60"/>
              <w:rPr>
                <w:rFonts w:eastAsia="Times New Roman"/>
                <w:noProof/>
                <w:color w:val="000000"/>
              </w:rPr>
            </w:pPr>
            <w:r w:rsidRPr="00243E85">
              <w:rPr>
                <w:noProof/>
                <w:color w:val="000000"/>
              </w:rPr>
              <w:t>—</w:t>
            </w:r>
          </w:p>
        </w:tc>
      </w:tr>
      <w:tr w:rsidR="00B602AA" w:rsidRPr="00243E85">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B602AA" w:rsidRPr="00243E85" w:rsidRDefault="005C5300">
            <w:pPr>
              <w:spacing w:before="60" w:after="60"/>
              <w:rPr>
                <w:rFonts w:eastAsia="Times New Roman"/>
                <w:noProof/>
                <w:color w:val="000000"/>
              </w:rPr>
            </w:pPr>
            <w:r w:rsidRPr="00243E85">
              <w:rPr>
                <w:noProof/>
                <w:color w:val="000000"/>
              </w:rPr>
              <w:t>3 straipsnis</w:t>
            </w:r>
          </w:p>
        </w:tc>
        <w:tc>
          <w:tcPr>
            <w:tcW w:w="0" w:type="auto"/>
            <w:tcBorders>
              <w:top w:val="single" w:sz="6" w:space="0" w:color="000000"/>
              <w:left w:val="single" w:sz="6" w:space="0" w:color="000000"/>
              <w:bottom w:val="single" w:sz="6" w:space="0" w:color="000000"/>
              <w:right w:val="single" w:sz="6" w:space="0" w:color="000000"/>
            </w:tcBorders>
            <w:hideMark/>
          </w:tcPr>
          <w:p w:rsidR="00B602AA" w:rsidRPr="00243E85" w:rsidRDefault="005C5300">
            <w:pPr>
              <w:spacing w:before="60" w:after="60"/>
              <w:rPr>
                <w:rFonts w:eastAsia="Times New Roman"/>
                <w:noProof/>
                <w:color w:val="000000"/>
              </w:rPr>
            </w:pPr>
            <w:r w:rsidRPr="00243E85">
              <w:rPr>
                <w:noProof/>
                <w:color w:val="000000"/>
              </w:rPr>
              <w:t>—</w:t>
            </w:r>
          </w:p>
        </w:tc>
      </w:tr>
      <w:tr w:rsidR="00B602AA" w:rsidRPr="00243E85">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B602AA" w:rsidRPr="00243E85" w:rsidRDefault="005C5300">
            <w:pPr>
              <w:spacing w:before="60" w:after="60"/>
              <w:rPr>
                <w:rFonts w:eastAsia="Times New Roman"/>
                <w:noProof/>
                <w:color w:val="000000"/>
              </w:rPr>
            </w:pPr>
            <w:r w:rsidRPr="00243E85">
              <w:rPr>
                <w:noProof/>
                <w:color w:val="000000"/>
              </w:rPr>
              <w:t>4 straipsnis</w:t>
            </w:r>
          </w:p>
        </w:tc>
        <w:tc>
          <w:tcPr>
            <w:tcW w:w="0" w:type="auto"/>
            <w:tcBorders>
              <w:top w:val="single" w:sz="6" w:space="0" w:color="000000"/>
              <w:left w:val="single" w:sz="6" w:space="0" w:color="000000"/>
              <w:bottom w:val="single" w:sz="6" w:space="0" w:color="000000"/>
              <w:right w:val="single" w:sz="6" w:space="0" w:color="000000"/>
            </w:tcBorders>
            <w:hideMark/>
          </w:tcPr>
          <w:p w:rsidR="00B602AA" w:rsidRPr="00243E85" w:rsidRDefault="005C5300">
            <w:pPr>
              <w:spacing w:before="60" w:after="60"/>
              <w:rPr>
                <w:rFonts w:eastAsia="Times New Roman"/>
                <w:noProof/>
                <w:color w:val="000000"/>
              </w:rPr>
            </w:pPr>
            <w:r w:rsidRPr="00243E85">
              <w:rPr>
                <w:noProof/>
                <w:color w:val="000000"/>
              </w:rPr>
              <w:t>14 straipsnis</w:t>
            </w:r>
          </w:p>
        </w:tc>
      </w:tr>
      <w:tr w:rsidR="00B602AA" w:rsidRPr="00243E85">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B602AA" w:rsidRPr="00243E85" w:rsidRDefault="005C5300">
            <w:pPr>
              <w:spacing w:before="60" w:after="60"/>
              <w:rPr>
                <w:rFonts w:eastAsia="Times New Roman"/>
                <w:noProof/>
                <w:color w:val="000000"/>
              </w:rPr>
            </w:pPr>
            <w:r w:rsidRPr="00243E85">
              <w:rPr>
                <w:noProof/>
                <w:color w:val="000000"/>
              </w:rPr>
              <w:t>5 straipsnis</w:t>
            </w:r>
          </w:p>
        </w:tc>
        <w:tc>
          <w:tcPr>
            <w:tcW w:w="0" w:type="auto"/>
            <w:tcBorders>
              <w:top w:val="single" w:sz="6" w:space="0" w:color="000000"/>
              <w:left w:val="single" w:sz="6" w:space="0" w:color="000000"/>
              <w:bottom w:val="single" w:sz="6" w:space="0" w:color="000000"/>
              <w:right w:val="single" w:sz="6" w:space="0" w:color="000000"/>
            </w:tcBorders>
            <w:hideMark/>
          </w:tcPr>
          <w:p w:rsidR="00B602AA" w:rsidRPr="00243E85" w:rsidRDefault="005C5300">
            <w:pPr>
              <w:spacing w:before="60" w:after="60"/>
              <w:rPr>
                <w:rFonts w:eastAsia="Times New Roman"/>
                <w:noProof/>
                <w:color w:val="000000"/>
              </w:rPr>
            </w:pPr>
            <w:r w:rsidRPr="00243E85">
              <w:rPr>
                <w:noProof/>
                <w:color w:val="000000"/>
              </w:rPr>
              <w:t>30 straipsnio 1 dalis; 30 straipsnio 2 dalis; 30 straipsnio 6 dalis; X priedas</w:t>
            </w:r>
          </w:p>
        </w:tc>
      </w:tr>
      <w:tr w:rsidR="00B602AA" w:rsidRPr="00243E85">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B602AA" w:rsidRPr="00243E85" w:rsidRDefault="005C5300">
            <w:pPr>
              <w:spacing w:before="60" w:after="60"/>
              <w:rPr>
                <w:rFonts w:eastAsia="Times New Roman"/>
                <w:noProof/>
                <w:color w:val="000000"/>
              </w:rPr>
            </w:pPr>
            <w:r w:rsidRPr="00243E85">
              <w:rPr>
                <w:noProof/>
                <w:color w:val="000000"/>
              </w:rPr>
              <w:t>6 straipsnis</w:t>
            </w:r>
          </w:p>
        </w:tc>
        <w:tc>
          <w:tcPr>
            <w:tcW w:w="0" w:type="auto"/>
            <w:tcBorders>
              <w:top w:val="single" w:sz="6" w:space="0" w:color="000000"/>
              <w:left w:val="single" w:sz="6" w:space="0" w:color="000000"/>
              <w:bottom w:val="single" w:sz="6" w:space="0" w:color="000000"/>
              <w:right w:val="single" w:sz="6" w:space="0" w:color="000000"/>
            </w:tcBorders>
            <w:hideMark/>
          </w:tcPr>
          <w:p w:rsidR="00B602AA" w:rsidRPr="00243E85" w:rsidRDefault="005C5300">
            <w:pPr>
              <w:spacing w:before="60" w:after="60"/>
              <w:rPr>
                <w:rFonts w:eastAsia="Times New Roman"/>
                <w:noProof/>
                <w:color w:val="000000"/>
              </w:rPr>
            </w:pPr>
            <w:r w:rsidRPr="00243E85">
              <w:rPr>
                <w:noProof/>
                <w:color w:val="000000"/>
              </w:rPr>
              <w:t>30 straipsnio 3 dalis; 30 straipsnio 6 dalis</w:t>
            </w:r>
          </w:p>
        </w:tc>
      </w:tr>
      <w:tr w:rsidR="00B602AA" w:rsidRPr="00243E85">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B602AA" w:rsidRPr="00243E85" w:rsidRDefault="005C5300">
            <w:pPr>
              <w:spacing w:before="60" w:after="60"/>
              <w:rPr>
                <w:rFonts w:eastAsia="Times New Roman"/>
                <w:noProof/>
                <w:color w:val="000000"/>
              </w:rPr>
            </w:pPr>
            <w:r w:rsidRPr="00243E85">
              <w:rPr>
                <w:noProof/>
                <w:color w:val="000000"/>
              </w:rPr>
              <w:t>7 straipsnis</w:t>
            </w:r>
          </w:p>
        </w:tc>
        <w:tc>
          <w:tcPr>
            <w:tcW w:w="0" w:type="auto"/>
            <w:tcBorders>
              <w:top w:val="single" w:sz="6" w:space="0" w:color="000000"/>
              <w:left w:val="single" w:sz="6" w:space="0" w:color="000000"/>
              <w:bottom w:val="single" w:sz="6" w:space="0" w:color="000000"/>
              <w:right w:val="single" w:sz="6" w:space="0" w:color="000000"/>
            </w:tcBorders>
            <w:hideMark/>
          </w:tcPr>
          <w:p w:rsidR="00B602AA" w:rsidRPr="00243E85" w:rsidRDefault="005C5300">
            <w:pPr>
              <w:spacing w:before="60" w:after="60"/>
              <w:rPr>
                <w:rFonts w:eastAsia="Times New Roman"/>
                <w:noProof/>
                <w:color w:val="000000"/>
              </w:rPr>
            </w:pPr>
            <w:r w:rsidRPr="00243E85">
              <w:rPr>
                <w:noProof/>
                <w:color w:val="000000"/>
              </w:rPr>
              <w:t>23 straipsnio 2 dalis; 23 straipsnio 3 dalis; 23 straipsnio 5 dalis; 23 straipsnio 6 dalis; III priedas</w:t>
            </w:r>
          </w:p>
        </w:tc>
      </w:tr>
      <w:tr w:rsidR="00B602AA" w:rsidRPr="00243E85">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B602AA" w:rsidRPr="00243E85" w:rsidRDefault="005C5300">
            <w:pPr>
              <w:spacing w:before="60" w:after="60"/>
              <w:rPr>
                <w:rFonts w:eastAsia="Times New Roman"/>
                <w:noProof/>
                <w:color w:val="000000"/>
              </w:rPr>
            </w:pPr>
            <w:r w:rsidRPr="00243E85">
              <w:rPr>
                <w:noProof/>
                <w:color w:val="000000"/>
              </w:rPr>
              <w:t>8 straipsnis</w:t>
            </w:r>
          </w:p>
        </w:tc>
        <w:tc>
          <w:tcPr>
            <w:tcW w:w="0" w:type="auto"/>
            <w:tcBorders>
              <w:top w:val="single" w:sz="6" w:space="0" w:color="000000"/>
              <w:left w:val="single" w:sz="6" w:space="0" w:color="000000"/>
              <w:bottom w:val="single" w:sz="6" w:space="0" w:color="000000"/>
              <w:right w:val="single" w:sz="6" w:space="0" w:color="000000"/>
            </w:tcBorders>
            <w:hideMark/>
          </w:tcPr>
          <w:p w:rsidR="00B602AA" w:rsidRPr="00243E85" w:rsidRDefault="005C5300">
            <w:pPr>
              <w:spacing w:before="60" w:after="60"/>
              <w:rPr>
                <w:rFonts w:eastAsia="Times New Roman"/>
                <w:noProof/>
                <w:color w:val="000000"/>
              </w:rPr>
            </w:pPr>
            <w:r w:rsidRPr="00243E85">
              <w:rPr>
                <w:noProof/>
                <w:color w:val="000000"/>
              </w:rPr>
              <w:t>23 straipsnio 1 dalies a punktas; 23 straipsnio 1 dalies paskutinė pastraipa; 23 straipsnio 6 dalis</w:t>
            </w:r>
          </w:p>
        </w:tc>
      </w:tr>
      <w:tr w:rsidR="00B602AA" w:rsidRPr="00243E85">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B602AA" w:rsidRPr="00243E85" w:rsidRDefault="005C5300">
            <w:pPr>
              <w:spacing w:before="60" w:after="60"/>
              <w:rPr>
                <w:rFonts w:eastAsia="Times New Roman"/>
                <w:noProof/>
                <w:color w:val="000000"/>
              </w:rPr>
            </w:pPr>
            <w:r w:rsidRPr="00243E85">
              <w:rPr>
                <w:noProof/>
                <w:color w:val="000000"/>
              </w:rPr>
              <w:t>9 straipsnis</w:t>
            </w:r>
          </w:p>
        </w:tc>
        <w:tc>
          <w:tcPr>
            <w:tcW w:w="0" w:type="auto"/>
            <w:tcBorders>
              <w:top w:val="single" w:sz="6" w:space="0" w:color="000000"/>
              <w:left w:val="single" w:sz="6" w:space="0" w:color="000000"/>
              <w:bottom w:val="single" w:sz="6" w:space="0" w:color="000000"/>
              <w:right w:val="single" w:sz="6" w:space="0" w:color="000000"/>
            </w:tcBorders>
            <w:hideMark/>
          </w:tcPr>
          <w:p w:rsidR="00B602AA" w:rsidRPr="00243E85" w:rsidRDefault="005C5300">
            <w:pPr>
              <w:spacing w:before="60" w:after="60"/>
              <w:rPr>
                <w:rFonts w:eastAsia="Times New Roman"/>
                <w:noProof/>
                <w:color w:val="000000"/>
              </w:rPr>
            </w:pPr>
            <w:r w:rsidRPr="00243E85">
              <w:rPr>
                <w:noProof/>
                <w:color w:val="000000"/>
              </w:rPr>
              <w:t>30 straipsnio 4 dalis; 30 straipsnio 5 dalis</w:t>
            </w:r>
          </w:p>
        </w:tc>
      </w:tr>
      <w:tr w:rsidR="00B602AA" w:rsidRPr="00243E85">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B602AA" w:rsidRPr="00243E85" w:rsidRDefault="005C5300">
            <w:pPr>
              <w:spacing w:before="60" w:after="60"/>
              <w:rPr>
                <w:rFonts w:eastAsia="Times New Roman"/>
                <w:noProof/>
                <w:color w:val="000000"/>
              </w:rPr>
            </w:pPr>
            <w:r w:rsidRPr="00243E85">
              <w:rPr>
                <w:noProof/>
                <w:color w:val="000000"/>
              </w:rPr>
              <w:t>10 straipsnis</w:t>
            </w:r>
          </w:p>
        </w:tc>
        <w:tc>
          <w:tcPr>
            <w:tcW w:w="0" w:type="auto"/>
            <w:tcBorders>
              <w:top w:val="single" w:sz="6" w:space="0" w:color="000000"/>
              <w:left w:val="single" w:sz="6" w:space="0" w:color="000000"/>
              <w:bottom w:val="single" w:sz="6" w:space="0" w:color="000000"/>
              <w:right w:val="single" w:sz="6" w:space="0" w:color="000000"/>
            </w:tcBorders>
            <w:hideMark/>
          </w:tcPr>
          <w:p w:rsidR="00B602AA" w:rsidRPr="00243E85" w:rsidRDefault="005C5300">
            <w:pPr>
              <w:spacing w:before="60" w:after="60"/>
              <w:rPr>
                <w:rFonts w:eastAsia="Times New Roman"/>
                <w:noProof/>
                <w:color w:val="000000"/>
              </w:rPr>
            </w:pPr>
            <w:r w:rsidRPr="00243E85">
              <w:rPr>
                <w:noProof/>
                <w:color w:val="000000"/>
              </w:rPr>
              <w:t>33 straipsnis</w:t>
            </w:r>
          </w:p>
        </w:tc>
      </w:tr>
      <w:tr w:rsidR="00B602AA" w:rsidRPr="00243E85">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B602AA" w:rsidRPr="00243E85" w:rsidRDefault="005C5300">
            <w:pPr>
              <w:spacing w:before="60" w:after="60"/>
              <w:rPr>
                <w:rFonts w:eastAsia="Times New Roman"/>
                <w:noProof/>
                <w:color w:val="000000"/>
              </w:rPr>
            </w:pPr>
            <w:r w:rsidRPr="00243E85">
              <w:rPr>
                <w:noProof/>
                <w:color w:val="000000"/>
              </w:rPr>
              <w:t>11 straipsnis</w:t>
            </w:r>
          </w:p>
        </w:tc>
        <w:tc>
          <w:tcPr>
            <w:tcW w:w="0" w:type="auto"/>
            <w:tcBorders>
              <w:top w:val="single" w:sz="6" w:space="0" w:color="000000"/>
              <w:left w:val="single" w:sz="6" w:space="0" w:color="000000"/>
              <w:bottom w:val="single" w:sz="6" w:space="0" w:color="000000"/>
              <w:right w:val="single" w:sz="6" w:space="0" w:color="000000"/>
            </w:tcBorders>
            <w:hideMark/>
          </w:tcPr>
          <w:p w:rsidR="00B602AA" w:rsidRPr="00243E85" w:rsidRDefault="005C5300">
            <w:pPr>
              <w:spacing w:before="60" w:after="60"/>
              <w:rPr>
                <w:rFonts w:eastAsia="Times New Roman"/>
                <w:noProof/>
                <w:color w:val="000000"/>
              </w:rPr>
            </w:pPr>
            <w:r w:rsidRPr="00243E85">
              <w:rPr>
                <w:noProof/>
                <w:color w:val="000000"/>
              </w:rPr>
              <w:t>—</w:t>
            </w:r>
          </w:p>
        </w:tc>
      </w:tr>
      <w:tr w:rsidR="00B602AA" w:rsidRPr="00243E85">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B602AA" w:rsidRPr="00243E85" w:rsidRDefault="005C5300">
            <w:pPr>
              <w:spacing w:before="60" w:after="60"/>
              <w:rPr>
                <w:rFonts w:eastAsia="Times New Roman"/>
                <w:noProof/>
                <w:color w:val="000000"/>
              </w:rPr>
            </w:pPr>
            <w:r w:rsidRPr="00243E85">
              <w:rPr>
                <w:noProof/>
                <w:color w:val="000000"/>
              </w:rPr>
              <w:t>12 straipsnis</w:t>
            </w:r>
          </w:p>
        </w:tc>
        <w:tc>
          <w:tcPr>
            <w:tcW w:w="0" w:type="auto"/>
            <w:tcBorders>
              <w:top w:val="single" w:sz="6" w:space="0" w:color="000000"/>
              <w:left w:val="single" w:sz="6" w:space="0" w:color="000000"/>
              <w:bottom w:val="single" w:sz="6" w:space="0" w:color="000000"/>
              <w:right w:val="single" w:sz="6" w:space="0" w:color="000000"/>
            </w:tcBorders>
            <w:hideMark/>
          </w:tcPr>
          <w:p w:rsidR="00B602AA" w:rsidRPr="00243E85" w:rsidRDefault="005C5300">
            <w:pPr>
              <w:spacing w:before="60" w:after="60"/>
              <w:rPr>
                <w:rFonts w:eastAsia="Times New Roman"/>
                <w:noProof/>
                <w:color w:val="000000"/>
              </w:rPr>
            </w:pPr>
            <w:r w:rsidRPr="00243E85">
              <w:rPr>
                <w:noProof/>
                <w:color w:val="000000"/>
              </w:rPr>
              <w:t>32 straipsnis</w:t>
            </w:r>
          </w:p>
        </w:tc>
      </w:tr>
      <w:tr w:rsidR="00B602AA" w:rsidRPr="00243E85">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B602AA" w:rsidRPr="00243E85" w:rsidRDefault="005C5300">
            <w:pPr>
              <w:spacing w:before="60" w:after="60"/>
              <w:rPr>
                <w:rFonts w:eastAsia="Times New Roman"/>
                <w:noProof/>
                <w:color w:val="000000"/>
              </w:rPr>
            </w:pPr>
            <w:r w:rsidRPr="00243E85">
              <w:rPr>
                <w:noProof/>
                <w:color w:val="000000"/>
              </w:rPr>
              <w:t>13 straipsnis</w:t>
            </w:r>
          </w:p>
        </w:tc>
        <w:tc>
          <w:tcPr>
            <w:tcW w:w="0" w:type="auto"/>
            <w:tcBorders>
              <w:top w:val="single" w:sz="6" w:space="0" w:color="000000"/>
              <w:left w:val="single" w:sz="6" w:space="0" w:color="000000"/>
              <w:bottom w:val="single" w:sz="6" w:space="0" w:color="000000"/>
              <w:right w:val="single" w:sz="6" w:space="0" w:color="000000"/>
            </w:tcBorders>
            <w:hideMark/>
          </w:tcPr>
          <w:p w:rsidR="00B602AA" w:rsidRPr="00243E85" w:rsidRDefault="005C5300">
            <w:pPr>
              <w:spacing w:before="60" w:after="60"/>
              <w:rPr>
                <w:rFonts w:eastAsia="Times New Roman"/>
                <w:noProof/>
                <w:color w:val="000000"/>
              </w:rPr>
            </w:pPr>
            <w:r w:rsidRPr="00243E85">
              <w:rPr>
                <w:noProof/>
                <w:color w:val="000000"/>
              </w:rPr>
              <w:t>16 straipsnio 1 dalies a punktas; 16 straipsnio 3 dalis; 16 straipsnio 4 dalis; IV priedas</w:t>
            </w:r>
          </w:p>
        </w:tc>
      </w:tr>
      <w:tr w:rsidR="00B602AA" w:rsidRPr="00243E85">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B602AA" w:rsidRPr="00243E85" w:rsidRDefault="005C5300">
            <w:pPr>
              <w:spacing w:before="60" w:after="60"/>
              <w:rPr>
                <w:rFonts w:eastAsia="Times New Roman"/>
                <w:noProof/>
                <w:color w:val="000000"/>
              </w:rPr>
            </w:pPr>
            <w:r w:rsidRPr="00243E85">
              <w:rPr>
                <w:noProof/>
                <w:color w:val="000000"/>
              </w:rPr>
              <w:t>14 straipsnis</w:t>
            </w:r>
          </w:p>
        </w:tc>
        <w:tc>
          <w:tcPr>
            <w:tcW w:w="0" w:type="auto"/>
            <w:tcBorders>
              <w:top w:val="single" w:sz="6" w:space="0" w:color="000000"/>
              <w:left w:val="single" w:sz="6" w:space="0" w:color="000000"/>
              <w:bottom w:val="single" w:sz="6" w:space="0" w:color="000000"/>
              <w:right w:val="single" w:sz="6" w:space="0" w:color="000000"/>
            </w:tcBorders>
            <w:hideMark/>
          </w:tcPr>
          <w:p w:rsidR="00B602AA" w:rsidRPr="00243E85" w:rsidRDefault="005C5300">
            <w:pPr>
              <w:spacing w:before="60" w:after="60"/>
              <w:rPr>
                <w:rFonts w:eastAsia="Times New Roman"/>
                <w:noProof/>
                <w:color w:val="000000"/>
              </w:rPr>
            </w:pPr>
            <w:r w:rsidRPr="00243E85">
              <w:rPr>
                <w:noProof/>
                <w:color w:val="000000"/>
              </w:rPr>
              <w:t>16 straipsnio 1 dalies b punktas; 16 straipsnio 2 dalis; 16 straipsnio 3 dalis; 16 straipsnio 4 dalis; V priedas</w:t>
            </w:r>
          </w:p>
        </w:tc>
      </w:tr>
      <w:tr w:rsidR="00B602AA" w:rsidRPr="00243E85">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B602AA" w:rsidRPr="00243E85" w:rsidRDefault="005C5300">
            <w:pPr>
              <w:spacing w:before="60" w:after="60"/>
              <w:rPr>
                <w:rFonts w:eastAsia="Times New Roman"/>
                <w:noProof/>
                <w:color w:val="000000"/>
              </w:rPr>
            </w:pPr>
            <w:r w:rsidRPr="00243E85">
              <w:rPr>
                <w:noProof/>
                <w:color w:val="000000"/>
              </w:rPr>
              <w:t>15 straipsnis</w:t>
            </w:r>
          </w:p>
        </w:tc>
        <w:tc>
          <w:tcPr>
            <w:tcW w:w="0" w:type="auto"/>
            <w:tcBorders>
              <w:top w:val="single" w:sz="6" w:space="0" w:color="000000"/>
              <w:left w:val="single" w:sz="6" w:space="0" w:color="000000"/>
              <w:bottom w:val="single" w:sz="6" w:space="0" w:color="000000"/>
              <w:right w:val="single" w:sz="6" w:space="0" w:color="000000"/>
            </w:tcBorders>
            <w:hideMark/>
          </w:tcPr>
          <w:p w:rsidR="00B602AA" w:rsidRPr="00243E85" w:rsidRDefault="005C5300">
            <w:pPr>
              <w:spacing w:before="60" w:after="60"/>
              <w:rPr>
                <w:rFonts w:eastAsia="Times New Roman"/>
                <w:noProof/>
                <w:color w:val="000000"/>
              </w:rPr>
            </w:pPr>
            <w:r w:rsidRPr="00243E85">
              <w:rPr>
                <w:noProof/>
                <w:color w:val="000000"/>
              </w:rPr>
              <w:t>17 straipsnio 1 dalis; VI priedo 1 dalis</w:t>
            </w:r>
          </w:p>
        </w:tc>
      </w:tr>
      <w:tr w:rsidR="00B602AA" w:rsidRPr="00243E85">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B602AA" w:rsidRPr="00243E85" w:rsidRDefault="005C5300">
            <w:pPr>
              <w:spacing w:before="60" w:after="60"/>
              <w:rPr>
                <w:rFonts w:eastAsia="Times New Roman"/>
                <w:noProof/>
                <w:color w:val="000000"/>
              </w:rPr>
            </w:pPr>
            <w:r w:rsidRPr="00243E85">
              <w:rPr>
                <w:noProof/>
                <w:color w:val="000000"/>
              </w:rPr>
              <w:t>16 straipsnis</w:t>
            </w:r>
          </w:p>
        </w:tc>
        <w:tc>
          <w:tcPr>
            <w:tcW w:w="0" w:type="auto"/>
            <w:tcBorders>
              <w:top w:val="single" w:sz="6" w:space="0" w:color="000000"/>
              <w:left w:val="single" w:sz="6" w:space="0" w:color="000000"/>
              <w:bottom w:val="single" w:sz="6" w:space="0" w:color="000000"/>
              <w:right w:val="single" w:sz="6" w:space="0" w:color="000000"/>
            </w:tcBorders>
            <w:hideMark/>
          </w:tcPr>
          <w:p w:rsidR="00B602AA" w:rsidRPr="00243E85" w:rsidRDefault="005C5300">
            <w:pPr>
              <w:spacing w:before="60" w:after="60"/>
              <w:rPr>
                <w:rFonts w:eastAsia="Times New Roman"/>
                <w:noProof/>
                <w:color w:val="000000"/>
              </w:rPr>
            </w:pPr>
            <w:r w:rsidRPr="00243E85">
              <w:rPr>
                <w:noProof/>
                <w:color w:val="000000"/>
              </w:rPr>
              <w:t>17 straipsnio 2 dalies a punktas; VI priedo 2 dalis</w:t>
            </w:r>
          </w:p>
        </w:tc>
      </w:tr>
      <w:tr w:rsidR="00B602AA" w:rsidRPr="00243E85">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B602AA" w:rsidRPr="00243E85" w:rsidRDefault="005C5300">
            <w:pPr>
              <w:spacing w:before="60" w:after="60"/>
              <w:rPr>
                <w:rFonts w:eastAsia="Times New Roman"/>
                <w:noProof/>
                <w:color w:val="000000"/>
              </w:rPr>
            </w:pPr>
            <w:r w:rsidRPr="00243E85">
              <w:rPr>
                <w:noProof/>
                <w:color w:val="000000"/>
              </w:rPr>
              <w:t>17 straipsnis</w:t>
            </w:r>
          </w:p>
        </w:tc>
        <w:tc>
          <w:tcPr>
            <w:tcW w:w="0" w:type="auto"/>
            <w:tcBorders>
              <w:top w:val="single" w:sz="6" w:space="0" w:color="000000"/>
              <w:left w:val="single" w:sz="6" w:space="0" w:color="000000"/>
              <w:bottom w:val="single" w:sz="6" w:space="0" w:color="000000"/>
              <w:right w:val="single" w:sz="6" w:space="0" w:color="000000"/>
            </w:tcBorders>
            <w:hideMark/>
          </w:tcPr>
          <w:p w:rsidR="00B602AA" w:rsidRPr="00243E85" w:rsidRDefault="005C5300">
            <w:pPr>
              <w:spacing w:before="60" w:after="60"/>
              <w:rPr>
                <w:rFonts w:eastAsia="Times New Roman"/>
                <w:noProof/>
                <w:color w:val="000000"/>
              </w:rPr>
            </w:pPr>
            <w:r w:rsidRPr="00243E85">
              <w:rPr>
                <w:noProof/>
                <w:color w:val="000000"/>
              </w:rPr>
              <w:t>17 straipsnio 2 dalies b punktas; 17 straipsnio 3 dalis; 17 straipsnio 4 dalis; VI priedo 3 dalis</w:t>
            </w:r>
          </w:p>
        </w:tc>
      </w:tr>
      <w:tr w:rsidR="00B602AA" w:rsidRPr="00243E85">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B602AA" w:rsidRPr="00243E85" w:rsidRDefault="005C5300">
            <w:pPr>
              <w:spacing w:before="60" w:after="60"/>
              <w:rPr>
                <w:rFonts w:eastAsia="Times New Roman"/>
                <w:noProof/>
                <w:color w:val="000000"/>
              </w:rPr>
            </w:pPr>
            <w:r w:rsidRPr="00243E85">
              <w:rPr>
                <w:noProof/>
                <w:color w:val="000000"/>
              </w:rPr>
              <w:t>18 straipsnis</w:t>
            </w:r>
          </w:p>
        </w:tc>
        <w:tc>
          <w:tcPr>
            <w:tcW w:w="0" w:type="auto"/>
            <w:tcBorders>
              <w:top w:val="single" w:sz="6" w:space="0" w:color="000000"/>
              <w:left w:val="single" w:sz="6" w:space="0" w:color="000000"/>
              <w:bottom w:val="single" w:sz="6" w:space="0" w:color="000000"/>
              <w:right w:val="single" w:sz="6" w:space="0" w:color="000000"/>
            </w:tcBorders>
            <w:hideMark/>
          </w:tcPr>
          <w:p w:rsidR="00B602AA" w:rsidRPr="00243E85" w:rsidRDefault="005C5300">
            <w:pPr>
              <w:spacing w:before="60" w:after="60"/>
              <w:rPr>
                <w:rFonts w:eastAsia="Times New Roman"/>
                <w:noProof/>
                <w:color w:val="000000"/>
              </w:rPr>
            </w:pPr>
            <w:r w:rsidRPr="00243E85">
              <w:rPr>
                <w:noProof/>
                <w:color w:val="000000"/>
              </w:rPr>
              <w:t>15 straipsnio 2 dalies e punktas; 15 straipsnio 2 dalies antra pastraipa</w:t>
            </w:r>
          </w:p>
        </w:tc>
      </w:tr>
      <w:tr w:rsidR="00B602AA" w:rsidRPr="00243E85">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B602AA" w:rsidRPr="00243E85" w:rsidRDefault="005C5300">
            <w:pPr>
              <w:spacing w:before="60" w:after="60"/>
              <w:rPr>
                <w:rFonts w:eastAsia="Times New Roman"/>
                <w:noProof/>
                <w:color w:val="000000"/>
              </w:rPr>
            </w:pPr>
            <w:r w:rsidRPr="00243E85">
              <w:rPr>
                <w:noProof/>
                <w:color w:val="000000"/>
              </w:rPr>
              <w:t>19 straipsnis</w:t>
            </w:r>
          </w:p>
        </w:tc>
        <w:tc>
          <w:tcPr>
            <w:tcW w:w="0" w:type="auto"/>
            <w:tcBorders>
              <w:top w:val="single" w:sz="6" w:space="0" w:color="000000"/>
              <w:left w:val="single" w:sz="6" w:space="0" w:color="000000"/>
              <w:bottom w:val="single" w:sz="6" w:space="0" w:color="000000"/>
              <w:right w:val="single" w:sz="6" w:space="0" w:color="000000"/>
            </w:tcBorders>
            <w:hideMark/>
          </w:tcPr>
          <w:p w:rsidR="00B602AA" w:rsidRPr="00243E85" w:rsidRDefault="005C5300">
            <w:pPr>
              <w:spacing w:before="60" w:after="60"/>
              <w:rPr>
                <w:rFonts w:eastAsia="Times New Roman"/>
                <w:noProof/>
                <w:color w:val="000000"/>
              </w:rPr>
            </w:pPr>
            <w:r w:rsidRPr="00243E85">
              <w:rPr>
                <w:noProof/>
                <w:color w:val="000000"/>
              </w:rPr>
              <w:t>—</w:t>
            </w:r>
          </w:p>
        </w:tc>
      </w:tr>
      <w:tr w:rsidR="00B602AA" w:rsidRPr="00243E85">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B602AA" w:rsidRPr="00243E85" w:rsidRDefault="005C5300">
            <w:pPr>
              <w:spacing w:before="60" w:after="60"/>
              <w:rPr>
                <w:rFonts w:eastAsia="Times New Roman"/>
                <w:noProof/>
                <w:color w:val="000000"/>
              </w:rPr>
            </w:pPr>
            <w:r w:rsidRPr="00243E85">
              <w:rPr>
                <w:noProof/>
                <w:color w:val="000000"/>
              </w:rPr>
              <w:t>20 straipsnis</w:t>
            </w:r>
          </w:p>
        </w:tc>
        <w:tc>
          <w:tcPr>
            <w:tcW w:w="0" w:type="auto"/>
            <w:tcBorders>
              <w:top w:val="single" w:sz="6" w:space="0" w:color="000000"/>
              <w:left w:val="single" w:sz="6" w:space="0" w:color="000000"/>
              <w:bottom w:val="single" w:sz="6" w:space="0" w:color="000000"/>
              <w:right w:val="single" w:sz="6" w:space="0" w:color="000000"/>
            </w:tcBorders>
            <w:hideMark/>
          </w:tcPr>
          <w:p w:rsidR="00B602AA" w:rsidRPr="00243E85" w:rsidRDefault="005C5300">
            <w:pPr>
              <w:spacing w:before="60" w:after="60"/>
              <w:rPr>
                <w:rFonts w:eastAsia="Times New Roman"/>
                <w:noProof/>
                <w:color w:val="000000"/>
              </w:rPr>
            </w:pPr>
            <w:r w:rsidRPr="00243E85">
              <w:rPr>
                <w:noProof/>
                <w:color w:val="000000"/>
              </w:rPr>
              <w:t>—</w:t>
            </w:r>
          </w:p>
        </w:tc>
      </w:tr>
      <w:tr w:rsidR="00B602AA" w:rsidRPr="00243E85">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B602AA" w:rsidRPr="00243E85" w:rsidRDefault="005C5300">
            <w:pPr>
              <w:spacing w:before="60" w:after="60"/>
              <w:rPr>
                <w:rFonts w:eastAsia="Times New Roman"/>
                <w:noProof/>
                <w:color w:val="000000"/>
              </w:rPr>
            </w:pPr>
            <w:r w:rsidRPr="00243E85">
              <w:rPr>
                <w:noProof/>
                <w:color w:val="000000"/>
              </w:rPr>
              <w:t>21 straipsnis</w:t>
            </w:r>
          </w:p>
        </w:tc>
        <w:tc>
          <w:tcPr>
            <w:tcW w:w="0" w:type="auto"/>
            <w:tcBorders>
              <w:top w:val="single" w:sz="6" w:space="0" w:color="000000"/>
              <w:left w:val="single" w:sz="6" w:space="0" w:color="000000"/>
              <w:bottom w:val="single" w:sz="6" w:space="0" w:color="000000"/>
              <w:right w:val="single" w:sz="6" w:space="0" w:color="000000"/>
            </w:tcBorders>
            <w:hideMark/>
          </w:tcPr>
          <w:p w:rsidR="00B602AA" w:rsidRPr="00243E85" w:rsidRDefault="005C5300">
            <w:pPr>
              <w:spacing w:before="60" w:after="60"/>
              <w:rPr>
                <w:rFonts w:eastAsia="Times New Roman"/>
                <w:noProof/>
                <w:color w:val="000000"/>
              </w:rPr>
            </w:pPr>
            <w:r w:rsidRPr="00243E85">
              <w:rPr>
                <w:noProof/>
                <w:color w:val="000000"/>
              </w:rPr>
              <w:t>25 straipsnio 1 dalies c punktas; 25 straipsnio 4 dalis; 25 straipsnio 7 dalis</w:t>
            </w:r>
          </w:p>
        </w:tc>
      </w:tr>
      <w:tr w:rsidR="00B602AA" w:rsidRPr="00243E85">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B602AA" w:rsidRPr="00243E85" w:rsidRDefault="005C5300">
            <w:pPr>
              <w:spacing w:before="60" w:after="60"/>
              <w:rPr>
                <w:rFonts w:eastAsia="Times New Roman"/>
                <w:noProof/>
                <w:color w:val="000000"/>
              </w:rPr>
            </w:pPr>
            <w:r w:rsidRPr="00243E85">
              <w:rPr>
                <w:noProof/>
                <w:color w:val="000000"/>
              </w:rPr>
              <w:t>22 straipsnis</w:t>
            </w:r>
          </w:p>
        </w:tc>
        <w:tc>
          <w:tcPr>
            <w:tcW w:w="0" w:type="auto"/>
            <w:tcBorders>
              <w:top w:val="single" w:sz="6" w:space="0" w:color="000000"/>
              <w:left w:val="single" w:sz="6" w:space="0" w:color="000000"/>
              <w:bottom w:val="single" w:sz="6" w:space="0" w:color="000000"/>
              <w:right w:val="single" w:sz="6" w:space="0" w:color="000000"/>
            </w:tcBorders>
            <w:hideMark/>
          </w:tcPr>
          <w:p w:rsidR="00B602AA" w:rsidRPr="00243E85" w:rsidRDefault="005C5300">
            <w:pPr>
              <w:spacing w:before="60" w:after="60"/>
              <w:rPr>
                <w:rFonts w:eastAsia="Times New Roman"/>
                <w:noProof/>
                <w:color w:val="000000"/>
              </w:rPr>
            </w:pPr>
            <w:r w:rsidRPr="00243E85">
              <w:rPr>
                <w:noProof/>
                <w:color w:val="000000"/>
              </w:rPr>
              <w:t>—</w:t>
            </w:r>
          </w:p>
        </w:tc>
      </w:tr>
      <w:tr w:rsidR="00B602AA" w:rsidRPr="00243E85">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B602AA" w:rsidRPr="00243E85" w:rsidRDefault="005C5300">
            <w:pPr>
              <w:spacing w:before="60" w:after="60"/>
              <w:rPr>
                <w:rFonts w:eastAsia="Times New Roman"/>
                <w:noProof/>
                <w:color w:val="000000"/>
              </w:rPr>
            </w:pPr>
            <w:r w:rsidRPr="00243E85">
              <w:rPr>
                <w:noProof/>
                <w:color w:val="000000"/>
              </w:rPr>
              <w:t>23 straipsnis</w:t>
            </w:r>
          </w:p>
        </w:tc>
        <w:tc>
          <w:tcPr>
            <w:tcW w:w="0" w:type="auto"/>
            <w:tcBorders>
              <w:top w:val="single" w:sz="6" w:space="0" w:color="000000"/>
              <w:left w:val="single" w:sz="6" w:space="0" w:color="000000"/>
              <w:bottom w:val="single" w:sz="6" w:space="0" w:color="000000"/>
              <w:right w:val="single" w:sz="6" w:space="0" w:color="000000"/>
            </w:tcBorders>
            <w:hideMark/>
          </w:tcPr>
          <w:p w:rsidR="00B602AA" w:rsidRPr="00243E85" w:rsidRDefault="005C5300">
            <w:pPr>
              <w:spacing w:before="60" w:after="60"/>
              <w:rPr>
                <w:rFonts w:eastAsia="Times New Roman"/>
                <w:noProof/>
                <w:color w:val="000000"/>
              </w:rPr>
            </w:pPr>
            <w:r w:rsidRPr="00243E85">
              <w:rPr>
                <w:noProof/>
                <w:color w:val="000000"/>
              </w:rPr>
              <w:t>34 straipsnio 1 dalies d punktas; 34 straipsnio 1 dalies e punktas; 34 straipsnio 1 dalies f punktas; 34 straipsnio 1 dalies g punktas; 34 straipsnio 1 dalies h punktas</w:t>
            </w:r>
          </w:p>
        </w:tc>
      </w:tr>
      <w:tr w:rsidR="00B602AA" w:rsidRPr="00243E85">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B602AA" w:rsidRPr="00243E85" w:rsidRDefault="005C5300">
            <w:pPr>
              <w:spacing w:before="60" w:after="60"/>
              <w:rPr>
                <w:rFonts w:eastAsia="Times New Roman"/>
                <w:noProof/>
                <w:color w:val="000000"/>
              </w:rPr>
            </w:pPr>
            <w:r w:rsidRPr="00243E85">
              <w:rPr>
                <w:noProof/>
                <w:color w:val="000000"/>
              </w:rPr>
              <w:t>24 straipsnis</w:t>
            </w:r>
          </w:p>
        </w:tc>
        <w:tc>
          <w:tcPr>
            <w:tcW w:w="0" w:type="auto"/>
            <w:tcBorders>
              <w:top w:val="single" w:sz="6" w:space="0" w:color="000000"/>
              <w:left w:val="single" w:sz="6" w:space="0" w:color="000000"/>
              <w:bottom w:val="single" w:sz="6" w:space="0" w:color="000000"/>
              <w:right w:val="single" w:sz="6" w:space="0" w:color="000000"/>
            </w:tcBorders>
            <w:hideMark/>
          </w:tcPr>
          <w:p w:rsidR="00B602AA" w:rsidRPr="00243E85" w:rsidRDefault="005C5300">
            <w:pPr>
              <w:spacing w:before="60" w:after="60"/>
              <w:rPr>
                <w:rFonts w:eastAsia="Times New Roman"/>
                <w:noProof/>
                <w:color w:val="000000"/>
              </w:rPr>
            </w:pPr>
            <w:r w:rsidRPr="00243E85">
              <w:rPr>
                <w:noProof/>
                <w:color w:val="000000"/>
              </w:rPr>
              <w:t>35 straipsnis</w:t>
            </w:r>
          </w:p>
        </w:tc>
      </w:tr>
      <w:tr w:rsidR="00B602AA" w:rsidRPr="00243E85">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B602AA" w:rsidRPr="00243E85" w:rsidRDefault="005C5300">
            <w:pPr>
              <w:spacing w:before="60" w:after="60"/>
              <w:rPr>
                <w:rFonts w:eastAsia="Times New Roman"/>
                <w:noProof/>
                <w:color w:val="000000"/>
              </w:rPr>
            </w:pPr>
            <w:r w:rsidRPr="00243E85">
              <w:rPr>
                <w:noProof/>
                <w:color w:val="000000"/>
              </w:rPr>
              <w:t>25 straipsnis</w:t>
            </w:r>
          </w:p>
        </w:tc>
        <w:tc>
          <w:tcPr>
            <w:tcW w:w="0" w:type="auto"/>
            <w:tcBorders>
              <w:top w:val="single" w:sz="6" w:space="0" w:color="000000"/>
              <w:left w:val="single" w:sz="6" w:space="0" w:color="000000"/>
              <w:bottom w:val="single" w:sz="6" w:space="0" w:color="000000"/>
              <w:right w:val="single" w:sz="6" w:space="0" w:color="000000"/>
            </w:tcBorders>
            <w:hideMark/>
          </w:tcPr>
          <w:p w:rsidR="00B602AA" w:rsidRPr="00243E85" w:rsidRDefault="005C5300">
            <w:pPr>
              <w:spacing w:before="60" w:after="60"/>
              <w:rPr>
                <w:rFonts w:eastAsia="Times New Roman"/>
                <w:noProof/>
                <w:color w:val="000000"/>
              </w:rPr>
            </w:pPr>
            <w:r w:rsidRPr="00243E85">
              <w:rPr>
                <w:noProof/>
                <w:color w:val="000000"/>
              </w:rPr>
              <w:t>—</w:t>
            </w:r>
          </w:p>
        </w:tc>
      </w:tr>
      <w:tr w:rsidR="00B602AA" w:rsidRPr="00243E85">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B602AA" w:rsidRPr="00243E85" w:rsidRDefault="005C5300">
            <w:pPr>
              <w:spacing w:before="60" w:after="60"/>
              <w:rPr>
                <w:rFonts w:eastAsia="Times New Roman"/>
                <w:noProof/>
                <w:color w:val="000000"/>
              </w:rPr>
            </w:pPr>
            <w:r w:rsidRPr="00243E85">
              <w:rPr>
                <w:noProof/>
                <w:color w:val="000000"/>
              </w:rPr>
              <w:t>26 straipsnis</w:t>
            </w:r>
          </w:p>
        </w:tc>
        <w:tc>
          <w:tcPr>
            <w:tcW w:w="0" w:type="auto"/>
            <w:tcBorders>
              <w:top w:val="single" w:sz="6" w:space="0" w:color="000000"/>
              <w:left w:val="single" w:sz="6" w:space="0" w:color="000000"/>
              <w:bottom w:val="single" w:sz="6" w:space="0" w:color="000000"/>
              <w:right w:val="single" w:sz="6" w:space="0" w:color="000000"/>
            </w:tcBorders>
            <w:hideMark/>
          </w:tcPr>
          <w:p w:rsidR="00B602AA" w:rsidRPr="00243E85" w:rsidRDefault="005C5300">
            <w:pPr>
              <w:spacing w:before="60" w:after="60"/>
              <w:rPr>
                <w:rFonts w:eastAsia="Times New Roman"/>
                <w:noProof/>
                <w:color w:val="000000"/>
              </w:rPr>
            </w:pPr>
            <w:r w:rsidRPr="00243E85">
              <w:rPr>
                <w:noProof/>
                <w:color w:val="000000"/>
              </w:rPr>
              <w:t>37 straipsnis</w:t>
            </w:r>
          </w:p>
        </w:tc>
      </w:tr>
      <w:tr w:rsidR="00B602AA" w:rsidRPr="00243E85">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B602AA" w:rsidRPr="00243E85" w:rsidRDefault="005C5300">
            <w:pPr>
              <w:spacing w:before="60" w:after="60"/>
              <w:rPr>
                <w:rFonts w:eastAsia="Times New Roman"/>
                <w:noProof/>
                <w:color w:val="000000"/>
              </w:rPr>
            </w:pPr>
            <w:r w:rsidRPr="00243E85">
              <w:rPr>
                <w:noProof/>
                <w:color w:val="000000"/>
              </w:rPr>
              <w:t>27 straipsnis</w:t>
            </w:r>
          </w:p>
        </w:tc>
        <w:tc>
          <w:tcPr>
            <w:tcW w:w="0" w:type="auto"/>
            <w:tcBorders>
              <w:top w:val="single" w:sz="6" w:space="0" w:color="000000"/>
              <w:left w:val="single" w:sz="6" w:space="0" w:color="000000"/>
              <w:bottom w:val="single" w:sz="6" w:space="0" w:color="000000"/>
              <w:right w:val="single" w:sz="6" w:space="0" w:color="000000"/>
            </w:tcBorders>
            <w:hideMark/>
          </w:tcPr>
          <w:p w:rsidR="00B602AA" w:rsidRPr="00243E85" w:rsidRDefault="005C5300">
            <w:pPr>
              <w:spacing w:before="60" w:after="60"/>
              <w:rPr>
                <w:rFonts w:eastAsia="Times New Roman"/>
                <w:noProof/>
                <w:color w:val="000000"/>
              </w:rPr>
            </w:pPr>
            <w:r w:rsidRPr="00243E85">
              <w:rPr>
                <w:noProof/>
                <w:color w:val="000000"/>
              </w:rPr>
              <w:t>—</w:t>
            </w:r>
          </w:p>
        </w:tc>
      </w:tr>
      <w:tr w:rsidR="00B602AA" w:rsidRPr="00243E85">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B602AA" w:rsidRPr="00243E85" w:rsidRDefault="005C5300">
            <w:pPr>
              <w:spacing w:before="60" w:after="60"/>
              <w:rPr>
                <w:rFonts w:eastAsia="Times New Roman"/>
                <w:noProof/>
                <w:color w:val="000000"/>
              </w:rPr>
            </w:pPr>
            <w:r w:rsidRPr="00243E85">
              <w:rPr>
                <w:noProof/>
                <w:color w:val="000000"/>
              </w:rPr>
              <w:lastRenderedPageBreak/>
              <w:t>28 straipsnis</w:t>
            </w:r>
          </w:p>
        </w:tc>
        <w:tc>
          <w:tcPr>
            <w:tcW w:w="0" w:type="auto"/>
            <w:tcBorders>
              <w:top w:val="single" w:sz="6" w:space="0" w:color="000000"/>
              <w:left w:val="single" w:sz="6" w:space="0" w:color="000000"/>
              <w:bottom w:val="single" w:sz="6" w:space="0" w:color="000000"/>
              <w:right w:val="single" w:sz="6" w:space="0" w:color="000000"/>
            </w:tcBorders>
            <w:hideMark/>
          </w:tcPr>
          <w:p w:rsidR="00B602AA" w:rsidRPr="00243E85" w:rsidRDefault="005C5300" w:rsidP="00311B2A">
            <w:pPr>
              <w:spacing w:before="60" w:after="60"/>
              <w:rPr>
                <w:rFonts w:eastAsia="Times New Roman"/>
                <w:noProof/>
                <w:color w:val="000000"/>
              </w:rPr>
            </w:pPr>
            <w:r w:rsidRPr="00243E85">
              <w:rPr>
                <w:noProof/>
                <w:color w:val="000000"/>
              </w:rPr>
              <w:t>50 straipsnis</w:t>
            </w:r>
          </w:p>
        </w:tc>
      </w:tr>
      <w:tr w:rsidR="00B602AA" w:rsidRPr="00243E85">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B602AA" w:rsidRPr="00243E85" w:rsidRDefault="005C5300">
            <w:pPr>
              <w:spacing w:before="60" w:after="60"/>
              <w:rPr>
                <w:rFonts w:eastAsia="Times New Roman"/>
                <w:noProof/>
                <w:color w:val="000000"/>
              </w:rPr>
            </w:pPr>
            <w:r w:rsidRPr="00243E85">
              <w:rPr>
                <w:noProof/>
                <w:color w:val="000000"/>
              </w:rPr>
              <w:t>29 straipsnis</w:t>
            </w:r>
          </w:p>
        </w:tc>
        <w:tc>
          <w:tcPr>
            <w:tcW w:w="0" w:type="auto"/>
            <w:tcBorders>
              <w:top w:val="single" w:sz="6" w:space="0" w:color="000000"/>
              <w:left w:val="single" w:sz="6" w:space="0" w:color="000000"/>
              <w:bottom w:val="single" w:sz="6" w:space="0" w:color="000000"/>
              <w:right w:val="single" w:sz="6" w:space="0" w:color="000000"/>
            </w:tcBorders>
            <w:hideMark/>
          </w:tcPr>
          <w:p w:rsidR="00B602AA" w:rsidRPr="00243E85" w:rsidRDefault="005C5300">
            <w:pPr>
              <w:spacing w:before="60" w:after="60"/>
              <w:rPr>
                <w:rFonts w:eastAsia="Times New Roman"/>
                <w:noProof/>
                <w:color w:val="000000"/>
              </w:rPr>
            </w:pPr>
            <w:r w:rsidRPr="00243E85">
              <w:rPr>
                <w:noProof/>
                <w:color w:val="000000"/>
              </w:rPr>
              <w:t>—</w:t>
            </w:r>
          </w:p>
        </w:tc>
      </w:tr>
    </w:tbl>
    <w:p w:rsidR="00B602AA" w:rsidRPr="00243E85" w:rsidRDefault="00B602AA">
      <w:pPr>
        <w:rPr>
          <w:noProof/>
        </w:rPr>
      </w:pPr>
    </w:p>
    <w:sectPr w:rsidR="00B602AA" w:rsidRPr="00243E85" w:rsidSect="00CE011C">
      <w:footerReference w:type="default" r:id="rId19"/>
      <w:footerReference w:type="first" r:id="rId20"/>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25C5" w:rsidRDefault="009225C5">
      <w:pPr>
        <w:spacing w:before="0" w:after="0"/>
      </w:pPr>
      <w:r>
        <w:separator/>
      </w:r>
    </w:p>
  </w:endnote>
  <w:endnote w:type="continuationSeparator" w:id="0">
    <w:p w:rsidR="009225C5" w:rsidRDefault="009225C5">
      <w:pPr>
        <w:spacing w:before="0" w:after="0"/>
      </w:pPr>
      <w:r>
        <w:continuationSeparator/>
      </w:r>
    </w:p>
  </w:endnote>
  <w:endnote w:type="continuationNotice" w:id="1">
    <w:p w:rsidR="009225C5" w:rsidRDefault="009225C5">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95D" w:rsidRDefault="00DB59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224" w:rsidRPr="00CE011C" w:rsidRDefault="00CE011C" w:rsidP="00CE011C">
    <w:pPr>
      <w:pStyle w:val="Footer"/>
      <w:rPr>
        <w:rFonts w:ascii="Arial" w:hAnsi="Arial" w:cs="Arial"/>
        <w:b/>
        <w:sz w:val="48"/>
      </w:rPr>
    </w:pPr>
    <w:r w:rsidRPr="00CE011C">
      <w:rPr>
        <w:rFonts w:ascii="Arial" w:hAnsi="Arial" w:cs="Arial"/>
        <w:b/>
        <w:sz w:val="48"/>
      </w:rPr>
      <w:t>LT</w:t>
    </w:r>
    <w:r w:rsidRPr="00CE011C">
      <w:rPr>
        <w:rFonts w:ascii="Arial" w:hAnsi="Arial" w:cs="Arial"/>
        <w:b/>
        <w:sz w:val="48"/>
      </w:rPr>
      <w:tab/>
    </w:r>
    <w:r w:rsidRPr="00CE011C">
      <w:rPr>
        <w:rFonts w:ascii="Arial" w:hAnsi="Arial" w:cs="Arial"/>
        <w:b/>
        <w:sz w:val="48"/>
      </w:rPr>
      <w:tab/>
    </w:r>
    <w:fldSimple w:instr=" DOCVARIABLE &quot;LW_Confidence&quot; \* MERGEFORMAT ">
      <w:r>
        <w:t xml:space="preserve"> </w:t>
      </w:r>
    </w:fldSimple>
    <w:r w:rsidRPr="00CE011C">
      <w:tab/>
    </w:r>
    <w:r w:rsidRPr="00CE011C">
      <w:rPr>
        <w:rFonts w:ascii="Arial" w:hAnsi="Arial" w:cs="Arial"/>
        <w:b/>
        <w:sz w:val="48"/>
      </w:rPr>
      <w:t>LT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95D" w:rsidRDefault="00DB595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11C" w:rsidRPr="00CE011C" w:rsidRDefault="00CE011C" w:rsidP="00CE011C">
    <w:pPr>
      <w:pStyle w:val="Footer"/>
      <w:rPr>
        <w:rFonts w:ascii="Arial" w:hAnsi="Arial" w:cs="Arial"/>
        <w:b/>
        <w:sz w:val="48"/>
      </w:rPr>
    </w:pPr>
    <w:r w:rsidRPr="00CE011C">
      <w:rPr>
        <w:rFonts w:ascii="Arial" w:hAnsi="Arial" w:cs="Arial"/>
        <w:b/>
        <w:sz w:val="48"/>
      </w:rPr>
      <w:t>LT</w:t>
    </w:r>
    <w:r w:rsidRPr="00CE011C">
      <w:rPr>
        <w:rFonts w:ascii="Arial" w:hAnsi="Arial" w:cs="Arial"/>
        <w:b/>
        <w:sz w:val="48"/>
      </w:rPr>
      <w:tab/>
    </w:r>
    <w:r>
      <w:fldChar w:fldCharType="begin"/>
    </w:r>
    <w:r>
      <w:instrText xml:space="preserve"> PAGE  \* MERGEFORMAT </w:instrText>
    </w:r>
    <w:r>
      <w:fldChar w:fldCharType="separate"/>
    </w:r>
    <w:r w:rsidR="00DB595D">
      <w:rPr>
        <w:noProof/>
      </w:rPr>
      <w:t>9</w:t>
    </w:r>
    <w:r>
      <w:fldChar w:fldCharType="end"/>
    </w:r>
    <w:r>
      <w:tab/>
    </w:r>
    <w:fldSimple w:instr=" DOCVARIABLE &quot;LW_Confidence&quot; \* MERGEFORMAT ">
      <w:r>
        <w:t xml:space="preserve"> </w:t>
      </w:r>
    </w:fldSimple>
    <w:r w:rsidRPr="00CE011C">
      <w:tab/>
    </w:r>
    <w:r w:rsidRPr="00CE011C">
      <w:rPr>
        <w:rFonts w:ascii="Arial" w:hAnsi="Arial" w:cs="Arial"/>
        <w:b/>
        <w:sz w:val="48"/>
      </w:rPr>
      <w:t>LT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11C" w:rsidRPr="00CE011C" w:rsidRDefault="00CE011C" w:rsidP="00CE01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25C5" w:rsidRDefault="009225C5">
      <w:pPr>
        <w:spacing w:before="0" w:after="0"/>
      </w:pPr>
      <w:r>
        <w:separator/>
      </w:r>
    </w:p>
  </w:footnote>
  <w:footnote w:type="continuationSeparator" w:id="0">
    <w:p w:rsidR="009225C5" w:rsidRDefault="009225C5">
      <w:pPr>
        <w:spacing w:before="0" w:after="0"/>
      </w:pPr>
      <w:r>
        <w:continuationSeparator/>
      </w:r>
    </w:p>
  </w:footnote>
  <w:footnote w:type="continuationNotice" w:id="1">
    <w:p w:rsidR="009225C5" w:rsidRDefault="009225C5">
      <w:pPr>
        <w:spacing w:before="0" w:after="0"/>
      </w:pPr>
    </w:p>
  </w:footnote>
  <w:footnote w:id="2">
    <w:p w:rsidR="009225C5" w:rsidRDefault="009225C5">
      <w:pPr>
        <w:pStyle w:val="FootnoteText"/>
      </w:pPr>
      <w:r>
        <w:rPr>
          <w:rStyle w:val="FootnoteReference"/>
        </w:rPr>
        <w:footnoteRef/>
      </w:r>
      <w:r>
        <w:tab/>
        <w:t xml:space="preserve">Pagal 14 straipsnį turi būti užtikrinamas nuoseklumas su ilgalaikėmis išmetamųjų teršalų kiekio mažinimo strategijomis. </w:t>
      </w:r>
    </w:p>
  </w:footnote>
  <w:footnote w:id="3">
    <w:p w:rsidR="009225C5" w:rsidRDefault="009225C5">
      <w:pPr>
        <w:pStyle w:val="FootnoteText"/>
      </w:pPr>
      <w:r>
        <w:rPr>
          <w:rStyle w:val="FootnoteReference"/>
        </w:rPr>
        <w:footnoteRef/>
      </w:r>
      <w:r>
        <w:tab/>
        <w:t>2021–2030 m. plane –  privalomieji valstybės narės nacionaliniai 2030 m. išmetamo ŠESD kiekio tikslai, nustatyti sektoriams, kuriuose netaikoma apyvartinių taršos leidimų prekybos sistema, ir privalomosios metinės ribos, nustatytos pagal Reglamentą [ ] [ESR].</w:t>
      </w:r>
    </w:p>
  </w:footnote>
  <w:footnote w:id="4">
    <w:p w:rsidR="009225C5" w:rsidRDefault="009225C5">
      <w:pPr>
        <w:pStyle w:val="FootnoteText"/>
      </w:pPr>
      <w:r>
        <w:rPr>
          <w:rStyle w:val="FootnoteReference"/>
        </w:rPr>
        <w:footnoteRef/>
      </w:r>
      <w:r>
        <w:tab/>
        <w:t>Reglamentas [ ] [LULUCF]</w:t>
      </w:r>
    </w:p>
  </w:footnote>
  <w:footnote w:id="5">
    <w:p w:rsidR="009225C5" w:rsidRDefault="009225C5">
      <w:pPr>
        <w:pStyle w:val="FootnoteText"/>
      </w:pPr>
      <w:r>
        <w:rPr>
          <w:rStyle w:val="FootnoteReference"/>
        </w:rPr>
        <w:footnoteRef/>
      </w:r>
      <w:r>
        <w:tab/>
        <w:t>Nuoseklumas turi būti užtikrinamas su prevencinių veiksmų ir ekstremaliųjų situacijų valdymo planais pagal Reglamentą dėl dujų tiekimo saugumo užtikrinimo priemonių, kuriuo panaikinamas Reglamentas (ES) Nr. 994/2010 [žr. pasiūlymą COM(2016) 52], taip pat pasirengimo valdyti riziką planais pagal Reglamentą dėl pasirengimo valdyti riziką elektros energijos sektoriuje, kuriuo panaikinama Direktyva 2005/89/EB [žr. pasiūlymą COM(2016) 862].</w:t>
      </w:r>
    </w:p>
  </w:footnote>
  <w:footnote w:id="6">
    <w:p w:rsidR="009225C5" w:rsidRDefault="009225C5">
      <w:pPr>
        <w:pStyle w:val="FootnoteText"/>
      </w:pPr>
      <w:r>
        <w:rPr>
          <w:rStyle w:val="FootnoteReference"/>
        </w:rPr>
        <w:footnoteRef/>
      </w:r>
      <w:r>
        <w:tab/>
        <w:t xml:space="preserve">Pagal 2013 m. balandžio 17 d. Europos Parlamento ir Tarybos reglamentą (ES) Nr. 347/2013 dėl </w:t>
      </w:r>
      <w:proofErr w:type="spellStart"/>
      <w:r>
        <w:t>transeuropinės</w:t>
      </w:r>
      <w:proofErr w:type="spellEnd"/>
      <w:r>
        <w:t xml:space="preserve"> energetikos infrastruktūros gairių, kuriuo panaikinamas Sprendimas Nr. 1364/2006/EB ir kuriuo iš dalies keičiami reglamentai (EB) Nr. 713/2009, (EB) Nr. 714/2009 ir (EB) Nr. 715/2009 (OL L 115, 2013 4 25, p. 39).</w:t>
      </w:r>
    </w:p>
  </w:footnote>
  <w:footnote w:id="7">
    <w:p w:rsidR="009225C5" w:rsidRDefault="009225C5">
      <w:pPr>
        <w:pStyle w:val="FootnoteText"/>
      </w:pPr>
      <w:r>
        <w:rPr>
          <w:rStyle w:val="FootnoteReference"/>
        </w:rPr>
        <w:footnoteRef/>
      </w:r>
      <w:r>
        <w:tab/>
        <w:t>Planuodamos šias priemones valstybės narės turi atsižvelgti į esamų įrenginių eksploatavimo laikotarpio pabaigą ir techninio pertvarkymo galimybes.</w:t>
      </w:r>
    </w:p>
  </w:footnote>
  <w:footnote w:id="8">
    <w:p w:rsidR="009225C5" w:rsidRDefault="009225C5">
      <w:pPr>
        <w:pStyle w:val="FootnoteText"/>
      </w:pPr>
      <w:r>
        <w:rPr>
          <w:rStyle w:val="FootnoteReference"/>
        </w:rPr>
        <w:footnoteRef/>
      </w:r>
      <w:r>
        <w:tab/>
        <w:t>Pagal Direktyvos 2010/31/ES 2a straipsnį [redakcija su pakeitimais, padarytais pagal pasiūlymą COM(2016)765].</w:t>
      </w:r>
    </w:p>
  </w:footnote>
  <w:footnote w:id="9">
    <w:p w:rsidR="009225C5" w:rsidRDefault="009225C5">
      <w:pPr>
        <w:pStyle w:val="FootnoteText"/>
      </w:pPr>
      <w:r>
        <w:rPr>
          <w:rStyle w:val="FootnoteReference"/>
        </w:rPr>
        <w:footnoteRef/>
      </w:r>
      <w:r>
        <w:tab/>
        <w:t>Pagal Direktyvos 2012/27/ES 18 straipsnį.</w:t>
      </w:r>
    </w:p>
  </w:footnote>
  <w:footnote w:id="10">
    <w:p w:rsidR="009225C5" w:rsidRDefault="009225C5">
      <w:pPr>
        <w:pStyle w:val="FootnoteText"/>
      </w:pPr>
      <w:r>
        <w:rPr>
          <w:rStyle w:val="FootnoteReference"/>
        </w:rPr>
        <w:footnoteRef/>
      </w:r>
      <w:r>
        <w:tab/>
        <w:t>Pagal Direktyvos 2012/27/ES 8 straipsnį.</w:t>
      </w:r>
    </w:p>
  </w:footnote>
  <w:footnote w:id="11">
    <w:p w:rsidR="009225C5" w:rsidRDefault="009225C5">
      <w:pPr>
        <w:pStyle w:val="FootnoteText"/>
      </w:pPr>
      <w:r>
        <w:rPr>
          <w:rStyle w:val="FootnoteReference"/>
        </w:rPr>
        <w:footnoteRef/>
      </w:r>
      <w:r>
        <w:tab/>
        <w:t>Pagal Direktyvos 2012/27/ES 12 ir 17 straipsnius.</w:t>
      </w:r>
    </w:p>
  </w:footnote>
  <w:footnote w:id="12">
    <w:p w:rsidR="009225C5" w:rsidRDefault="009225C5">
      <w:pPr>
        <w:pStyle w:val="FootnoteText"/>
      </w:pPr>
      <w:r>
        <w:rPr>
          <w:rStyle w:val="FootnoteReference"/>
        </w:rPr>
        <w:footnoteRef/>
      </w:r>
      <w:r>
        <w:tab/>
        <w:t>Pagal Direktyvos 2012/27/ES 19 straipsnį.</w:t>
      </w:r>
    </w:p>
  </w:footnote>
  <w:footnote w:id="13">
    <w:p w:rsidR="009225C5" w:rsidRDefault="009225C5">
      <w:pPr>
        <w:pStyle w:val="FootnoteText"/>
      </w:pPr>
      <w:r>
        <w:rPr>
          <w:rStyle w:val="FootnoteReference"/>
        </w:rPr>
        <w:footnoteRef/>
      </w:r>
      <w:r>
        <w:tab/>
        <w:t>Pagal Direktyvos 2012/27/ES 15 straipsnio 2 dalį.</w:t>
      </w:r>
    </w:p>
  </w:footnote>
  <w:footnote w:id="14">
    <w:p w:rsidR="009225C5" w:rsidRDefault="009225C5">
      <w:pPr>
        <w:pStyle w:val="FootnoteText"/>
      </w:pPr>
      <w:r>
        <w:rPr>
          <w:rStyle w:val="FootnoteReference"/>
        </w:rPr>
        <w:footnoteRef/>
      </w:r>
      <w:r>
        <w:tab/>
        <w:t>Politika ir priemonės turi atitikti principą „svarbiausia – energijos vartojimo efektyvumas“.</w:t>
      </w:r>
    </w:p>
  </w:footnote>
  <w:footnote w:id="15">
    <w:p w:rsidR="009225C5" w:rsidRDefault="009225C5">
      <w:pPr>
        <w:pStyle w:val="FootnoteText"/>
      </w:pPr>
      <w:r>
        <w:rPr>
          <w:rStyle w:val="FootnoteReference"/>
        </w:rPr>
        <w:footnoteRef/>
      </w:r>
      <w:r>
        <w:tab/>
        <w:t>Nuoseklumas turi būti užtikrinamas su prevencinių veiksmų ir ekstremaliųjų situacijų valdymo planais pagal Reglamentą dėl dujų tiekimo saugumo užtikrinimo priemonių, kuriuo panaikinamas Reglamentas (ES) Nr. 994/2010 [žr. pasiūlymą COM(2016) 52], taip pat pasirengimo valdyti riziką planais pagal Reglamentą dėl pasirengimo valdyti riziką elektros energijos sektoriuje, kuriuo panaikinama Direktyva 2005/89/EB [žr. pasiūlymą COM(2016) 862].</w:t>
      </w:r>
    </w:p>
  </w:footnote>
  <w:footnote w:id="16">
    <w:p w:rsidR="009225C5" w:rsidRDefault="009225C5">
      <w:pPr>
        <w:pStyle w:val="FootnoteText"/>
      </w:pPr>
      <w:r>
        <w:rPr>
          <w:rStyle w:val="FootnoteReference"/>
        </w:rPr>
        <w:footnoteRef/>
      </w:r>
      <w:r>
        <w:tab/>
        <w:t>Politika ir priemonės turi atitikti principą „svarbiausia – energijos vartojimo efektyvumas“.</w:t>
      </w:r>
    </w:p>
  </w:footnote>
  <w:footnote w:id="17">
    <w:p w:rsidR="009225C5" w:rsidRDefault="009225C5">
      <w:pPr>
        <w:pStyle w:val="FootnoteText"/>
      </w:pPr>
      <w:r>
        <w:rPr>
          <w:rStyle w:val="FootnoteReference"/>
        </w:rPr>
        <w:footnoteRef/>
      </w:r>
      <w:r>
        <w:tab/>
        <w:t>Kitos (ne bendro intereso projektų) regioninės grupės, sukurtos pagal Reglamentą (ES) Nr. 347/2013</w:t>
      </w:r>
    </w:p>
  </w:footnote>
  <w:footnote w:id="18">
    <w:p w:rsidR="009225C5" w:rsidRDefault="009225C5">
      <w:pPr>
        <w:pStyle w:val="FootnoteText"/>
      </w:pPr>
      <w:r>
        <w:rPr>
          <w:rStyle w:val="FootnoteReference"/>
        </w:rPr>
        <w:footnoteRef/>
      </w:r>
      <w:r>
        <w:tab/>
        <w:t>Kitos (ne bendro intereso projektų) regioninės grupės, sukurtos pagal Reglamentą (ES) Nr. 347/2013</w:t>
      </w:r>
    </w:p>
  </w:footnote>
  <w:footnote w:id="19">
    <w:p w:rsidR="009225C5" w:rsidRDefault="009225C5">
      <w:pPr>
        <w:pStyle w:val="FootnoteText"/>
      </w:pPr>
      <w:r>
        <w:rPr>
          <w:rStyle w:val="FootnoteReference"/>
        </w:rPr>
        <w:footnoteRef/>
      </w:r>
      <w:r>
        <w:tab/>
        <w:t>Pagal [naują Direktyvos 2009/72/EB redakciją, parengtą pagal pasiūlymą COM(2016) 864, ir naują Reglamento (EB) Nr. 714/2009 redakciją, parengtą pagal pasiūlymą COM(2016) 861]</w:t>
      </w:r>
    </w:p>
  </w:footnote>
  <w:footnote w:id="20">
    <w:p w:rsidR="009225C5" w:rsidRDefault="009225C5">
      <w:pPr>
        <w:pStyle w:val="FootnoteText"/>
      </w:pPr>
      <w:r>
        <w:rPr>
          <w:rStyle w:val="FootnoteReference"/>
        </w:rPr>
        <w:footnoteRef/>
      </w:r>
      <w:r>
        <w:tab/>
        <w:t>Pagal Direktyvos 2012/27/ES 15 straipsnio 8 dalį.</w:t>
      </w:r>
    </w:p>
  </w:footnote>
  <w:footnote w:id="21">
    <w:p w:rsidR="009225C5" w:rsidRDefault="009225C5">
      <w:pPr>
        <w:pStyle w:val="FootnoteText"/>
      </w:pPr>
      <w:r>
        <w:rPr>
          <w:rStyle w:val="FootnoteReference"/>
        </w:rPr>
        <w:footnoteRef/>
      </w:r>
      <w:r>
        <w:tab/>
        <w:t>Išsamų parametrų ir kintamųjų, kurie turi būti įrašomi į plano B dalį, sąrašą žr. 2 dalyje</w:t>
      </w:r>
    </w:p>
  </w:footnote>
  <w:footnote w:id="22">
    <w:p w:rsidR="009225C5" w:rsidRDefault="009225C5">
      <w:pPr>
        <w:pStyle w:val="FootnoteText"/>
      </w:pPr>
      <w:r>
        <w:rPr>
          <w:rStyle w:val="FootnoteReference"/>
        </w:rPr>
        <w:footnoteRef/>
      </w:r>
      <w:r>
        <w:tab/>
        <w:t xml:space="preserve">Dabartinė padėtis – padėtis, nacionalinio plano pateikimo dienos duomenimis arba naujausiais turimais duomenimis. Esama politika ir priemonės apima priimtą ir įgyvendinamą politiką ir priemones. Priimta politika ir priemonės – tokia politika ir priemonės, dėl kurių oficialus vyriausybės sprendimas priimtas iki nacionalinio plano pateikimo dienos ir yra aiškus įsipareigojimas jas įgyvendinti. Įgyvendinama politika ir priemonės – tokia politika ir priemonės, kurios nacionalinio plano arba pažangos ataskaitos pateikimo dieną atitinka vieną arba kelias toliau išvardytas sąlygas: galioja tiesiogiai taikomi Europos teisės aktai arba nacionalinės teisės aktai; sudarytas vienas arba keli savanoriški susitarimai; paskirti finansiniai ištekliai; sutelkti žmogiškieji ištekliai. </w:t>
      </w:r>
    </w:p>
  </w:footnote>
  <w:footnote w:id="23">
    <w:p w:rsidR="009225C5" w:rsidRDefault="009225C5">
      <w:pPr>
        <w:pStyle w:val="FootnoteText"/>
      </w:pPr>
      <w:r>
        <w:rPr>
          <w:rStyle w:val="FootnoteReference"/>
        </w:rPr>
        <w:footnoteRef/>
      </w:r>
      <w:r>
        <w:tab/>
        <w:t>Išorės veiksnių pasirinkimas gali būti grindžiamas 2016 m. ES atskaitos scenarijuje arba kituose vėlesniuose politikos scenarijuose padarytomis prielaidomis, susijusiomis su tais pačiais kintamaisiais. Be to, rengiant esama politika ir priemonėmis grindžiamas nacionalines prognozes ir poveikio vertinimą, gali būti naudinga naudotis 2016 m. ES atskaitos scenarijuje ir vėlesniuose politikos scenarijuose pateiktais konkrečių valstybių narių rezultatais.</w:t>
      </w:r>
    </w:p>
  </w:footnote>
  <w:footnote w:id="24">
    <w:p w:rsidR="009225C5" w:rsidRDefault="009225C5">
      <w:pPr>
        <w:pStyle w:val="FootnoteText"/>
      </w:pPr>
      <w:r>
        <w:rPr>
          <w:rStyle w:val="FootnoteReference"/>
        </w:rPr>
        <w:footnoteRef/>
      </w:r>
      <w:r>
        <w:tab/>
        <w:t>Pagal Direktyvos 2012/27/ES 14 straipsnio 1 dalį.</w:t>
      </w:r>
    </w:p>
  </w:footnote>
  <w:footnote w:id="25">
    <w:p w:rsidR="009225C5" w:rsidRDefault="009225C5">
      <w:pPr>
        <w:pStyle w:val="FootnoteText"/>
      </w:pPr>
      <w:r>
        <w:rPr>
          <w:rStyle w:val="FootnoteReference"/>
        </w:rPr>
        <w:footnoteRef/>
      </w:r>
      <w:r>
        <w:tab/>
        <w:t>Šia atskaitine įprastinės veiklos prognoze turi būti grindžiamas 2030 m. pirminės ir galutinės energijos suvartojimo tikslas, aprašytas 2.3 punkte, ir perskaičiavimo koeficientai.</w:t>
      </w:r>
    </w:p>
  </w:footnote>
  <w:footnote w:id="26">
    <w:p w:rsidR="009225C5" w:rsidRDefault="009225C5">
      <w:pPr>
        <w:pStyle w:val="FootnoteText"/>
      </w:pPr>
      <w:r>
        <w:rPr>
          <w:rStyle w:val="FootnoteReference"/>
        </w:rPr>
        <w:footnoteRef/>
      </w:r>
      <w:r>
        <w:tab/>
        <w:t>Pagal perdavimo sistemos operatorių parengtą esamos perdavimo infrastruktūros apžvalgą.</w:t>
      </w:r>
    </w:p>
  </w:footnote>
  <w:footnote w:id="27">
    <w:p w:rsidR="009225C5" w:rsidRDefault="009225C5">
      <w:pPr>
        <w:pStyle w:val="FootnoteText"/>
      </w:pPr>
      <w:r>
        <w:rPr>
          <w:rStyle w:val="FootnoteReference"/>
        </w:rPr>
        <w:footnoteRef/>
      </w:r>
      <w:r>
        <w:tab/>
        <w:t>Pagal perdavimo sistemos operatorių parengtus nacionalinius tinklų plėtros planus ir regioninius investicijų planus.</w:t>
      </w:r>
    </w:p>
  </w:footnote>
  <w:footnote w:id="28">
    <w:p w:rsidR="009225C5" w:rsidRDefault="009225C5">
      <w:pPr>
        <w:pStyle w:val="FootnoteText"/>
      </w:pPr>
      <w:r>
        <w:rPr>
          <w:rStyle w:val="FootnoteReference"/>
        </w:rPr>
        <w:footnoteRef/>
      </w:r>
      <w:r>
        <w:tab/>
        <w:t>Pagal perdavimo sistemos operatorių parengtą esamos perdavimo infrastruktūros apžvalgą.</w:t>
      </w:r>
    </w:p>
  </w:footnote>
  <w:footnote w:id="29">
    <w:p w:rsidR="009225C5" w:rsidRDefault="009225C5">
      <w:pPr>
        <w:pStyle w:val="FootnoteText"/>
      </w:pPr>
      <w:r>
        <w:rPr>
          <w:rStyle w:val="FootnoteReference"/>
        </w:rPr>
        <w:footnoteRef/>
      </w:r>
      <w:r>
        <w:tab/>
        <w:t>Pagal perdavimo sistemos operatorių parengtus nacionalinius tinklų plėtros planus ir regioninius investicijų planus.</w:t>
      </w:r>
    </w:p>
  </w:footnote>
  <w:footnote w:id="30">
    <w:p w:rsidR="009225C5" w:rsidRDefault="009225C5">
      <w:pPr>
        <w:pStyle w:val="FootnoteText"/>
      </w:pPr>
      <w:r>
        <w:rPr>
          <w:rStyle w:val="FootnoteReference"/>
        </w:rPr>
        <w:footnoteRef/>
      </w:r>
      <w:r>
        <w:tab/>
        <w:t>Planuojama politika ir priemonės – svarstomi politikos ir priemonių variantai, kurie, tikėtina, bus priimti ir įgyvendinami po nacionalinio plano pateikimo dienos. Todėl, be priimtos ir įgyvendinamos politikos ir priemonių, į prognozes, rengiamas pagal 5.1 punkto (prognozės atsižvelgiant į esamą politiką ir priemones) i papunktį, turi būti įtraukiama planuojama politika ir priemonės.</w:t>
      </w:r>
    </w:p>
  </w:footnote>
  <w:footnote w:id="31">
    <w:p w:rsidR="009225C5" w:rsidRDefault="009225C5">
      <w:pPr>
        <w:pStyle w:val="FootnoteText"/>
      </w:pPr>
      <w:r>
        <w:rPr>
          <w:rStyle w:val="FootnoteReference"/>
        </w:rPr>
        <w:footnoteRef/>
      </w:r>
      <w:r>
        <w:tab/>
        <w:t>Direktyva [žr. pasiūlymą COM(2013)0920] dėl į atmosferą išmetamų teršalų kiekio mažinimo, kuria iš dalies keičiama Direktyva 2003/35/EB ir panaikinama Direktyva 2001/81/EB.</w:t>
      </w:r>
    </w:p>
  </w:footnote>
  <w:footnote w:id="32">
    <w:p w:rsidR="009225C5" w:rsidRDefault="009225C5">
      <w:pPr>
        <w:pStyle w:val="FootnoteText"/>
      </w:pPr>
      <w:r>
        <w:rPr>
          <w:rStyle w:val="FootnoteReference"/>
        </w:rPr>
        <w:footnoteRef/>
      </w:r>
      <w:r>
        <w:tab/>
        <w:t xml:space="preserve">2021–2030 m. plane – apie kiekvieno į sąrašą įrašyto parametro / kintamojo tendencijas 2005–2040 m. (2005–2050 m., jei dera), įskaitant 2030 m., penkerių metų intervalais turi būti pranešama ir 4, ir 5 skirsniuose. Turi būti nurodomi išorinėmis prielaidomis grindžiami parametrai, palyginti su modeliavimo rezultatu. </w:t>
      </w:r>
    </w:p>
  </w:footnote>
  <w:footnote w:id="33">
    <w:p w:rsidR="009225C5" w:rsidRDefault="009225C5">
      <w:pPr>
        <w:pStyle w:val="FootnoteText"/>
      </w:pPr>
      <w:r>
        <w:rPr>
          <w:rStyle w:val="FootnoteReference"/>
        </w:rPr>
        <w:footnoteRef/>
      </w:r>
      <w:r>
        <w:tab/>
        <w:t>Ataskaitų duomenys ir prognozės turi būti, kiek įmanoma, grindžiami ir suderinti su Eurostato duomenimis ir metodika, taikoma rengiant Europos statistikos ataskaitas pagal atitinkamų sektorių teisės aktus, nes Europos statistika pagal Reglamentą (EB) Nr. 223/2009 dėl Europos statistikos yra pirminis statistinių duomenų, naudojamų ataskaitų ir stebėjimo tikslais, šaltinis.</w:t>
      </w:r>
    </w:p>
  </w:footnote>
  <w:footnote w:id="34">
    <w:p w:rsidR="009225C5" w:rsidRDefault="009225C5">
      <w:pPr>
        <w:pStyle w:val="FootnoteText"/>
      </w:pPr>
      <w:r>
        <w:rPr>
          <w:rStyle w:val="FootnoteReference"/>
        </w:rPr>
        <w:footnoteRef/>
      </w:r>
      <w:r>
        <w:tab/>
        <w:t>Pastaba. Visos prognozės turi būti rengiamos remiantis pastoviomis kainomis (bazinėmis laikomos 2016 m. kainos).</w:t>
      </w:r>
    </w:p>
  </w:footnote>
  <w:footnote w:id="35">
    <w:p w:rsidR="009225C5" w:rsidRDefault="009225C5">
      <w:pPr>
        <w:pStyle w:val="FootnoteText"/>
      </w:pPr>
      <w:r>
        <w:rPr>
          <w:rStyle w:val="FootnoteReference"/>
        </w:rPr>
        <w:footnoteRef/>
      </w:r>
      <w:r>
        <w:tab/>
        <w:t>Komisija rekomenduos bent pagrindinius prognozių parametrus: naftos, dujų ir anglių importo kainas, taip pat ES ATLPS anglies dioksido kainas.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95D" w:rsidRDefault="00DB595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95D" w:rsidRDefault="00DB595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95D" w:rsidRDefault="00DB59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9B44B66"/>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D09A565E"/>
    <w:lvl w:ilvl="0">
      <w:start w:val="1"/>
      <w:numFmt w:val="decimal"/>
      <w:pStyle w:val="ListNumber3"/>
      <w:lvlText w:val="%1."/>
      <w:lvlJc w:val="left"/>
      <w:pPr>
        <w:tabs>
          <w:tab w:val="num" w:pos="926"/>
        </w:tabs>
        <w:ind w:left="926" w:hanging="360"/>
      </w:pPr>
    </w:lvl>
  </w:abstractNum>
  <w:abstractNum w:abstractNumId="2">
    <w:nsid w:val="FFFFFF7F"/>
    <w:multiLevelType w:val="singleLevel"/>
    <w:tmpl w:val="787A8534"/>
    <w:lvl w:ilvl="0">
      <w:start w:val="1"/>
      <w:numFmt w:val="decimal"/>
      <w:pStyle w:val="ListNumber2"/>
      <w:lvlText w:val="%1."/>
      <w:lvlJc w:val="left"/>
      <w:pPr>
        <w:tabs>
          <w:tab w:val="num" w:pos="643"/>
        </w:tabs>
        <w:ind w:left="643" w:hanging="360"/>
      </w:pPr>
    </w:lvl>
  </w:abstractNum>
  <w:abstractNum w:abstractNumId="3">
    <w:nsid w:val="FFFFFF81"/>
    <w:multiLevelType w:val="singleLevel"/>
    <w:tmpl w:val="8ADCADC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71FEB802"/>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947E3002"/>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C0504100"/>
    <w:lvl w:ilvl="0">
      <w:start w:val="1"/>
      <w:numFmt w:val="decimal"/>
      <w:pStyle w:val="ListNumber"/>
      <w:lvlText w:val="%1."/>
      <w:lvlJc w:val="left"/>
      <w:pPr>
        <w:tabs>
          <w:tab w:val="num" w:pos="360"/>
        </w:tabs>
        <w:ind w:left="360" w:hanging="360"/>
      </w:pPr>
    </w:lvl>
  </w:abstractNum>
  <w:abstractNum w:abstractNumId="7">
    <w:nsid w:val="FFFFFF89"/>
    <w:multiLevelType w:val="singleLevel"/>
    <w:tmpl w:val="EC58853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09652D6"/>
    <w:multiLevelType w:val="multilevel"/>
    <w:tmpl w:val="072802AA"/>
    <w:lvl w:ilvl="0">
      <w:start w:val="1"/>
      <w:numFmt w:val="decimal"/>
      <w:lvlText w:val="%1."/>
      <w:lvlJc w:val="left"/>
      <w:pPr>
        <w:ind w:left="360" w:hanging="360"/>
      </w:pPr>
      <w:rPr>
        <w:rFonts w:asciiTheme="minorHAnsi" w:hAnsiTheme="minorHAnsi" w:hint="default"/>
        <w:b/>
        <w:sz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Roman"/>
      <w:lvlText w:val="%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5"/>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num>
  <w:num w:numId="13">
    <w:abstractNumId w:val="7"/>
  </w:num>
  <w:num w:numId="14">
    <w:abstractNumId w:val="5"/>
  </w:num>
  <w:num w:numId="15">
    <w:abstractNumId w:val="4"/>
  </w:num>
  <w:num w:numId="16">
    <w:abstractNumId w:val="3"/>
  </w:num>
  <w:num w:numId="17">
    <w:abstractNumId w:val="6"/>
  </w:num>
  <w:num w:numId="18">
    <w:abstractNumId w:val="2"/>
  </w:num>
  <w:num w:numId="19">
    <w:abstractNumId w:val="1"/>
  </w:num>
  <w:num w:numId="20">
    <w:abstractNumId w:val="0"/>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num>
  <w:num w:numId="40">
    <w:abstractNumId w:val="12"/>
  </w:num>
  <w:num w:numId="41">
    <w:abstractNumId w:val="21"/>
  </w:num>
  <w:num w:numId="42">
    <w:abstractNumId w:val="11"/>
  </w:num>
  <w:num w:numId="43">
    <w:abstractNumId w:val="13"/>
  </w:num>
  <w:num w:numId="44">
    <w:abstractNumId w:val="9"/>
  </w:num>
  <w:num w:numId="45">
    <w:abstractNumId w:val="20"/>
  </w:num>
  <w:num w:numId="46">
    <w:abstractNumId w:val="8"/>
  </w:num>
  <w:num w:numId="47">
    <w:abstractNumId w:val="14"/>
  </w:num>
  <w:num w:numId="48">
    <w:abstractNumId w:val="17"/>
  </w:num>
  <w:num w:numId="49">
    <w:abstractNumId w:val="18"/>
  </w:num>
  <w:num w:numId="50">
    <w:abstractNumId w:val="10"/>
  </w:num>
  <w:num w:numId="51">
    <w:abstractNumId w:val="16"/>
  </w:num>
  <w:num w:numId="52">
    <w:abstractNumId w:val="2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hideSpellingErrors/>
  <w:hideGrammaticalErrors/>
  <w:proofState w:spelling="clean"/>
  <w:attachedTemplate r:id="rId1"/>
  <w:defaultTabStop w:val="720"/>
  <w:characterSpacingControl w:val="doNotCompress"/>
  <w:hdrShapeDefaults>
    <o:shapedefaults v:ext="edit" spidmax="7372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7-03-03 11:19:32"/>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2"/>
    <w:docVar w:name="DQCResult_ModifiedMarkers" w:val="0;0"/>
    <w:docVar w:name="DQCResult_ModifiedNumbering" w:val="0;0"/>
    <w:docVar w:name="DQCResult_Objects" w:val="0;0"/>
    <w:docVar w:name="DQCResult_Sections" w:val="0;0"/>
    <w:docVar w:name="DQCResult_StructureCheck" w:val="0;0"/>
    <w:docVar w:name="DQCResult_SuperfluousWhitespace" w:val="0;6"/>
    <w:docVar w:name="DQCResult_UnknownFonts" w:val="0;0"/>
    <w:docVar w:name="DQCResult_UnknownStyles" w:val="0;3"/>
    <w:docVar w:name="DQCStatus" w:val="Green"/>
    <w:docVar w:name="DQCVersion" w:val="3"/>
    <w:docVar w:name="DQCWithWarnings" w:val="0"/>
    <w:docVar w:name="LW_ACCOMPAGNANT" w:val="prie pasi\u363?lymo d\u279?l"/>
    <w:docVar w:name="LW_ACCOMPAGNANT.CP" w:val="prie pasi\u363?lymo d\u279?l"/>
    <w:docVar w:name="LW_ANNEX_NBR_FIRST" w:val="1"/>
    <w:docVar w:name="LW_ANNEX_NBR_LAST" w:val="11"/>
    <w:docVar w:name="LW_CONFIDENCE" w:val=" "/>
    <w:docVar w:name="LW_CONST_RESTREINT_UE" w:val="RESTREINT UE/EU RESTRICTED"/>
    <w:docVar w:name="LW_CORRIGENDUM" w:val="CORRIGENDUM_x000b_This document corrects Annexes 1 to 11 of COM (2016) 759 final of 30.11.2016_x000b_Concerns all language versions._x000b_The text shall read as follows:"/>
    <w:docVar w:name="LW_COVERPAGE_GUID" w:val="A1B6F4CFA0DC4044AF969D70AFE399F2"/>
    <w:docVar w:name="LW_CROSSREFERENCE" w:val="{SWD(2016) 394 final}_x000a_{SWD(2016) 395 final}_x000a_{SWD(2016) 396 final}_x000a_{SWD(2016) 397 final}"/>
    <w:docVar w:name="LW_DocType" w:val="ANNEX"/>
    <w:docVar w:name="LW_EMISSION" w:val="2017 02 23"/>
    <w:docVar w:name="LW_EMISSION_ISODATE" w:val="2017-02-23"/>
    <w:docVar w:name="LW_EMISSION_LOCATION" w:val="BRX"/>
    <w:docVar w:name="LW_EMISSION_PREFIX" w:val="Briuselis, "/>
    <w:docVar w:name="LW_EMISSION_SUFFIX" w:val=" "/>
    <w:docVar w:name="LW_ID_DOCSTRUCTURE" w:val="COM/ANNEX"/>
    <w:docVar w:name="LW_ID_DOCTYPE" w:val="SG-017"/>
    <w:docVar w:name="LW_LANGUE" w:val="LT"/>
    <w:docVar w:name="LW_MARKING" w:val="&lt;UNUSED&gt;"/>
    <w:docVar w:name="LW_NOM.INST" w:val="EUROPOS KOMISIJA"/>
    <w:docVar w:name="LW_NOM.INST_JOINTDOC" w:val="&lt;EMPTY&gt;"/>
    <w:docVar w:name="LW_OBJETACTEPRINCIPAL.CP" w:val="&lt;UNUSED&gt;"/>
    <w:docVar w:name="LW_PART_NBR" w:val="&lt;UNUSED&gt;"/>
    <w:docVar w:name="LW_PART_NBR_TOTAL" w:val="&lt;UNUSED&gt;"/>
    <w:docVar w:name="LW_REF.INST.NEW" w:val="COM"/>
    <w:docVar w:name="LW_REF.INST.NEW_ADOPTED" w:val="&lt;EMPTY&gt;"/>
    <w:docVar w:name="LW_REF.INST.NEW_TEXT" w:val="(2016) 759 final/2"/>
    <w:docVar w:name="LW_REF.INTERNE" w:val="&lt;UNUSED&gt;"/>
    <w:docVar w:name="LW_SUPERTITRE" w:val="&lt;UNUSED&gt;"/>
    <w:docVar w:name="LW_TITRE.OBJ.CP" w:val="&lt;UNUSED&gt;"/>
    <w:docVar w:name="LW_TYPE.DOC" w:val="PRIEDAI"/>
    <w:docVar w:name="LW_TYPE.DOC.CP" w:val="PRIEDAI"/>
    <w:docVar w:name="LW_TYPEACTEPRINCIPAL" w:val="EUROPOS PARLAMENTO IR TARYBOS REGLAMENTO _x000b__x000b_d\u279?l energetikos s\u261?jungos valdymo,_x000b__x000b_kuriuo i\u353? dalies kei\u269?iama Direktyva 94/22/EB, Direktyva 98/70/EB, Direktyva 2009/31/EB, Reglamentas (EB) Nr.&lt;LWCR:NBS&gt;663/2009, Reglamentas (EB) Nr.&lt;LWCR:NBS&gt;715/2009, Direktyva 2009/73/EB, Tarybos direktyva 2009/119/EB, Direktyva 2010/31/ES, Direktyva 2012/27/ES, Direktyva 2013/30/ES ir Tarybos direktyva (ES) 2015/652 ir panaikinamas Reglamentas (ES) Nr.&lt;LWCR:NBS&gt;525/2013"/>
    <w:docVar w:name="LW_TYPEACTEPRINCIPAL.CP" w:val="EUROPOS PARLAMENTO IR TARYBOS REGLAMENTO _x000b__x000b_d\u279?l energetikos s\u261?jungos valdymo,_x000b__x000b_kuriuo i\u353? dalies kei\u269?iama Direktyva 94/22/EB, Direktyva 98/70/EB, Direktyva 2009/31/EB, Reglamentas (EB) Nr. 663/2009, Reglamentas (EB) Nr. 715/2009, Direktyva 2009/73/EB, Tarybos direktyva 2009/119/EB, Direktyva 2010/31/ES, Direktyva 2012/27/ES, Direktyva 2013/30/ES ir Tarybos direktyva (ES) 2015/652 ir panaikinamas Reglamentas (ES) Nr. 525/2013"/>
  </w:docVars>
  <w:rsids>
    <w:rsidRoot w:val="00B602AA"/>
    <w:rsid w:val="00013786"/>
    <w:rsid w:val="000307EC"/>
    <w:rsid w:val="0003724E"/>
    <w:rsid w:val="00056BCA"/>
    <w:rsid w:val="00061A4F"/>
    <w:rsid w:val="00082A59"/>
    <w:rsid w:val="000A3DF6"/>
    <w:rsid w:val="000B770C"/>
    <w:rsid w:val="000C156B"/>
    <w:rsid w:val="000C2904"/>
    <w:rsid w:val="000D3F38"/>
    <w:rsid w:val="000E20EA"/>
    <w:rsid w:val="000F5C4C"/>
    <w:rsid w:val="00105E94"/>
    <w:rsid w:val="001159C7"/>
    <w:rsid w:val="00161040"/>
    <w:rsid w:val="00165FED"/>
    <w:rsid w:val="001822A5"/>
    <w:rsid w:val="001855A2"/>
    <w:rsid w:val="00190BEB"/>
    <w:rsid w:val="00191FE4"/>
    <w:rsid w:val="001C19C5"/>
    <w:rsid w:val="001E5F53"/>
    <w:rsid w:val="002034E3"/>
    <w:rsid w:val="002258B1"/>
    <w:rsid w:val="00242DF9"/>
    <w:rsid w:val="00243E85"/>
    <w:rsid w:val="002448BD"/>
    <w:rsid w:val="00246BC9"/>
    <w:rsid w:val="002506EA"/>
    <w:rsid w:val="002531D2"/>
    <w:rsid w:val="00254736"/>
    <w:rsid w:val="002A16BD"/>
    <w:rsid w:val="002A64C6"/>
    <w:rsid w:val="002D6984"/>
    <w:rsid w:val="002E4624"/>
    <w:rsid w:val="002F134F"/>
    <w:rsid w:val="00311B2A"/>
    <w:rsid w:val="00314BE6"/>
    <w:rsid w:val="00323EB0"/>
    <w:rsid w:val="00326776"/>
    <w:rsid w:val="00333182"/>
    <w:rsid w:val="003416DE"/>
    <w:rsid w:val="00345A27"/>
    <w:rsid w:val="00352F77"/>
    <w:rsid w:val="00354A55"/>
    <w:rsid w:val="00361769"/>
    <w:rsid w:val="0038011E"/>
    <w:rsid w:val="00390E1C"/>
    <w:rsid w:val="003A593D"/>
    <w:rsid w:val="003B1178"/>
    <w:rsid w:val="0041420D"/>
    <w:rsid w:val="00416707"/>
    <w:rsid w:val="00420714"/>
    <w:rsid w:val="00423E09"/>
    <w:rsid w:val="00432D5C"/>
    <w:rsid w:val="004717AE"/>
    <w:rsid w:val="004B0E8B"/>
    <w:rsid w:val="004B5082"/>
    <w:rsid w:val="004D60E3"/>
    <w:rsid w:val="00514B72"/>
    <w:rsid w:val="00531571"/>
    <w:rsid w:val="0056435C"/>
    <w:rsid w:val="0057769C"/>
    <w:rsid w:val="005937D2"/>
    <w:rsid w:val="00593F88"/>
    <w:rsid w:val="0059665A"/>
    <w:rsid w:val="005A4528"/>
    <w:rsid w:val="005A6303"/>
    <w:rsid w:val="005C5300"/>
    <w:rsid w:val="005C6C9B"/>
    <w:rsid w:val="005F5090"/>
    <w:rsid w:val="0060461B"/>
    <w:rsid w:val="00625FCE"/>
    <w:rsid w:val="00641C77"/>
    <w:rsid w:val="0064477E"/>
    <w:rsid w:val="00645948"/>
    <w:rsid w:val="00680C76"/>
    <w:rsid w:val="00690D8E"/>
    <w:rsid w:val="006952F8"/>
    <w:rsid w:val="006A389C"/>
    <w:rsid w:val="006A3BE2"/>
    <w:rsid w:val="006A515C"/>
    <w:rsid w:val="006A68DC"/>
    <w:rsid w:val="006C1DC1"/>
    <w:rsid w:val="006F1AA6"/>
    <w:rsid w:val="006F5418"/>
    <w:rsid w:val="00725278"/>
    <w:rsid w:val="00727630"/>
    <w:rsid w:val="00734C53"/>
    <w:rsid w:val="00737574"/>
    <w:rsid w:val="0074151D"/>
    <w:rsid w:val="0074700A"/>
    <w:rsid w:val="00761EAA"/>
    <w:rsid w:val="00763688"/>
    <w:rsid w:val="00766871"/>
    <w:rsid w:val="007826D8"/>
    <w:rsid w:val="007A4EE5"/>
    <w:rsid w:val="007D4FC2"/>
    <w:rsid w:val="007D6D30"/>
    <w:rsid w:val="007E3190"/>
    <w:rsid w:val="007F4A37"/>
    <w:rsid w:val="00806246"/>
    <w:rsid w:val="00807AE7"/>
    <w:rsid w:val="008100CA"/>
    <w:rsid w:val="00826E7F"/>
    <w:rsid w:val="00833E45"/>
    <w:rsid w:val="008345F3"/>
    <w:rsid w:val="00851EC1"/>
    <w:rsid w:val="008603CA"/>
    <w:rsid w:val="00872307"/>
    <w:rsid w:val="008749D3"/>
    <w:rsid w:val="008D7EF2"/>
    <w:rsid w:val="008E1FC5"/>
    <w:rsid w:val="009052F7"/>
    <w:rsid w:val="0091461A"/>
    <w:rsid w:val="009225C5"/>
    <w:rsid w:val="00926B0E"/>
    <w:rsid w:val="0093244E"/>
    <w:rsid w:val="0094732C"/>
    <w:rsid w:val="0095068B"/>
    <w:rsid w:val="00961B17"/>
    <w:rsid w:val="00964A5C"/>
    <w:rsid w:val="00972E62"/>
    <w:rsid w:val="00982E16"/>
    <w:rsid w:val="009A6455"/>
    <w:rsid w:val="009C1F0A"/>
    <w:rsid w:val="009C29BC"/>
    <w:rsid w:val="009D1066"/>
    <w:rsid w:val="009D131B"/>
    <w:rsid w:val="009E3668"/>
    <w:rsid w:val="00A30BBD"/>
    <w:rsid w:val="00A32224"/>
    <w:rsid w:val="00A67516"/>
    <w:rsid w:val="00A73103"/>
    <w:rsid w:val="00AA1455"/>
    <w:rsid w:val="00AB004B"/>
    <w:rsid w:val="00AC47E5"/>
    <w:rsid w:val="00AD32E9"/>
    <w:rsid w:val="00AD5622"/>
    <w:rsid w:val="00AF1BEB"/>
    <w:rsid w:val="00AF70ED"/>
    <w:rsid w:val="00B065DA"/>
    <w:rsid w:val="00B12809"/>
    <w:rsid w:val="00B16232"/>
    <w:rsid w:val="00B16A5F"/>
    <w:rsid w:val="00B200B9"/>
    <w:rsid w:val="00B3755D"/>
    <w:rsid w:val="00B37E28"/>
    <w:rsid w:val="00B44153"/>
    <w:rsid w:val="00B4608C"/>
    <w:rsid w:val="00B5323C"/>
    <w:rsid w:val="00B532D7"/>
    <w:rsid w:val="00B602AA"/>
    <w:rsid w:val="00B75BF4"/>
    <w:rsid w:val="00B808F1"/>
    <w:rsid w:val="00B80D97"/>
    <w:rsid w:val="00B82259"/>
    <w:rsid w:val="00BA0217"/>
    <w:rsid w:val="00BA587A"/>
    <w:rsid w:val="00BC1BFE"/>
    <w:rsid w:val="00BC2374"/>
    <w:rsid w:val="00BD4A85"/>
    <w:rsid w:val="00BE4A3C"/>
    <w:rsid w:val="00BE7295"/>
    <w:rsid w:val="00BF2DA5"/>
    <w:rsid w:val="00BF710E"/>
    <w:rsid w:val="00C014EE"/>
    <w:rsid w:val="00C228F3"/>
    <w:rsid w:val="00C232E4"/>
    <w:rsid w:val="00C315D6"/>
    <w:rsid w:val="00C73D29"/>
    <w:rsid w:val="00C75232"/>
    <w:rsid w:val="00C773FC"/>
    <w:rsid w:val="00C96986"/>
    <w:rsid w:val="00C9757F"/>
    <w:rsid w:val="00CE011C"/>
    <w:rsid w:val="00CE583F"/>
    <w:rsid w:val="00CE668D"/>
    <w:rsid w:val="00D267D3"/>
    <w:rsid w:val="00D6240D"/>
    <w:rsid w:val="00D732E5"/>
    <w:rsid w:val="00D919F1"/>
    <w:rsid w:val="00DB3BC3"/>
    <w:rsid w:val="00DB595D"/>
    <w:rsid w:val="00DC25A4"/>
    <w:rsid w:val="00DC5DF2"/>
    <w:rsid w:val="00DF00E9"/>
    <w:rsid w:val="00E059B8"/>
    <w:rsid w:val="00E071B7"/>
    <w:rsid w:val="00E2127F"/>
    <w:rsid w:val="00E272B7"/>
    <w:rsid w:val="00E34709"/>
    <w:rsid w:val="00E47607"/>
    <w:rsid w:val="00E627DF"/>
    <w:rsid w:val="00E662AA"/>
    <w:rsid w:val="00E674DB"/>
    <w:rsid w:val="00E75D19"/>
    <w:rsid w:val="00E76C75"/>
    <w:rsid w:val="00EA5CA5"/>
    <w:rsid w:val="00EB527D"/>
    <w:rsid w:val="00EF100B"/>
    <w:rsid w:val="00F01651"/>
    <w:rsid w:val="00F10BAE"/>
    <w:rsid w:val="00F31E55"/>
    <w:rsid w:val="00F36410"/>
    <w:rsid w:val="00F7254E"/>
    <w:rsid w:val="00F763F5"/>
    <w:rsid w:val="00F77D64"/>
    <w:rsid w:val="00FD388C"/>
    <w:rsid w:val="00FE6B9E"/>
    <w:rsid w:val="00FF6A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lt-LT" w:bidi="lt-L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rsid w:val="0075503A"/>
    <w:pPr>
      <w:keepNext/>
      <w:numPr>
        <w:numId w:val="4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rsid w:val="0075503A"/>
    <w:pPr>
      <w:keepNext/>
      <w:numPr>
        <w:ilvl w:val="1"/>
        <w:numId w:val="4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rsid w:val="0075503A"/>
    <w:pPr>
      <w:keepNext/>
      <w:numPr>
        <w:ilvl w:val="2"/>
        <w:numId w:val="45"/>
      </w:numPr>
      <w:outlineLvl w:val="2"/>
    </w:pPr>
    <w:rPr>
      <w:rFonts w:eastAsiaTheme="majorEastAsia"/>
      <w:bCs/>
      <w:i/>
    </w:rPr>
  </w:style>
  <w:style w:type="paragraph" w:styleId="Heading4">
    <w:name w:val="heading 4"/>
    <w:basedOn w:val="Normal"/>
    <w:next w:val="Text1"/>
    <w:link w:val="Heading4Char"/>
    <w:uiPriority w:val="9"/>
    <w:semiHidden/>
    <w:unhideWhenUsed/>
    <w:qFormat/>
    <w:rsid w:val="0075503A"/>
    <w:pPr>
      <w:keepNext/>
      <w:numPr>
        <w:ilvl w:val="3"/>
        <w:numId w:val="45"/>
      </w:numPr>
      <w:outlineLvl w:val="3"/>
    </w:pPr>
    <w:rPr>
      <w:rFonts w:eastAsiaTheme="majorEastAsia"/>
      <w:bCs/>
      <w:iCs/>
    </w:rPr>
  </w:style>
  <w:style w:type="paragraph" w:styleId="Heading5">
    <w:name w:val="heading 5"/>
    <w:basedOn w:val="Normal"/>
    <w:next w:val="Normal"/>
    <w:link w:val="Heading5Char"/>
    <w:uiPriority w:val="9"/>
    <w:semiHidden/>
    <w:unhideWhenUsed/>
    <w:qFormat/>
    <w:pPr>
      <w:spacing w:before="200" w:after="0" w:line="276" w:lineRule="auto"/>
      <w:jc w:val="left"/>
      <w:outlineLvl w:val="4"/>
    </w:pPr>
    <w:rPr>
      <w:rFonts w:ascii="Cambria" w:eastAsia="Times New Roman" w:hAnsi="Cambria"/>
      <w:b/>
      <w:bCs/>
      <w:color w:val="7F7F7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Pr>
      <w:rFonts w:ascii="Cambria" w:eastAsia="Times New Roman" w:hAnsi="Cambria" w:cs="Times New Roman"/>
      <w:b/>
      <w:bCs/>
      <w:color w:val="7F7F7F"/>
      <w:lang w:val="lt-LT"/>
    </w:rPr>
  </w:style>
  <w:style w:type="paragraph" w:styleId="ListParagraph">
    <w:name w:val="List Paragraph"/>
    <w:basedOn w:val="Normal"/>
    <w:uiPriority w:val="34"/>
    <w:qFormat/>
    <w:pPr>
      <w:spacing w:before="0" w:after="200" w:line="276" w:lineRule="auto"/>
      <w:ind w:left="720"/>
      <w:contextualSpacing/>
      <w:jc w:val="left"/>
    </w:pPr>
    <w:rPr>
      <w:rFonts w:asciiTheme="minorHAnsi" w:hAnsiTheme="minorHAnsi" w:cstheme="minorBidi"/>
      <w:sz w:val="22"/>
    </w:rPr>
  </w:style>
  <w:style w:type="paragraph" w:styleId="BalloonText">
    <w:name w:val="Balloon Text"/>
    <w:basedOn w:val="Normal"/>
    <w:link w:val="BalloonTextChar"/>
    <w:uiPriority w:val="99"/>
    <w:semiHidden/>
    <w:unhideWhenUsed/>
    <w:pPr>
      <w:spacing w:before="0" w:after="0"/>
      <w:jc w:val="left"/>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lt-L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rPr>
      <w:sz w:val="20"/>
      <w:szCs w:val="20"/>
      <w:lang w:val="lt-LT"/>
    </w:rPr>
  </w:style>
  <w:style w:type="character" w:customStyle="1" w:styleId="CommentSubjectChar">
    <w:name w:val="Comment Subject Char"/>
    <w:basedOn w:val="CommentTextChar"/>
    <w:link w:val="CommentSubject"/>
    <w:uiPriority w:val="99"/>
    <w:semiHidden/>
    <w:rPr>
      <w:b/>
      <w:bCs/>
      <w:sz w:val="20"/>
      <w:szCs w:val="20"/>
      <w:lang w:val="lt-LT"/>
    </w:rPr>
  </w:style>
  <w:style w:type="paragraph" w:styleId="CommentSubject">
    <w:name w:val="annotation subject"/>
    <w:basedOn w:val="CommentText"/>
    <w:next w:val="CommentText"/>
    <w:link w:val="CommentSubjectChar"/>
    <w:uiPriority w:val="99"/>
    <w:semiHidden/>
    <w:unhideWhenUsed/>
    <w:rPr>
      <w:b/>
      <w:bCs/>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autoSpaceDE w:val="0"/>
      <w:autoSpaceDN w:val="0"/>
      <w:adjustRightInd w:val="0"/>
      <w:spacing w:after="0" w:line="240" w:lineRule="auto"/>
    </w:pPr>
    <w:rPr>
      <w:rFonts w:ascii="Calibri" w:hAnsi="Calibri" w:cs="Calibri"/>
      <w:color w:val="000000"/>
      <w:sz w:val="24"/>
      <w:szCs w:val="24"/>
    </w:rPr>
  </w:style>
  <w:style w:type="paragraph" w:customStyle="1" w:styleId="CM1">
    <w:name w:val="CM1"/>
    <w:basedOn w:val="Default"/>
    <w:next w:val="Default"/>
    <w:uiPriority w:val="99"/>
    <w:rPr>
      <w:rFonts w:ascii="EUAlbertina" w:hAnsi="EUAlbertina" w:cstheme="minorBidi"/>
      <w:color w:val="auto"/>
    </w:rPr>
  </w:style>
  <w:style w:type="paragraph" w:customStyle="1" w:styleId="CM3">
    <w:name w:val="CM3"/>
    <w:basedOn w:val="Default"/>
    <w:next w:val="Default"/>
    <w:uiPriority w:val="99"/>
    <w:rPr>
      <w:rFonts w:ascii="EUAlbertina" w:hAnsi="EUAlbertina" w:cstheme="minorBidi"/>
      <w:color w:val="auto"/>
    </w:rPr>
  </w:style>
  <w:style w:type="paragraph" w:customStyle="1" w:styleId="CM4">
    <w:name w:val="CM4"/>
    <w:basedOn w:val="Default"/>
    <w:next w:val="Default"/>
    <w:uiPriority w:val="99"/>
    <w:rPr>
      <w:rFonts w:ascii="EUAlbertina" w:hAnsi="EUAlbertina" w:cstheme="minorBidi"/>
      <w:color w:val="auto"/>
    </w:rPr>
  </w:style>
  <w:style w:type="paragraph" w:styleId="NormalWeb">
    <w:name w:val="Normal (Web)"/>
    <w:basedOn w:val="Normal"/>
    <w:uiPriority w:val="99"/>
    <w:unhideWhenUsed/>
    <w:pPr>
      <w:spacing w:before="100" w:beforeAutospacing="1" w:after="100" w:afterAutospacing="1"/>
      <w:jc w:val="left"/>
    </w:pPr>
    <w:rPr>
      <w:rFonts w:eastAsia="Times New Roman"/>
      <w:szCs w:val="24"/>
    </w:rPr>
  </w:style>
  <w:style w:type="paragraph" w:customStyle="1" w:styleId="text10">
    <w:name w:val="text1"/>
    <w:basedOn w:val="Normal"/>
    <w:pPr>
      <w:spacing w:before="0" w:after="0"/>
      <w:ind w:left="850"/>
    </w:pPr>
    <w:rPr>
      <w:rFonts w:eastAsia="Times New Roman"/>
      <w:szCs w:val="24"/>
    </w:rPr>
  </w:style>
  <w:style w:type="paragraph" w:customStyle="1" w:styleId="Normal2">
    <w:name w:val="Normal2"/>
    <w:basedOn w:val="Normal"/>
    <w:pPr>
      <w:spacing w:before="0" w:after="0"/>
    </w:pPr>
    <w:rPr>
      <w:rFonts w:eastAsia="Times New Roman"/>
      <w:szCs w:val="24"/>
    </w:rPr>
  </w:style>
  <w:style w:type="table" w:customStyle="1" w:styleId="GridTable4-Accent51">
    <w:name w:val="Grid Table 4 - Accent 51"/>
    <w:basedOn w:val="TableNormal"/>
    <w:uiPriority w:val="49"/>
    <w:pPr>
      <w:spacing w:after="0" w:line="240" w:lineRule="auto"/>
    </w:pPr>
    <w:rPr>
      <w:sz w:val="20"/>
      <w:szCs w:val="20"/>
      <w:lang w:val="en-GB" w:eastAsia="en-GB" w:bidi="ar-SA"/>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AFWTable">
    <w:name w:val="AFW Table"/>
    <w:aliases w:val="Table Content"/>
    <w:basedOn w:val="Normal"/>
    <w:qFormat/>
    <w:pPr>
      <w:spacing w:before="0" w:after="0"/>
      <w:jc w:val="left"/>
    </w:pPr>
    <w:rPr>
      <w:rFonts w:ascii="Arial" w:hAnsi="Arial" w:cstheme="minorBidi"/>
      <w:color w:val="000000"/>
      <w:sz w:val="16"/>
    </w:rPr>
  </w:style>
  <w:style w:type="table" w:customStyle="1" w:styleId="AmecFosterWheelerReportTable">
    <w:name w:val="Amec Foster Wheeler Report Table"/>
    <w:basedOn w:val="TableNormal"/>
    <w:uiPriority w:val="99"/>
    <w:qFormat/>
    <w:pPr>
      <w:spacing w:after="0" w:line="240" w:lineRule="auto"/>
    </w:pPr>
    <w:rPr>
      <w:rFonts w:ascii="Arial" w:hAnsi="Arial"/>
      <w:color w:val="000000" w:themeColor="text1" w:themeShade="BF"/>
      <w:sz w:val="20"/>
      <w:szCs w:val="20"/>
      <w:lang w:val="en-GB" w:eastAsia="en-GB" w:bidi="ar-SA"/>
    </w:rPr>
    <w:tblPr>
      <w:tblStyleRowBandSize w:val="1"/>
      <w:tblStyleColBandSize w:val="1"/>
      <w:tblInd w:w="113" w:type="dxa"/>
      <w:tblBorders>
        <w:bottom w:val="single" w:sz="6" w:space="0" w:color="C0504D" w:themeColor="accent2"/>
      </w:tblBorders>
      <w:tblCellMar>
        <w:top w:w="113" w:type="dxa"/>
        <w:bottom w:w="113" w:type="dxa"/>
      </w:tblCellMar>
    </w:tblPr>
    <w:tblStylePr w:type="firstRow">
      <w:pPr>
        <w:spacing w:before="0" w:after="0" w:line="240" w:lineRule="auto"/>
      </w:pPr>
      <w:rPr>
        <w:rFonts w:ascii="Arial" w:hAnsi="Arial"/>
        <w:b/>
        <w:bCs/>
        <w:color w:val="262626" w:themeColor="text1" w:themeTint="D9"/>
        <w:sz w:val="20"/>
      </w:rPr>
      <w:tblPr/>
      <w:tcPr>
        <w:tcBorders>
          <w:top w:val="single" w:sz="4" w:space="0" w:color="C0504D" w:themeColor="accent2"/>
          <w:left w:val="nil"/>
          <w:bottom w:val="single" w:sz="4" w:space="0" w:color="C0504D" w:themeColor="accent2"/>
          <w:right w:val="nil"/>
          <w:insideH w:val="nil"/>
          <w:insideV w:val="nil"/>
          <w:tl2br w:val="nil"/>
          <w:tr2bl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2Vert">
      <w:tblPr/>
      <w:tcPr>
        <w:shd w:val="clear" w:color="auto" w:fill="FFFFFF" w:themeFill="background1"/>
      </w:tcPr>
    </w:tblStylePr>
    <w:tblStylePr w:type="band1Horz">
      <w:tblPr/>
      <w:tcPr>
        <w:tcBorders>
          <w:left w:val="nil"/>
          <w:right w:val="nil"/>
          <w:insideH w:val="nil"/>
          <w:insideV w:val="nil"/>
        </w:tcBorders>
        <w:shd w:val="clear" w:color="auto" w:fill="E5DFEC" w:themeFill="accent4" w:themeFillTint="33"/>
      </w:tcPr>
    </w:tblStylePr>
    <w:tblStylePr w:type="band2Horz">
      <w:tblPr/>
      <w:tcPr>
        <w:shd w:val="clear" w:color="auto" w:fill="F8F8F8"/>
      </w:tcPr>
    </w:tblStyle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3"/>
      </w:numPr>
      <w:contextualSpacing/>
    </w:pPr>
  </w:style>
  <w:style w:type="paragraph" w:styleId="ListBullet2">
    <w:name w:val="List Bullet 2"/>
    <w:basedOn w:val="Normal"/>
    <w:uiPriority w:val="99"/>
    <w:semiHidden/>
    <w:unhideWhenUsed/>
    <w:pPr>
      <w:numPr>
        <w:numId w:val="14"/>
      </w:numPr>
      <w:contextualSpacing/>
    </w:pPr>
  </w:style>
  <w:style w:type="paragraph" w:styleId="ListBullet3">
    <w:name w:val="List Bullet 3"/>
    <w:basedOn w:val="Normal"/>
    <w:uiPriority w:val="99"/>
    <w:semiHidden/>
    <w:unhideWhenUsed/>
    <w:pPr>
      <w:numPr>
        <w:numId w:val="15"/>
      </w:numPr>
      <w:contextualSpacing/>
    </w:pPr>
  </w:style>
  <w:style w:type="paragraph" w:styleId="ListBullet4">
    <w:name w:val="List Bullet 4"/>
    <w:basedOn w:val="Normal"/>
    <w:uiPriority w:val="99"/>
    <w:semiHidden/>
    <w:unhideWhenUsed/>
    <w:pPr>
      <w:numPr>
        <w:numId w:val="16"/>
      </w:numPr>
      <w:contextualSpacing/>
    </w:pPr>
  </w:style>
  <w:style w:type="paragraph" w:styleId="ListNumber">
    <w:name w:val="List Number"/>
    <w:basedOn w:val="Normal"/>
    <w:uiPriority w:val="99"/>
    <w:semiHidden/>
    <w:unhideWhenUsed/>
    <w:pPr>
      <w:numPr>
        <w:numId w:val="17"/>
      </w:numPr>
      <w:contextualSpacing/>
    </w:pPr>
  </w:style>
  <w:style w:type="paragraph" w:styleId="ListNumber2">
    <w:name w:val="List Number 2"/>
    <w:basedOn w:val="Normal"/>
    <w:uiPriority w:val="99"/>
    <w:semiHidden/>
    <w:unhideWhenUsed/>
    <w:pPr>
      <w:numPr>
        <w:numId w:val="18"/>
      </w:numPr>
      <w:contextualSpacing/>
    </w:pPr>
  </w:style>
  <w:style w:type="paragraph" w:styleId="ListNumber3">
    <w:name w:val="List Number 3"/>
    <w:basedOn w:val="Normal"/>
    <w:uiPriority w:val="99"/>
    <w:semiHidden/>
    <w:unhideWhenUsed/>
    <w:pPr>
      <w:numPr>
        <w:numId w:val="19"/>
      </w:numPr>
      <w:contextualSpacing/>
    </w:pPr>
  </w:style>
  <w:style w:type="paragraph" w:styleId="ListNumber4">
    <w:name w:val="List Number 4"/>
    <w:basedOn w:val="Normal"/>
    <w:uiPriority w:val="99"/>
    <w:semiHidden/>
    <w:unhideWhenUsed/>
    <w:pPr>
      <w:numPr>
        <w:numId w:val="20"/>
      </w:numPr>
      <w:contextualSpacing/>
    </w:pPr>
  </w:style>
  <w:style w:type="character" w:styleId="Hyperlink">
    <w:name w:val="Hyperlink"/>
    <w:basedOn w:val="DefaultParagraphFont"/>
    <w:uiPriority w:val="99"/>
    <w:unhideWhenUsed/>
    <w:rPr>
      <w:color w:val="0000FF" w:themeColor="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character" w:customStyle="1" w:styleId="st">
    <w:name w:val="st"/>
    <w:basedOn w:val="DefaultParagraphFont"/>
  </w:style>
  <w:style w:type="character" w:styleId="Emphasis">
    <w:name w:val="Emphasis"/>
    <w:basedOn w:val="DefaultParagraphFont"/>
    <w:uiPriority w:val="20"/>
    <w:qFormat/>
    <w:rPr>
      <w:i/>
      <w:iCs/>
    </w:rPr>
  </w:style>
  <w:style w:type="paragraph" w:styleId="Header">
    <w:name w:val="header"/>
    <w:basedOn w:val="Normal"/>
    <w:link w:val="HeaderChar"/>
    <w:uiPriority w:val="99"/>
    <w:unhideWhenUsed/>
    <w:rsid w:val="0075503A"/>
    <w:pPr>
      <w:tabs>
        <w:tab w:val="center" w:pos="4535"/>
        <w:tab w:val="right" w:pos="9071"/>
      </w:tabs>
      <w:spacing w:before="0"/>
    </w:pPr>
  </w:style>
  <w:style w:type="character" w:customStyle="1" w:styleId="HeaderChar">
    <w:name w:val="Header Char"/>
    <w:basedOn w:val="DefaultParagraphFont"/>
    <w:link w:val="Header"/>
    <w:uiPriority w:val="99"/>
    <w:rsid w:val="0075503A"/>
    <w:rPr>
      <w:rFonts w:ascii="Times New Roman" w:hAnsi="Times New Roman" w:cs="Times New Roman"/>
      <w:sz w:val="24"/>
      <w:shd w:val="clear" w:color="auto" w:fill="auto"/>
      <w:lang w:val="en-GB"/>
    </w:rPr>
  </w:style>
  <w:style w:type="paragraph" w:styleId="Footer">
    <w:name w:val="footer"/>
    <w:basedOn w:val="Normal"/>
    <w:link w:val="FooterChar"/>
    <w:uiPriority w:val="99"/>
    <w:unhideWhenUsed/>
    <w:rsid w:val="0075503A"/>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sid w:val="0075503A"/>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rsid w:val="0075503A"/>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sid w:val="0075503A"/>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sid w:val="0075503A"/>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sid w:val="0075503A"/>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sid w:val="0075503A"/>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sid w:val="0075503A"/>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rsid w:val="0075503A"/>
    <w:pPr>
      <w:spacing w:after="240"/>
      <w:jc w:val="center"/>
    </w:pPr>
    <w:rPr>
      <w:b/>
      <w:sz w:val="28"/>
    </w:rPr>
  </w:style>
  <w:style w:type="paragraph" w:styleId="TOC1">
    <w:name w:val="toc 1"/>
    <w:basedOn w:val="Normal"/>
    <w:next w:val="Normal"/>
    <w:uiPriority w:val="39"/>
    <w:semiHidden/>
    <w:unhideWhenUsed/>
    <w:rsid w:val="0075503A"/>
    <w:pPr>
      <w:tabs>
        <w:tab w:val="right" w:leader="dot" w:pos="9071"/>
      </w:tabs>
      <w:spacing w:before="60"/>
      <w:ind w:left="850" w:hanging="850"/>
      <w:jc w:val="left"/>
    </w:pPr>
  </w:style>
  <w:style w:type="paragraph" w:styleId="TOC2">
    <w:name w:val="toc 2"/>
    <w:basedOn w:val="Normal"/>
    <w:next w:val="Normal"/>
    <w:uiPriority w:val="39"/>
    <w:semiHidden/>
    <w:unhideWhenUsed/>
    <w:rsid w:val="0075503A"/>
    <w:pPr>
      <w:tabs>
        <w:tab w:val="right" w:leader="dot" w:pos="9071"/>
      </w:tabs>
      <w:spacing w:before="60"/>
      <w:ind w:left="850" w:hanging="850"/>
      <w:jc w:val="left"/>
    </w:pPr>
  </w:style>
  <w:style w:type="paragraph" w:styleId="TOC3">
    <w:name w:val="toc 3"/>
    <w:basedOn w:val="Normal"/>
    <w:next w:val="Normal"/>
    <w:uiPriority w:val="39"/>
    <w:semiHidden/>
    <w:unhideWhenUsed/>
    <w:rsid w:val="0075503A"/>
    <w:pPr>
      <w:tabs>
        <w:tab w:val="right" w:leader="dot" w:pos="9071"/>
      </w:tabs>
      <w:spacing w:before="60"/>
      <w:ind w:left="850" w:hanging="850"/>
      <w:jc w:val="left"/>
    </w:pPr>
  </w:style>
  <w:style w:type="paragraph" w:styleId="TOC4">
    <w:name w:val="toc 4"/>
    <w:basedOn w:val="Normal"/>
    <w:next w:val="Normal"/>
    <w:uiPriority w:val="39"/>
    <w:semiHidden/>
    <w:unhideWhenUsed/>
    <w:rsid w:val="0075503A"/>
    <w:pPr>
      <w:tabs>
        <w:tab w:val="right" w:leader="dot" w:pos="9071"/>
      </w:tabs>
      <w:spacing w:before="60"/>
      <w:ind w:left="850" w:hanging="850"/>
      <w:jc w:val="left"/>
    </w:pPr>
  </w:style>
  <w:style w:type="paragraph" w:styleId="TOC5">
    <w:name w:val="toc 5"/>
    <w:basedOn w:val="Normal"/>
    <w:next w:val="Normal"/>
    <w:uiPriority w:val="39"/>
    <w:semiHidden/>
    <w:unhideWhenUsed/>
    <w:rsid w:val="0075503A"/>
    <w:pPr>
      <w:tabs>
        <w:tab w:val="right" w:leader="dot" w:pos="9071"/>
      </w:tabs>
      <w:spacing w:before="300"/>
      <w:jc w:val="left"/>
    </w:pPr>
  </w:style>
  <w:style w:type="paragraph" w:styleId="TOC6">
    <w:name w:val="toc 6"/>
    <w:basedOn w:val="Normal"/>
    <w:next w:val="Normal"/>
    <w:uiPriority w:val="39"/>
    <w:semiHidden/>
    <w:unhideWhenUsed/>
    <w:rsid w:val="0075503A"/>
    <w:pPr>
      <w:tabs>
        <w:tab w:val="right" w:leader="dot" w:pos="9071"/>
      </w:tabs>
      <w:spacing w:before="240"/>
      <w:jc w:val="left"/>
    </w:pPr>
  </w:style>
  <w:style w:type="paragraph" w:styleId="TOC7">
    <w:name w:val="toc 7"/>
    <w:basedOn w:val="Normal"/>
    <w:next w:val="Normal"/>
    <w:uiPriority w:val="39"/>
    <w:semiHidden/>
    <w:unhideWhenUsed/>
    <w:rsid w:val="0075503A"/>
    <w:pPr>
      <w:tabs>
        <w:tab w:val="right" w:leader="dot" w:pos="9071"/>
      </w:tabs>
      <w:spacing w:before="180"/>
      <w:jc w:val="left"/>
    </w:pPr>
  </w:style>
  <w:style w:type="paragraph" w:styleId="TOC8">
    <w:name w:val="toc 8"/>
    <w:basedOn w:val="Normal"/>
    <w:next w:val="Normal"/>
    <w:uiPriority w:val="39"/>
    <w:semiHidden/>
    <w:unhideWhenUsed/>
    <w:rsid w:val="0075503A"/>
    <w:pPr>
      <w:tabs>
        <w:tab w:val="right" w:leader="dot" w:pos="9071"/>
      </w:tabs>
      <w:jc w:val="left"/>
    </w:pPr>
  </w:style>
  <w:style w:type="paragraph" w:styleId="TOC9">
    <w:name w:val="toc 9"/>
    <w:basedOn w:val="Normal"/>
    <w:next w:val="Normal"/>
    <w:uiPriority w:val="39"/>
    <w:semiHidden/>
    <w:unhideWhenUsed/>
    <w:rsid w:val="0075503A"/>
    <w:pPr>
      <w:tabs>
        <w:tab w:val="right" w:leader="dot" w:pos="9071"/>
      </w:tabs>
    </w:pPr>
  </w:style>
  <w:style w:type="paragraph" w:customStyle="1" w:styleId="HeaderLandscape">
    <w:name w:val="HeaderLandscape"/>
    <w:basedOn w:val="Normal"/>
    <w:rsid w:val="0075503A"/>
    <w:pPr>
      <w:tabs>
        <w:tab w:val="center" w:pos="7285"/>
        <w:tab w:val="right" w:pos="14003"/>
      </w:tabs>
      <w:spacing w:before="0"/>
    </w:pPr>
  </w:style>
  <w:style w:type="paragraph" w:customStyle="1" w:styleId="FooterLandscape">
    <w:name w:val="FooterLandscape"/>
    <w:basedOn w:val="Normal"/>
    <w:rsid w:val="0075503A"/>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sid w:val="0075503A"/>
    <w:rPr>
      <w:shd w:val="clear" w:color="auto" w:fill="auto"/>
      <w:vertAlign w:val="superscript"/>
    </w:rPr>
  </w:style>
  <w:style w:type="paragraph" w:customStyle="1" w:styleId="Text1">
    <w:name w:val="Text 1"/>
    <w:basedOn w:val="Normal"/>
    <w:rsid w:val="0075503A"/>
    <w:pPr>
      <w:ind w:left="850"/>
    </w:pPr>
  </w:style>
  <w:style w:type="paragraph" w:customStyle="1" w:styleId="Text2">
    <w:name w:val="Text 2"/>
    <w:basedOn w:val="Normal"/>
    <w:rsid w:val="0075503A"/>
    <w:pPr>
      <w:ind w:left="1417"/>
    </w:pPr>
  </w:style>
  <w:style w:type="paragraph" w:customStyle="1" w:styleId="Text3">
    <w:name w:val="Text 3"/>
    <w:basedOn w:val="Normal"/>
    <w:rsid w:val="0075503A"/>
    <w:pPr>
      <w:ind w:left="1984"/>
    </w:pPr>
  </w:style>
  <w:style w:type="paragraph" w:customStyle="1" w:styleId="Text4">
    <w:name w:val="Text 4"/>
    <w:basedOn w:val="Normal"/>
    <w:rsid w:val="0075503A"/>
    <w:pPr>
      <w:ind w:left="2551"/>
    </w:pPr>
  </w:style>
  <w:style w:type="paragraph" w:customStyle="1" w:styleId="NormalCentered">
    <w:name w:val="Normal Centered"/>
    <w:basedOn w:val="Normal"/>
    <w:rsid w:val="0075503A"/>
    <w:pPr>
      <w:jc w:val="center"/>
    </w:pPr>
  </w:style>
  <w:style w:type="paragraph" w:customStyle="1" w:styleId="NormalLeft">
    <w:name w:val="Normal Left"/>
    <w:basedOn w:val="Normal"/>
    <w:rsid w:val="0075503A"/>
    <w:pPr>
      <w:jc w:val="left"/>
    </w:pPr>
  </w:style>
  <w:style w:type="paragraph" w:customStyle="1" w:styleId="NormalRight">
    <w:name w:val="Normal Right"/>
    <w:basedOn w:val="Normal"/>
    <w:rsid w:val="0075503A"/>
    <w:pPr>
      <w:jc w:val="right"/>
    </w:pPr>
  </w:style>
  <w:style w:type="paragraph" w:customStyle="1" w:styleId="QuotedText">
    <w:name w:val="Quoted Text"/>
    <w:basedOn w:val="Normal"/>
    <w:rsid w:val="0075503A"/>
    <w:pPr>
      <w:ind w:left="1417"/>
    </w:pPr>
  </w:style>
  <w:style w:type="paragraph" w:customStyle="1" w:styleId="Point0">
    <w:name w:val="Point 0"/>
    <w:basedOn w:val="Normal"/>
    <w:rsid w:val="0075503A"/>
    <w:pPr>
      <w:ind w:left="850" w:hanging="850"/>
    </w:pPr>
  </w:style>
  <w:style w:type="paragraph" w:customStyle="1" w:styleId="Point1">
    <w:name w:val="Point 1"/>
    <w:basedOn w:val="Normal"/>
    <w:rsid w:val="0075503A"/>
    <w:pPr>
      <w:ind w:left="1417" w:hanging="567"/>
    </w:pPr>
  </w:style>
  <w:style w:type="paragraph" w:customStyle="1" w:styleId="Point2">
    <w:name w:val="Point 2"/>
    <w:basedOn w:val="Normal"/>
    <w:rsid w:val="0075503A"/>
    <w:pPr>
      <w:ind w:left="1984" w:hanging="567"/>
    </w:pPr>
  </w:style>
  <w:style w:type="paragraph" w:customStyle="1" w:styleId="Point3">
    <w:name w:val="Point 3"/>
    <w:basedOn w:val="Normal"/>
    <w:rsid w:val="0075503A"/>
    <w:pPr>
      <w:ind w:left="2551" w:hanging="567"/>
    </w:pPr>
  </w:style>
  <w:style w:type="paragraph" w:customStyle="1" w:styleId="Point4">
    <w:name w:val="Point 4"/>
    <w:basedOn w:val="Normal"/>
    <w:rsid w:val="0075503A"/>
    <w:pPr>
      <w:ind w:left="3118" w:hanging="567"/>
    </w:pPr>
  </w:style>
  <w:style w:type="paragraph" w:customStyle="1" w:styleId="Tiret0">
    <w:name w:val="Tiret 0"/>
    <w:basedOn w:val="Point0"/>
    <w:rsid w:val="0075503A"/>
    <w:pPr>
      <w:numPr>
        <w:numId w:val="39"/>
      </w:numPr>
    </w:pPr>
  </w:style>
  <w:style w:type="paragraph" w:customStyle="1" w:styleId="Tiret1">
    <w:name w:val="Tiret 1"/>
    <w:basedOn w:val="Point1"/>
    <w:rsid w:val="0075503A"/>
    <w:pPr>
      <w:numPr>
        <w:numId w:val="40"/>
      </w:numPr>
    </w:pPr>
  </w:style>
  <w:style w:type="paragraph" w:customStyle="1" w:styleId="Tiret2">
    <w:name w:val="Tiret 2"/>
    <w:basedOn w:val="Point2"/>
    <w:rsid w:val="0075503A"/>
    <w:pPr>
      <w:numPr>
        <w:numId w:val="41"/>
      </w:numPr>
    </w:pPr>
  </w:style>
  <w:style w:type="paragraph" w:customStyle="1" w:styleId="Tiret3">
    <w:name w:val="Tiret 3"/>
    <w:basedOn w:val="Point3"/>
    <w:rsid w:val="0075503A"/>
    <w:pPr>
      <w:numPr>
        <w:numId w:val="42"/>
      </w:numPr>
    </w:pPr>
  </w:style>
  <w:style w:type="paragraph" w:customStyle="1" w:styleId="Tiret4">
    <w:name w:val="Tiret 4"/>
    <w:basedOn w:val="Point4"/>
    <w:rsid w:val="0075503A"/>
    <w:pPr>
      <w:numPr>
        <w:numId w:val="43"/>
      </w:numPr>
    </w:pPr>
  </w:style>
  <w:style w:type="paragraph" w:customStyle="1" w:styleId="PointDouble0">
    <w:name w:val="PointDouble 0"/>
    <w:basedOn w:val="Normal"/>
    <w:rsid w:val="0075503A"/>
    <w:pPr>
      <w:tabs>
        <w:tab w:val="left" w:pos="850"/>
      </w:tabs>
      <w:ind w:left="1417" w:hanging="1417"/>
    </w:pPr>
  </w:style>
  <w:style w:type="paragraph" w:customStyle="1" w:styleId="PointDouble1">
    <w:name w:val="PointDouble 1"/>
    <w:basedOn w:val="Normal"/>
    <w:rsid w:val="0075503A"/>
    <w:pPr>
      <w:tabs>
        <w:tab w:val="left" w:pos="1417"/>
      </w:tabs>
      <w:ind w:left="1984" w:hanging="1134"/>
    </w:pPr>
  </w:style>
  <w:style w:type="paragraph" w:customStyle="1" w:styleId="PointDouble2">
    <w:name w:val="PointDouble 2"/>
    <w:basedOn w:val="Normal"/>
    <w:rsid w:val="0075503A"/>
    <w:pPr>
      <w:tabs>
        <w:tab w:val="left" w:pos="1984"/>
      </w:tabs>
      <w:ind w:left="2551" w:hanging="1134"/>
    </w:pPr>
  </w:style>
  <w:style w:type="paragraph" w:customStyle="1" w:styleId="PointDouble3">
    <w:name w:val="PointDouble 3"/>
    <w:basedOn w:val="Normal"/>
    <w:rsid w:val="0075503A"/>
    <w:pPr>
      <w:tabs>
        <w:tab w:val="left" w:pos="2551"/>
      </w:tabs>
      <w:ind w:left="3118" w:hanging="1134"/>
    </w:pPr>
  </w:style>
  <w:style w:type="paragraph" w:customStyle="1" w:styleId="PointDouble4">
    <w:name w:val="PointDouble 4"/>
    <w:basedOn w:val="Normal"/>
    <w:rsid w:val="0075503A"/>
    <w:pPr>
      <w:tabs>
        <w:tab w:val="left" w:pos="3118"/>
      </w:tabs>
      <w:ind w:left="3685" w:hanging="1134"/>
    </w:pPr>
  </w:style>
  <w:style w:type="paragraph" w:customStyle="1" w:styleId="PointTriple0">
    <w:name w:val="PointTriple 0"/>
    <w:basedOn w:val="Normal"/>
    <w:rsid w:val="0075503A"/>
    <w:pPr>
      <w:tabs>
        <w:tab w:val="left" w:pos="850"/>
        <w:tab w:val="left" w:pos="1417"/>
      </w:tabs>
      <w:ind w:left="1984" w:hanging="1984"/>
    </w:pPr>
  </w:style>
  <w:style w:type="paragraph" w:customStyle="1" w:styleId="PointTriple1">
    <w:name w:val="PointTriple 1"/>
    <w:basedOn w:val="Normal"/>
    <w:rsid w:val="0075503A"/>
    <w:pPr>
      <w:tabs>
        <w:tab w:val="left" w:pos="1417"/>
        <w:tab w:val="left" w:pos="1984"/>
      </w:tabs>
      <w:ind w:left="2551" w:hanging="1701"/>
    </w:pPr>
  </w:style>
  <w:style w:type="paragraph" w:customStyle="1" w:styleId="PointTriple2">
    <w:name w:val="PointTriple 2"/>
    <w:basedOn w:val="Normal"/>
    <w:rsid w:val="0075503A"/>
    <w:pPr>
      <w:tabs>
        <w:tab w:val="left" w:pos="1984"/>
        <w:tab w:val="left" w:pos="2551"/>
      </w:tabs>
      <w:ind w:left="3118" w:hanging="1701"/>
    </w:pPr>
  </w:style>
  <w:style w:type="paragraph" w:customStyle="1" w:styleId="PointTriple3">
    <w:name w:val="PointTriple 3"/>
    <w:basedOn w:val="Normal"/>
    <w:rsid w:val="0075503A"/>
    <w:pPr>
      <w:tabs>
        <w:tab w:val="left" w:pos="2551"/>
        <w:tab w:val="left" w:pos="3118"/>
      </w:tabs>
      <w:ind w:left="3685" w:hanging="1701"/>
    </w:pPr>
  </w:style>
  <w:style w:type="paragraph" w:customStyle="1" w:styleId="PointTriple4">
    <w:name w:val="PointTriple 4"/>
    <w:basedOn w:val="Normal"/>
    <w:rsid w:val="0075503A"/>
    <w:pPr>
      <w:tabs>
        <w:tab w:val="left" w:pos="3118"/>
        <w:tab w:val="left" w:pos="3685"/>
      </w:tabs>
      <w:ind w:left="4252" w:hanging="1701"/>
    </w:pPr>
  </w:style>
  <w:style w:type="paragraph" w:customStyle="1" w:styleId="NumPar1">
    <w:name w:val="NumPar 1"/>
    <w:basedOn w:val="Normal"/>
    <w:next w:val="Text1"/>
    <w:rsid w:val="0075503A"/>
    <w:pPr>
      <w:numPr>
        <w:numId w:val="44"/>
      </w:numPr>
    </w:pPr>
  </w:style>
  <w:style w:type="paragraph" w:customStyle="1" w:styleId="NumPar2">
    <w:name w:val="NumPar 2"/>
    <w:basedOn w:val="Normal"/>
    <w:next w:val="Text1"/>
    <w:rsid w:val="0075503A"/>
    <w:pPr>
      <w:numPr>
        <w:ilvl w:val="1"/>
        <w:numId w:val="44"/>
      </w:numPr>
    </w:pPr>
  </w:style>
  <w:style w:type="paragraph" w:customStyle="1" w:styleId="NumPar3">
    <w:name w:val="NumPar 3"/>
    <w:basedOn w:val="Normal"/>
    <w:next w:val="Text1"/>
    <w:rsid w:val="0075503A"/>
    <w:pPr>
      <w:numPr>
        <w:ilvl w:val="2"/>
        <w:numId w:val="44"/>
      </w:numPr>
    </w:pPr>
  </w:style>
  <w:style w:type="paragraph" w:customStyle="1" w:styleId="NumPar4">
    <w:name w:val="NumPar 4"/>
    <w:basedOn w:val="Normal"/>
    <w:next w:val="Text1"/>
    <w:rsid w:val="0075503A"/>
    <w:pPr>
      <w:numPr>
        <w:ilvl w:val="3"/>
        <w:numId w:val="44"/>
      </w:numPr>
    </w:pPr>
  </w:style>
  <w:style w:type="paragraph" w:customStyle="1" w:styleId="ManualNumPar1">
    <w:name w:val="Manual NumPar 1"/>
    <w:basedOn w:val="Normal"/>
    <w:next w:val="Text1"/>
    <w:rsid w:val="0075503A"/>
    <w:pPr>
      <w:ind w:left="850" w:hanging="850"/>
    </w:pPr>
  </w:style>
  <w:style w:type="paragraph" w:customStyle="1" w:styleId="ManualNumPar2">
    <w:name w:val="Manual NumPar 2"/>
    <w:basedOn w:val="Normal"/>
    <w:next w:val="Text1"/>
    <w:rsid w:val="0075503A"/>
    <w:pPr>
      <w:ind w:left="850" w:hanging="850"/>
    </w:pPr>
  </w:style>
  <w:style w:type="paragraph" w:customStyle="1" w:styleId="ManualNumPar3">
    <w:name w:val="Manual NumPar 3"/>
    <w:basedOn w:val="Normal"/>
    <w:next w:val="Text1"/>
    <w:rsid w:val="0075503A"/>
    <w:pPr>
      <w:ind w:left="850" w:hanging="850"/>
    </w:pPr>
  </w:style>
  <w:style w:type="paragraph" w:customStyle="1" w:styleId="ManualNumPar4">
    <w:name w:val="Manual NumPar 4"/>
    <w:basedOn w:val="Normal"/>
    <w:next w:val="Text1"/>
    <w:rsid w:val="0075503A"/>
    <w:pPr>
      <w:ind w:left="850" w:hanging="850"/>
    </w:pPr>
  </w:style>
  <w:style w:type="paragraph" w:customStyle="1" w:styleId="QuotedNumPar">
    <w:name w:val="Quoted NumPar"/>
    <w:basedOn w:val="Normal"/>
    <w:rsid w:val="0075503A"/>
    <w:pPr>
      <w:ind w:left="1417" w:hanging="567"/>
    </w:pPr>
  </w:style>
  <w:style w:type="paragraph" w:customStyle="1" w:styleId="ManualHeading1">
    <w:name w:val="Manual Heading 1"/>
    <w:basedOn w:val="Normal"/>
    <w:next w:val="Text1"/>
    <w:rsid w:val="0075503A"/>
    <w:pPr>
      <w:keepNext/>
      <w:tabs>
        <w:tab w:val="left" w:pos="850"/>
      </w:tabs>
      <w:spacing w:before="360"/>
      <w:ind w:left="850" w:hanging="850"/>
      <w:outlineLvl w:val="0"/>
    </w:pPr>
    <w:rPr>
      <w:b/>
      <w:smallCaps/>
    </w:rPr>
  </w:style>
  <w:style w:type="paragraph" w:customStyle="1" w:styleId="ManualHeading2">
    <w:name w:val="Manual Heading 2"/>
    <w:basedOn w:val="Normal"/>
    <w:next w:val="Text1"/>
    <w:rsid w:val="0075503A"/>
    <w:pPr>
      <w:keepNext/>
      <w:tabs>
        <w:tab w:val="left" w:pos="850"/>
      </w:tabs>
      <w:ind w:left="850" w:hanging="850"/>
      <w:outlineLvl w:val="1"/>
    </w:pPr>
    <w:rPr>
      <w:b/>
    </w:rPr>
  </w:style>
  <w:style w:type="paragraph" w:customStyle="1" w:styleId="ManualHeading3">
    <w:name w:val="Manual Heading 3"/>
    <w:basedOn w:val="Normal"/>
    <w:next w:val="Text1"/>
    <w:rsid w:val="0075503A"/>
    <w:pPr>
      <w:keepNext/>
      <w:tabs>
        <w:tab w:val="left" w:pos="850"/>
      </w:tabs>
      <w:ind w:left="850" w:hanging="850"/>
      <w:outlineLvl w:val="2"/>
    </w:pPr>
    <w:rPr>
      <w:i/>
    </w:rPr>
  </w:style>
  <w:style w:type="paragraph" w:customStyle="1" w:styleId="ManualHeading4">
    <w:name w:val="Manual Heading 4"/>
    <w:basedOn w:val="Normal"/>
    <w:next w:val="Text1"/>
    <w:rsid w:val="0075503A"/>
    <w:pPr>
      <w:keepNext/>
      <w:tabs>
        <w:tab w:val="left" w:pos="850"/>
      </w:tabs>
      <w:ind w:left="850" w:hanging="850"/>
      <w:outlineLvl w:val="3"/>
    </w:pPr>
  </w:style>
  <w:style w:type="paragraph" w:customStyle="1" w:styleId="ChapterTitle">
    <w:name w:val="ChapterTitle"/>
    <w:basedOn w:val="Normal"/>
    <w:next w:val="Normal"/>
    <w:rsid w:val="0075503A"/>
    <w:pPr>
      <w:keepNext/>
      <w:spacing w:after="360"/>
      <w:jc w:val="center"/>
    </w:pPr>
    <w:rPr>
      <w:b/>
      <w:sz w:val="32"/>
    </w:rPr>
  </w:style>
  <w:style w:type="paragraph" w:customStyle="1" w:styleId="PartTitle">
    <w:name w:val="PartTitle"/>
    <w:basedOn w:val="Normal"/>
    <w:next w:val="ChapterTitle"/>
    <w:rsid w:val="0075503A"/>
    <w:pPr>
      <w:keepNext/>
      <w:pageBreakBefore/>
      <w:spacing w:after="360"/>
      <w:jc w:val="center"/>
    </w:pPr>
    <w:rPr>
      <w:b/>
      <w:sz w:val="36"/>
    </w:rPr>
  </w:style>
  <w:style w:type="paragraph" w:customStyle="1" w:styleId="SectionTitle">
    <w:name w:val="SectionTitle"/>
    <w:basedOn w:val="Normal"/>
    <w:next w:val="Heading1"/>
    <w:rsid w:val="0075503A"/>
    <w:pPr>
      <w:keepNext/>
      <w:spacing w:after="360"/>
      <w:jc w:val="center"/>
    </w:pPr>
    <w:rPr>
      <w:b/>
      <w:smallCaps/>
      <w:sz w:val="28"/>
    </w:rPr>
  </w:style>
  <w:style w:type="paragraph" w:customStyle="1" w:styleId="TableTitle">
    <w:name w:val="Table Title"/>
    <w:basedOn w:val="Normal"/>
    <w:next w:val="Normal"/>
    <w:rsid w:val="0075503A"/>
    <w:pPr>
      <w:jc w:val="center"/>
    </w:pPr>
    <w:rPr>
      <w:b/>
    </w:rPr>
  </w:style>
  <w:style w:type="character" w:customStyle="1" w:styleId="Marker">
    <w:name w:val="Marker"/>
    <w:basedOn w:val="DefaultParagraphFont"/>
    <w:rsid w:val="0075503A"/>
    <w:rPr>
      <w:color w:val="0000FF"/>
      <w:shd w:val="clear" w:color="auto" w:fill="auto"/>
    </w:rPr>
  </w:style>
  <w:style w:type="character" w:customStyle="1" w:styleId="Marker1">
    <w:name w:val="Marker1"/>
    <w:basedOn w:val="DefaultParagraphFont"/>
    <w:rsid w:val="0075503A"/>
    <w:rPr>
      <w:color w:val="008000"/>
      <w:shd w:val="clear" w:color="auto" w:fill="auto"/>
    </w:rPr>
  </w:style>
  <w:style w:type="character" w:customStyle="1" w:styleId="Marker2">
    <w:name w:val="Marker2"/>
    <w:basedOn w:val="DefaultParagraphFont"/>
    <w:rsid w:val="0075503A"/>
    <w:rPr>
      <w:color w:val="FF0000"/>
      <w:shd w:val="clear" w:color="auto" w:fill="auto"/>
    </w:rPr>
  </w:style>
  <w:style w:type="paragraph" w:customStyle="1" w:styleId="Point0number">
    <w:name w:val="Point 0 (number)"/>
    <w:basedOn w:val="Normal"/>
    <w:rsid w:val="0075503A"/>
    <w:pPr>
      <w:numPr>
        <w:numId w:val="46"/>
      </w:numPr>
    </w:pPr>
  </w:style>
  <w:style w:type="paragraph" w:customStyle="1" w:styleId="Point1number">
    <w:name w:val="Point 1 (number)"/>
    <w:basedOn w:val="Normal"/>
    <w:rsid w:val="0075503A"/>
    <w:pPr>
      <w:numPr>
        <w:ilvl w:val="2"/>
        <w:numId w:val="46"/>
      </w:numPr>
    </w:pPr>
  </w:style>
  <w:style w:type="paragraph" w:customStyle="1" w:styleId="Point2number">
    <w:name w:val="Point 2 (number)"/>
    <w:basedOn w:val="Normal"/>
    <w:rsid w:val="0075503A"/>
    <w:pPr>
      <w:numPr>
        <w:ilvl w:val="4"/>
        <w:numId w:val="46"/>
      </w:numPr>
    </w:pPr>
  </w:style>
  <w:style w:type="paragraph" w:customStyle="1" w:styleId="Point3number">
    <w:name w:val="Point 3 (number)"/>
    <w:basedOn w:val="Normal"/>
    <w:rsid w:val="0075503A"/>
    <w:pPr>
      <w:numPr>
        <w:ilvl w:val="6"/>
        <w:numId w:val="46"/>
      </w:numPr>
    </w:pPr>
  </w:style>
  <w:style w:type="paragraph" w:customStyle="1" w:styleId="Point0letter">
    <w:name w:val="Point 0 (letter)"/>
    <w:basedOn w:val="Normal"/>
    <w:rsid w:val="0075503A"/>
    <w:pPr>
      <w:numPr>
        <w:ilvl w:val="1"/>
        <w:numId w:val="46"/>
      </w:numPr>
    </w:pPr>
  </w:style>
  <w:style w:type="paragraph" w:customStyle="1" w:styleId="Point1letter">
    <w:name w:val="Point 1 (letter)"/>
    <w:basedOn w:val="Normal"/>
    <w:rsid w:val="0075503A"/>
    <w:pPr>
      <w:numPr>
        <w:ilvl w:val="3"/>
        <w:numId w:val="46"/>
      </w:numPr>
    </w:pPr>
  </w:style>
  <w:style w:type="paragraph" w:customStyle="1" w:styleId="Point2letter">
    <w:name w:val="Point 2 (letter)"/>
    <w:basedOn w:val="Normal"/>
    <w:rsid w:val="0075503A"/>
    <w:pPr>
      <w:numPr>
        <w:ilvl w:val="5"/>
        <w:numId w:val="46"/>
      </w:numPr>
    </w:pPr>
  </w:style>
  <w:style w:type="paragraph" w:customStyle="1" w:styleId="Point3letter">
    <w:name w:val="Point 3 (letter)"/>
    <w:basedOn w:val="Normal"/>
    <w:rsid w:val="0075503A"/>
    <w:pPr>
      <w:numPr>
        <w:ilvl w:val="7"/>
        <w:numId w:val="46"/>
      </w:numPr>
    </w:pPr>
  </w:style>
  <w:style w:type="paragraph" w:customStyle="1" w:styleId="Point4letter">
    <w:name w:val="Point 4 (letter)"/>
    <w:basedOn w:val="Normal"/>
    <w:rsid w:val="0075503A"/>
    <w:pPr>
      <w:numPr>
        <w:ilvl w:val="8"/>
        <w:numId w:val="46"/>
      </w:numPr>
    </w:pPr>
  </w:style>
  <w:style w:type="paragraph" w:customStyle="1" w:styleId="Bullet0">
    <w:name w:val="Bullet 0"/>
    <w:basedOn w:val="Normal"/>
    <w:rsid w:val="0075503A"/>
    <w:pPr>
      <w:numPr>
        <w:numId w:val="47"/>
      </w:numPr>
    </w:pPr>
  </w:style>
  <w:style w:type="paragraph" w:customStyle="1" w:styleId="Bullet1">
    <w:name w:val="Bullet 1"/>
    <w:basedOn w:val="Normal"/>
    <w:rsid w:val="0075503A"/>
    <w:pPr>
      <w:numPr>
        <w:numId w:val="48"/>
      </w:numPr>
    </w:pPr>
  </w:style>
  <w:style w:type="paragraph" w:customStyle="1" w:styleId="Bullet2">
    <w:name w:val="Bullet 2"/>
    <w:basedOn w:val="Normal"/>
    <w:rsid w:val="0075503A"/>
    <w:pPr>
      <w:numPr>
        <w:numId w:val="49"/>
      </w:numPr>
    </w:pPr>
  </w:style>
  <w:style w:type="paragraph" w:customStyle="1" w:styleId="Bullet3">
    <w:name w:val="Bullet 3"/>
    <w:basedOn w:val="Normal"/>
    <w:rsid w:val="0075503A"/>
    <w:pPr>
      <w:numPr>
        <w:numId w:val="50"/>
      </w:numPr>
    </w:pPr>
  </w:style>
  <w:style w:type="paragraph" w:customStyle="1" w:styleId="Bullet4">
    <w:name w:val="Bullet 4"/>
    <w:basedOn w:val="Normal"/>
    <w:rsid w:val="0075503A"/>
    <w:pPr>
      <w:numPr>
        <w:numId w:val="51"/>
      </w:numPr>
    </w:pPr>
  </w:style>
  <w:style w:type="paragraph" w:customStyle="1" w:styleId="Annexetitreexpos">
    <w:name w:val="Annexe titre (exposé)"/>
    <w:basedOn w:val="Normal"/>
    <w:next w:val="Normal"/>
    <w:rsid w:val="0075503A"/>
    <w:pPr>
      <w:jc w:val="center"/>
    </w:pPr>
    <w:rPr>
      <w:b/>
      <w:u w:val="single"/>
    </w:rPr>
  </w:style>
  <w:style w:type="paragraph" w:customStyle="1" w:styleId="Annexetitre">
    <w:name w:val="Annexe titre"/>
    <w:basedOn w:val="Normal"/>
    <w:next w:val="Normal"/>
    <w:rsid w:val="0075503A"/>
    <w:pPr>
      <w:jc w:val="center"/>
    </w:pPr>
    <w:rPr>
      <w:b/>
      <w:u w:val="single"/>
    </w:rPr>
  </w:style>
  <w:style w:type="paragraph" w:customStyle="1" w:styleId="Annexetitrefichefinancire">
    <w:name w:val="Annexe titre (fiche financière)"/>
    <w:basedOn w:val="Normal"/>
    <w:next w:val="Normal"/>
    <w:rsid w:val="0075503A"/>
    <w:pPr>
      <w:jc w:val="center"/>
    </w:pPr>
    <w:rPr>
      <w:b/>
      <w:u w:val="single"/>
    </w:rPr>
  </w:style>
  <w:style w:type="paragraph" w:customStyle="1" w:styleId="Applicationdirecte">
    <w:name w:val="Application directe"/>
    <w:basedOn w:val="Normal"/>
    <w:next w:val="Fait"/>
    <w:rsid w:val="0075503A"/>
    <w:pPr>
      <w:spacing w:before="480"/>
    </w:pPr>
  </w:style>
  <w:style w:type="paragraph" w:customStyle="1" w:styleId="Avertissementtitre">
    <w:name w:val="Avertissement titre"/>
    <w:basedOn w:val="Normal"/>
    <w:next w:val="Normal"/>
    <w:rsid w:val="0075503A"/>
    <w:pPr>
      <w:keepNext/>
      <w:spacing w:before="480"/>
    </w:pPr>
    <w:rPr>
      <w:u w:val="single"/>
    </w:rPr>
  </w:style>
  <w:style w:type="paragraph" w:customStyle="1" w:styleId="Confidence">
    <w:name w:val="Confidence"/>
    <w:basedOn w:val="Normal"/>
    <w:next w:val="Normal"/>
    <w:rsid w:val="0075503A"/>
    <w:pPr>
      <w:spacing w:before="360"/>
      <w:jc w:val="center"/>
    </w:pPr>
  </w:style>
  <w:style w:type="paragraph" w:customStyle="1" w:styleId="Confidentialit">
    <w:name w:val="Confidentialité"/>
    <w:basedOn w:val="Normal"/>
    <w:next w:val="TypedudocumentPagedecouverture"/>
    <w:rsid w:val="0075503A"/>
    <w:pPr>
      <w:spacing w:before="240" w:after="240"/>
      <w:ind w:left="5103"/>
      <w:jc w:val="left"/>
    </w:pPr>
    <w:rPr>
      <w:i/>
      <w:sz w:val="32"/>
    </w:rPr>
  </w:style>
  <w:style w:type="paragraph" w:customStyle="1" w:styleId="Considrant">
    <w:name w:val="Considérant"/>
    <w:basedOn w:val="Normal"/>
    <w:rsid w:val="0075503A"/>
    <w:pPr>
      <w:numPr>
        <w:numId w:val="52"/>
      </w:numPr>
    </w:pPr>
  </w:style>
  <w:style w:type="paragraph" w:customStyle="1" w:styleId="Corrigendum">
    <w:name w:val="Corrigendum"/>
    <w:basedOn w:val="Normal"/>
    <w:next w:val="Normal"/>
    <w:rsid w:val="0075503A"/>
    <w:pPr>
      <w:spacing w:before="0" w:after="240"/>
      <w:jc w:val="left"/>
    </w:pPr>
  </w:style>
  <w:style w:type="paragraph" w:customStyle="1" w:styleId="Datedadoption">
    <w:name w:val="Date d'adoption"/>
    <w:basedOn w:val="Normal"/>
    <w:next w:val="Titreobjet"/>
    <w:rsid w:val="0075503A"/>
    <w:pPr>
      <w:spacing w:before="360" w:after="0"/>
      <w:jc w:val="center"/>
    </w:pPr>
    <w:rPr>
      <w:b/>
    </w:rPr>
  </w:style>
  <w:style w:type="paragraph" w:customStyle="1" w:styleId="Emission">
    <w:name w:val="Emission"/>
    <w:basedOn w:val="Normal"/>
    <w:next w:val="Rfrenceinstitutionnelle"/>
    <w:rsid w:val="0075503A"/>
    <w:pPr>
      <w:spacing w:before="0" w:after="0"/>
      <w:ind w:left="5103"/>
      <w:jc w:val="left"/>
    </w:pPr>
  </w:style>
  <w:style w:type="paragraph" w:customStyle="1" w:styleId="Exposdesmotifstitre">
    <w:name w:val="Exposé des motifs titre"/>
    <w:basedOn w:val="Normal"/>
    <w:next w:val="Normal"/>
    <w:rsid w:val="0075503A"/>
    <w:pPr>
      <w:jc w:val="center"/>
    </w:pPr>
    <w:rPr>
      <w:b/>
      <w:u w:val="single"/>
    </w:rPr>
  </w:style>
  <w:style w:type="paragraph" w:customStyle="1" w:styleId="Fait">
    <w:name w:val="Fait à"/>
    <w:basedOn w:val="Normal"/>
    <w:next w:val="Institutionquisigne"/>
    <w:rsid w:val="0075503A"/>
    <w:pPr>
      <w:keepNext/>
      <w:spacing w:after="0"/>
    </w:pPr>
  </w:style>
  <w:style w:type="paragraph" w:customStyle="1" w:styleId="Formuledadoption">
    <w:name w:val="Formule d'adoption"/>
    <w:basedOn w:val="Normal"/>
    <w:next w:val="Titrearticle"/>
    <w:rsid w:val="0075503A"/>
    <w:pPr>
      <w:keepNext/>
    </w:pPr>
  </w:style>
  <w:style w:type="paragraph" w:customStyle="1" w:styleId="Institutionquiagit">
    <w:name w:val="Institution qui agit"/>
    <w:basedOn w:val="Normal"/>
    <w:next w:val="Normal"/>
    <w:rsid w:val="0075503A"/>
    <w:pPr>
      <w:keepNext/>
      <w:spacing w:before="600"/>
    </w:pPr>
  </w:style>
  <w:style w:type="paragraph" w:customStyle="1" w:styleId="Institutionquisigne">
    <w:name w:val="Institution qui signe"/>
    <w:basedOn w:val="Normal"/>
    <w:next w:val="Personnequisigne"/>
    <w:rsid w:val="0075503A"/>
    <w:pPr>
      <w:keepNext/>
      <w:tabs>
        <w:tab w:val="left" w:pos="4252"/>
      </w:tabs>
      <w:spacing w:before="720" w:after="0"/>
    </w:pPr>
    <w:rPr>
      <w:i/>
    </w:rPr>
  </w:style>
  <w:style w:type="paragraph" w:customStyle="1" w:styleId="Langue">
    <w:name w:val="Langue"/>
    <w:basedOn w:val="Normal"/>
    <w:next w:val="Rfrenceinterne"/>
    <w:rsid w:val="0075503A"/>
    <w:pPr>
      <w:framePr w:wrap="around" w:vAnchor="page" w:hAnchor="text" w:xAlign="center" w:y="14741"/>
      <w:spacing w:before="0" w:after="600"/>
      <w:jc w:val="center"/>
    </w:pPr>
    <w:rPr>
      <w:b/>
      <w:caps/>
    </w:rPr>
  </w:style>
  <w:style w:type="paragraph" w:customStyle="1" w:styleId="ManualConsidrant">
    <w:name w:val="Manual Considérant"/>
    <w:basedOn w:val="Normal"/>
    <w:rsid w:val="0075503A"/>
    <w:pPr>
      <w:ind w:left="709" w:hanging="709"/>
    </w:pPr>
  </w:style>
  <w:style w:type="paragraph" w:customStyle="1" w:styleId="Nomdelinstitution">
    <w:name w:val="Nom de l'institution"/>
    <w:basedOn w:val="Normal"/>
    <w:next w:val="Emission"/>
    <w:rsid w:val="0075503A"/>
    <w:pPr>
      <w:spacing w:before="0" w:after="0"/>
      <w:jc w:val="left"/>
    </w:pPr>
    <w:rPr>
      <w:rFonts w:ascii="Arial" w:hAnsi="Arial" w:cs="Arial"/>
    </w:rPr>
  </w:style>
  <w:style w:type="paragraph" w:customStyle="1" w:styleId="Personnequisigne">
    <w:name w:val="Personne qui signe"/>
    <w:basedOn w:val="Normal"/>
    <w:next w:val="Institutionquisigne"/>
    <w:rsid w:val="0075503A"/>
    <w:pPr>
      <w:tabs>
        <w:tab w:val="left" w:pos="4252"/>
      </w:tabs>
      <w:spacing w:before="0" w:after="0"/>
      <w:jc w:val="left"/>
    </w:pPr>
    <w:rPr>
      <w:i/>
    </w:rPr>
  </w:style>
  <w:style w:type="paragraph" w:customStyle="1" w:styleId="Rfrenceinstitutionnelle">
    <w:name w:val="Référence institutionnelle"/>
    <w:basedOn w:val="Normal"/>
    <w:next w:val="Confidentialit"/>
    <w:rsid w:val="0075503A"/>
    <w:pPr>
      <w:spacing w:before="0" w:after="240"/>
      <w:ind w:left="5103"/>
      <w:jc w:val="left"/>
    </w:pPr>
  </w:style>
  <w:style w:type="paragraph" w:customStyle="1" w:styleId="Rfrenceinterinstitutionnelle">
    <w:name w:val="Référence interinstitutionnelle"/>
    <w:basedOn w:val="Normal"/>
    <w:next w:val="Statut"/>
    <w:rsid w:val="0075503A"/>
    <w:pPr>
      <w:spacing w:before="0" w:after="0"/>
      <w:ind w:left="5103"/>
      <w:jc w:val="left"/>
    </w:pPr>
  </w:style>
  <w:style w:type="paragraph" w:customStyle="1" w:styleId="Rfrenceinterne">
    <w:name w:val="Référence interne"/>
    <w:basedOn w:val="Normal"/>
    <w:next w:val="Rfrenceinterinstitutionnelle"/>
    <w:rsid w:val="0075503A"/>
    <w:pPr>
      <w:spacing w:before="0" w:after="0"/>
      <w:ind w:left="5103"/>
      <w:jc w:val="left"/>
    </w:pPr>
  </w:style>
  <w:style w:type="paragraph" w:customStyle="1" w:styleId="Sous-titreobjet">
    <w:name w:val="Sous-titre objet"/>
    <w:basedOn w:val="Normal"/>
    <w:rsid w:val="0075503A"/>
    <w:pPr>
      <w:spacing w:before="0" w:after="0"/>
      <w:jc w:val="center"/>
    </w:pPr>
    <w:rPr>
      <w:b/>
    </w:rPr>
  </w:style>
  <w:style w:type="paragraph" w:customStyle="1" w:styleId="Statut">
    <w:name w:val="Statut"/>
    <w:basedOn w:val="Normal"/>
    <w:next w:val="Typedudocument"/>
    <w:rsid w:val="0075503A"/>
    <w:pPr>
      <w:spacing w:before="360" w:after="0"/>
      <w:jc w:val="center"/>
    </w:pPr>
  </w:style>
  <w:style w:type="paragraph" w:customStyle="1" w:styleId="Titrearticle">
    <w:name w:val="Titre article"/>
    <w:basedOn w:val="Normal"/>
    <w:next w:val="Normal"/>
    <w:rsid w:val="0075503A"/>
    <w:pPr>
      <w:keepNext/>
      <w:spacing w:before="360"/>
      <w:jc w:val="center"/>
    </w:pPr>
    <w:rPr>
      <w:i/>
    </w:rPr>
  </w:style>
  <w:style w:type="paragraph" w:customStyle="1" w:styleId="Titreobjet">
    <w:name w:val="Titre objet"/>
    <w:basedOn w:val="Normal"/>
    <w:next w:val="Sous-titreobjet"/>
    <w:rsid w:val="0075503A"/>
    <w:pPr>
      <w:spacing w:before="180" w:after="180"/>
      <w:jc w:val="center"/>
    </w:pPr>
    <w:rPr>
      <w:b/>
    </w:rPr>
  </w:style>
  <w:style w:type="paragraph" w:customStyle="1" w:styleId="Typedudocument">
    <w:name w:val="Type du document"/>
    <w:basedOn w:val="Normal"/>
    <w:next w:val="Titreobjet"/>
    <w:rsid w:val="0075503A"/>
    <w:pPr>
      <w:spacing w:before="360" w:after="180"/>
      <w:jc w:val="center"/>
    </w:pPr>
    <w:rPr>
      <w:b/>
    </w:rPr>
  </w:style>
  <w:style w:type="character" w:customStyle="1" w:styleId="Added">
    <w:name w:val="Added"/>
    <w:basedOn w:val="DefaultParagraphFont"/>
    <w:rsid w:val="0075503A"/>
    <w:rPr>
      <w:b/>
      <w:u w:val="single"/>
      <w:shd w:val="clear" w:color="auto" w:fill="auto"/>
    </w:rPr>
  </w:style>
  <w:style w:type="character" w:customStyle="1" w:styleId="Deleted">
    <w:name w:val="Deleted"/>
    <w:basedOn w:val="DefaultParagraphFont"/>
    <w:rsid w:val="0075503A"/>
    <w:rPr>
      <w:strike/>
      <w:dstrike w:val="0"/>
      <w:shd w:val="clear" w:color="auto" w:fill="auto"/>
    </w:rPr>
  </w:style>
  <w:style w:type="paragraph" w:customStyle="1" w:styleId="Address">
    <w:name w:val="Address"/>
    <w:basedOn w:val="Normal"/>
    <w:next w:val="Normal"/>
    <w:rsid w:val="0075503A"/>
    <w:pPr>
      <w:keepLines/>
      <w:spacing w:line="360" w:lineRule="auto"/>
      <w:ind w:left="3402"/>
      <w:jc w:val="left"/>
    </w:pPr>
  </w:style>
  <w:style w:type="paragraph" w:customStyle="1" w:styleId="Objetexterne">
    <w:name w:val="Objet externe"/>
    <w:basedOn w:val="Normal"/>
    <w:next w:val="Normal"/>
    <w:rsid w:val="0075503A"/>
    <w:rPr>
      <w:i/>
      <w:caps/>
    </w:rPr>
  </w:style>
  <w:style w:type="paragraph" w:customStyle="1" w:styleId="Pagedecouverture">
    <w:name w:val="Page de couverture"/>
    <w:basedOn w:val="Normal"/>
    <w:next w:val="Normal"/>
    <w:rsid w:val="0075503A"/>
    <w:pPr>
      <w:spacing w:before="0" w:after="0"/>
    </w:pPr>
  </w:style>
  <w:style w:type="paragraph" w:customStyle="1" w:styleId="Supertitre">
    <w:name w:val="Supertitre"/>
    <w:basedOn w:val="Normal"/>
    <w:next w:val="Normal"/>
    <w:rsid w:val="0075503A"/>
    <w:pPr>
      <w:spacing w:before="0" w:after="600"/>
      <w:jc w:val="center"/>
    </w:pPr>
    <w:rPr>
      <w:b/>
    </w:rPr>
  </w:style>
  <w:style w:type="paragraph" w:customStyle="1" w:styleId="Languesfaisantfoi">
    <w:name w:val="Langues faisant foi"/>
    <w:basedOn w:val="Normal"/>
    <w:next w:val="Normal"/>
    <w:rsid w:val="0075503A"/>
    <w:pPr>
      <w:spacing w:before="360" w:after="0"/>
      <w:jc w:val="center"/>
    </w:pPr>
  </w:style>
  <w:style w:type="paragraph" w:customStyle="1" w:styleId="Rfrencecroise">
    <w:name w:val="Référence croisée"/>
    <w:basedOn w:val="Normal"/>
    <w:rsid w:val="0075503A"/>
    <w:pPr>
      <w:spacing w:before="0" w:after="0"/>
      <w:jc w:val="center"/>
    </w:pPr>
  </w:style>
  <w:style w:type="paragraph" w:customStyle="1" w:styleId="Fichefinanciretitre">
    <w:name w:val="Fiche financière titre"/>
    <w:basedOn w:val="Normal"/>
    <w:next w:val="Normal"/>
    <w:rsid w:val="0075503A"/>
    <w:pPr>
      <w:jc w:val="center"/>
    </w:pPr>
    <w:rPr>
      <w:b/>
      <w:u w:val="single"/>
    </w:rPr>
  </w:style>
  <w:style w:type="paragraph" w:customStyle="1" w:styleId="DatedadoptionPagedecouverture">
    <w:name w:val="Date d'adoption (Page de couverture)"/>
    <w:basedOn w:val="Datedadoption"/>
    <w:next w:val="TitreobjetPagedecouverture"/>
    <w:rsid w:val="0075503A"/>
  </w:style>
  <w:style w:type="paragraph" w:customStyle="1" w:styleId="RfrenceinterinstitutionnellePagedecouverture">
    <w:name w:val="Référence interinstitutionnelle (Page de couverture)"/>
    <w:basedOn w:val="Rfrenceinterinstitutionnelle"/>
    <w:next w:val="Confidentialit"/>
    <w:rsid w:val="0075503A"/>
  </w:style>
  <w:style w:type="paragraph" w:customStyle="1" w:styleId="Sous-titreobjetPagedecouverture">
    <w:name w:val="Sous-titre objet (Page de couverture)"/>
    <w:basedOn w:val="Sous-titreobjet"/>
    <w:rsid w:val="0075503A"/>
  </w:style>
  <w:style w:type="paragraph" w:customStyle="1" w:styleId="StatutPagedecouverture">
    <w:name w:val="Statut (Page de couverture)"/>
    <w:basedOn w:val="Statut"/>
    <w:next w:val="TypedudocumentPagedecouverture"/>
    <w:rsid w:val="0075503A"/>
  </w:style>
  <w:style w:type="paragraph" w:customStyle="1" w:styleId="TitreobjetPagedecouverture">
    <w:name w:val="Titre objet (Page de couverture)"/>
    <w:basedOn w:val="Titreobjet"/>
    <w:next w:val="Sous-titreobjetPagedecouverture"/>
    <w:rsid w:val="0075503A"/>
  </w:style>
  <w:style w:type="paragraph" w:customStyle="1" w:styleId="TypedudocumentPagedecouverture">
    <w:name w:val="Type du document (Page de couverture)"/>
    <w:basedOn w:val="Typedudocument"/>
    <w:next w:val="TitreobjetPagedecouverture"/>
    <w:rsid w:val="0075503A"/>
  </w:style>
  <w:style w:type="paragraph" w:customStyle="1" w:styleId="Volume">
    <w:name w:val="Volume"/>
    <w:basedOn w:val="Normal"/>
    <w:next w:val="Confidentialit"/>
    <w:rsid w:val="0075503A"/>
    <w:pPr>
      <w:spacing w:before="0" w:after="240"/>
      <w:ind w:left="5103"/>
      <w:jc w:val="left"/>
    </w:pPr>
  </w:style>
  <w:style w:type="paragraph" w:customStyle="1" w:styleId="IntrtEEE">
    <w:name w:val="Intérêt EEE"/>
    <w:basedOn w:val="Languesfaisantfoi"/>
    <w:next w:val="Normal"/>
    <w:rsid w:val="0075503A"/>
    <w:pPr>
      <w:spacing w:after="240"/>
    </w:pPr>
  </w:style>
  <w:style w:type="paragraph" w:customStyle="1" w:styleId="Accompagnant">
    <w:name w:val="Accompagnant"/>
    <w:basedOn w:val="Normal"/>
    <w:next w:val="Typeacteprincipal"/>
    <w:rsid w:val="0075503A"/>
    <w:pPr>
      <w:spacing w:before="180" w:after="240"/>
      <w:jc w:val="center"/>
    </w:pPr>
    <w:rPr>
      <w:b/>
    </w:rPr>
  </w:style>
  <w:style w:type="paragraph" w:customStyle="1" w:styleId="Typeacteprincipal">
    <w:name w:val="Type acte principal"/>
    <w:basedOn w:val="Normal"/>
    <w:next w:val="Objetacteprincipal"/>
    <w:rsid w:val="0075503A"/>
    <w:pPr>
      <w:spacing w:before="0" w:after="240"/>
      <w:jc w:val="center"/>
    </w:pPr>
    <w:rPr>
      <w:b/>
    </w:rPr>
  </w:style>
  <w:style w:type="paragraph" w:customStyle="1" w:styleId="Objetacteprincipal">
    <w:name w:val="Objet acte principal"/>
    <w:basedOn w:val="Normal"/>
    <w:next w:val="Titrearticle"/>
    <w:rsid w:val="0075503A"/>
    <w:pPr>
      <w:spacing w:before="0" w:after="360"/>
      <w:jc w:val="center"/>
    </w:pPr>
    <w:rPr>
      <w:b/>
    </w:rPr>
  </w:style>
  <w:style w:type="paragraph" w:customStyle="1" w:styleId="IntrtEEEPagedecouverture">
    <w:name w:val="Intérêt EEE (Page de couverture)"/>
    <w:basedOn w:val="IntrtEEE"/>
    <w:next w:val="Rfrencecroise"/>
    <w:rsid w:val="0075503A"/>
  </w:style>
  <w:style w:type="paragraph" w:customStyle="1" w:styleId="AccompagnantPagedecouverture">
    <w:name w:val="Accompagnant (Page de couverture)"/>
    <w:basedOn w:val="Accompagnant"/>
    <w:next w:val="TypeacteprincipalPagedecouverture"/>
    <w:rsid w:val="0075503A"/>
  </w:style>
  <w:style w:type="paragraph" w:customStyle="1" w:styleId="TypeacteprincipalPagedecouverture">
    <w:name w:val="Type acte principal (Page de couverture)"/>
    <w:basedOn w:val="Typeacteprincipal"/>
    <w:next w:val="ObjetacteprincipalPagedecouverture"/>
    <w:rsid w:val="0075503A"/>
  </w:style>
  <w:style w:type="paragraph" w:customStyle="1" w:styleId="ObjetacteprincipalPagedecouverture">
    <w:name w:val="Objet acte principal (Page de couverture)"/>
    <w:basedOn w:val="Objetacteprincipal"/>
    <w:next w:val="Rfrencecroise"/>
    <w:rsid w:val="0075503A"/>
  </w:style>
  <w:style w:type="paragraph" w:customStyle="1" w:styleId="LanguesfaisantfoiPagedecouverture">
    <w:name w:val="Langues faisant foi (Page de couverture)"/>
    <w:basedOn w:val="Normal"/>
    <w:next w:val="Normal"/>
    <w:rsid w:val="0075503A"/>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lt-LT" w:bidi="lt-L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rsid w:val="0075503A"/>
    <w:pPr>
      <w:keepNext/>
      <w:numPr>
        <w:numId w:val="4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rsid w:val="0075503A"/>
    <w:pPr>
      <w:keepNext/>
      <w:numPr>
        <w:ilvl w:val="1"/>
        <w:numId w:val="4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rsid w:val="0075503A"/>
    <w:pPr>
      <w:keepNext/>
      <w:numPr>
        <w:ilvl w:val="2"/>
        <w:numId w:val="45"/>
      </w:numPr>
      <w:outlineLvl w:val="2"/>
    </w:pPr>
    <w:rPr>
      <w:rFonts w:eastAsiaTheme="majorEastAsia"/>
      <w:bCs/>
      <w:i/>
    </w:rPr>
  </w:style>
  <w:style w:type="paragraph" w:styleId="Heading4">
    <w:name w:val="heading 4"/>
    <w:basedOn w:val="Normal"/>
    <w:next w:val="Text1"/>
    <w:link w:val="Heading4Char"/>
    <w:uiPriority w:val="9"/>
    <w:semiHidden/>
    <w:unhideWhenUsed/>
    <w:qFormat/>
    <w:rsid w:val="0075503A"/>
    <w:pPr>
      <w:keepNext/>
      <w:numPr>
        <w:ilvl w:val="3"/>
        <w:numId w:val="45"/>
      </w:numPr>
      <w:outlineLvl w:val="3"/>
    </w:pPr>
    <w:rPr>
      <w:rFonts w:eastAsiaTheme="majorEastAsia"/>
      <w:bCs/>
      <w:iCs/>
    </w:rPr>
  </w:style>
  <w:style w:type="paragraph" w:styleId="Heading5">
    <w:name w:val="heading 5"/>
    <w:basedOn w:val="Normal"/>
    <w:next w:val="Normal"/>
    <w:link w:val="Heading5Char"/>
    <w:uiPriority w:val="9"/>
    <w:semiHidden/>
    <w:unhideWhenUsed/>
    <w:qFormat/>
    <w:pPr>
      <w:spacing w:before="200" w:after="0" w:line="276" w:lineRule="auto"/>
      <w:jc w:val="left"/>
      <w:outlineLvl w:val="4"/>
    </w:pPr>
    <w:rPr>
      <w:rFonts w:ascii="Cambria" w:eastAsia="Times New Roman" w:hAnsi="Cambria"/>
      <w:b/>
      <w:bCs/>
      <w:color w:val="7F7F7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Pr>
      <w:rFonts w:ascii="Cambria" w:eastAsia="Times New Roman" w:hAnsi="Cambria" w:cs="Times New Roman"/>
      <w:b/>
      <w:bCs/>
      <w:color w:val="7F7F7F"/>
      <w:lang w:val="lt-LT"/>
    </w:rPr>
  </w:style>
  <w:style w:type="paragraph" w:styleId="ListParagraph">
    <w:name w:val="List Paragraph"/>
    <w:basedOn w:val="Normal"/>
    <w:uiPriority w:val="34"/>
    <w:qFormat/>
    <w:pPr>
      <w:spacing w:before="0" w:after="200" w:line="276" w:lineRule="auto"/>
      <w:ind w:left="720"/>
      <w:contextualSpacing/>
      <w:jc w:val="left"/>
    </w:pPr>
    <w:rPr>
      <w:rFonts w:asciiTheme="minorHAnsi" w:hAnsiTheme="minorHAnsi" w:cstheme="minorBidi"/>
      <w:sz w:val="22"/>
    </w:rPr>
  </w:style>
  <w:style w:type="paragraph" w:styleId="BalloonText">
    <w:name w:val="Balloon Text"/>
    <w:basedOn w:val="Normal"/>
    <w:link w:val="BalloonTextChar"/>
    <w:uiPriority w:val="99"/>
    <w:semiHidden/>
    <w:unhideWhenUsed/>
    <w:pPr>
      <w:spacing w:before="0" w:after="0"/>
      <w:jc w:val="left"/>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lt-L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rPr>
      <w:sz w:val="20"/>
      <w:szCs w:val="20"/>
      <w:lang w:val="lt-LT"/>
    </w:rPr>
  </w:style>
  <w:style w:type="character" w:customStyle="1" w:styleId="CommentSubjectChar">
    <w:name w:val="Comment Subject Char"/>
    <w:basedOn w:val="CommentTextChar"/>
    <w:link w:val="CommentSubject"/>
    <w:uiPriority w:val="99"/>
    <w:semiHidden/>
    <w:rPr>
      <w:b/>
      <w:bCs/>
      <w:sz w:val="20"/>
      <w:szCs w:val="20"/>
      <w:lang w:val="lt-LT"/>
    </w:rPr>
  </w:style>
  <w:style w:type="paragraph" w:styleId="CommentSubject">
    <w:name w:val="annotation subject"/>
    <w:basedOn w:val="CommentText"/>
    <w:next w:val="CommentText"/>
    <w:link w:val="CommentSubjectChar"/>
    <w:uiPriority w:val="99"/>
    <w:semiHidden/>
    <w:unhideWhenUsed/>
    <w:rPr>
      <w:b/>
      <w:bCs/>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autoSpaceDE w:val="0"/>
      <w:autoSpaceDN w:val="0"/>
      <w:adjustRightInd w:val="0"/>
      <w:spacing w:after="0" w:line="240" w:lineRule="auto"/>
    </w:pPr>
    <w:rPr>
      <w:rFonts w:ascii="Calibri" w:hAnsi="Calibri" w:cs="Calibri"/>
      <w:color w:val="000000"/>
      <w:sz w:val="24"/>
      <w:szCs w:val="24"/>
    </w:rPr>
  </w:style>
  <w:style w:type="paragraph" w:customStyle="1" w:styleId="CM1">
    <w:name w:val="CM1"/>
    <w:basedOn w:val="Default"/>
    <w:next w:val="Default"/>
    <w:uiPriority w:val="99"/>
    <w:rPr>
      <w:rFonts w:ascii="EUAlbertina" w:hAnsi="EUAlbertina" w:cstheme="minorBidi"/>
      <w:color w:val="auto"/>
    </w:rPr>
  </w:style>
  <w:style w:type="paragraph" w:customStyle="1" w:styleId="CM3">
    <w:name w:val="CM3"/>
    <w:basedOn w:val="Default"/>
    <w:next w:val="Default"/>
    <w:uiPriority w:val="99"/>
    <w:rPr>
      <w:rFonts w:ascii="EUAlbertina" w:hAnsi="EUAlbertina" w:cstheme="minorBidi"/>
      <w:color w:val="auto"/>
    </w:rPr>
  </w:style>
  <w:style w:type="paragraph" w:customStyle="1" w:styleId="CM4">
    <w:name w:val="CM4"/>
    <w:basedOn w:val="Default"/>
    <w:next w:val="Default"/>
    <w:uiPriority w:val="99"/>
    <w:rPr>
      <w:rFonts w:ascii="EUAlbertina" w:hAnsi="EUAlbertina" w:cstheme="minorBidi"/>
      <w:color w:val="auto"/>
    </w:rPr>
  </w:style>
  <w:style w:type="paragraph" w:styleId="NormalWeb">
    <w:name w:val="Normal (Web)"/>
    <w:basedOn w:val="Normal"/>
    <w:uiPriority w:val="99"/>
    <w:unhideWhenUsed/>
    <w:pPr>
      <w:spacing w:before="100" w:beforeAutospacing="1" w:after="100" w:afterAutospacing="1"/>
      <w:jc w:val="left"/>
    </w:pPr>
    <w:rPr>
      <w:rFonts w:eastAsia="Times New Roman"/>
      <w:szCs w:val="24"/>
    </w:rPr>
  </w:style>
  <w:style w:type="paragraph" w:customStyle="1" w:styleId="text10">
    <w:name w:val="text1"/>
    <w:basedOn w:val="Normal"/>
    <w:pPr>
      <w:spacing w:before="0" w:after="0"/>
      <w:ind w:left="850"/>
    </w:pPr>
    <w:rPr>
      <w:rFonts w:eastAsia="Times New Roman"/>
      <w:szCs w:val="24"/>
    </w:rPr>
  </w:style>
  <w:style w:type="paragraph" w:customStyle="1" w:styleId="Normal2">
    <w:name w:val="Normal2"/>
    <w:basedOn w:val="Normal"/>
    <w:pPr>
      <w:spacing w:before="0" w:after="0"/>
    </w:pPr>
    <w:rPr>
      <w:rFonts w:eastAsia="Times New Roman"/>
      <w:szCs w:val="24"/>
    </w:rPr>
  </w:style>
  <w:style w:type="table" w:customStyle="1" w:styleId="GridTable4-Accent51">
    <w:name w:val="Grid Table 4 - Accent 51"/>
    <w:basedOn w:val="TableNormal"/>
    <w:uiPriority w:val="49"/>
    <w:pPr>
      <w:spacing w:after="0" w:line="240" w:lineRule="auto"/>
    </w:pPr>
    <w:rPr>
      <w:sz w:val="20"/>
      <w:szCs w:val="20"/>
      <w:lang w:val="en-GB" w:eastAsia="en-GB" w:bidi="ar-SA"/>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AFWTable">
    <w:name w:val="AFW Table"/>
    <w:aliases w:val="Table Content"/>
    <w:basedOn w:val="Normal"/>
    <w:qFormat/>
    <w:pPr>
      <w:spacing w:before="0" w:after="0"/>
      <w:jc w:val="left"/>
    </w:pPr>
    <w:rPr>
      <w:rFonts w:ascii="Arial" w:hAnsi="Arial" w:cstheme="minorBidi"/>
      <w:color w:val="000000"/>
      <w:sz w:val="16"/>
    </w:rPr>
  </w:style>
  <w:style w:type="table" w:customStyle="1" w:styleId="AmecFosterWheelerReportTable">
    <w:name w:val="Amec Foster Wheeler Report Table"/>
    <w:basedOn w:val="TableNormal"/>
    <w:uiPriority w:val="99"/>
    <w:qFormat/>
    <w:pPr>
      <w:spacing w:after="0" w:line="240" w:lineRule="auto"/>
    </w:pPr>
    <w:rPr>
      <w:rFonts w:ascii="Arial" w:hAnsi="Arial"/>
      <w:color w:val="000000" w:themeColor="text1" w:themeShade="BF"/>
      <w:sz w:val="20"/>
      <w:szCs w:val="20"/>
      <w:lang w:val="en-GB" w:eastAsia="en-GB" w:bidi="ar-SA"/>
    </w:rPr>
    <w:tblPr>
      <w:tblStyleRowBandSize w:val="1"/>
      <w:tblStyleColBandSize w:val="1"/>
      <w:tblInd w:w="113" w:type="dxa"/>
      <w:tblBorders>
        <w:bottom w:val="single" w:sz="6" w:space="0" w:color="C0504D" w:themeColor="accent2"/>
      </w:tblBorders>
      <w:tblCellMar>
        <w:top w:w="113" w:type="dxa"/>
        <w:bottom w:w="113" w:type="dxa"/>
      </w:tblCellMar>
    </w:tblPr>
    <w:tblStylePr w:type="firstRow">
      <w:pPr>
        <w:spacing w:before="0" w:after="0" w:line="240" w:lineRule="auto"/>
      </w:pPr>
      <w:rPr>
        <w:rFonts w:ascii="Arial" w:hAnsi="Arial"/>
        <w:b/>
        <w:bCs/>
        <w:color w:val="262626" w:themeColor="text1" w:themeTint="D9"/>
        <w:sz w:val="20"/>
      </w:rPr>
      <w:tblPr/>
      <w:tcPr>
        <w:tcBorders>
          <w:top w:val="single" w:sz="4" w:space="0" w:color="C0504D" w:themeColor="accent2"/>
          <w:left w:val="nil"/>
          <w:bottom w:val="single" w:sz="4" w:space="0" w:color="C0504D" w:themeColor="accent2"/>
          <w:right w:val="nil"/>
          <w:insideH w:val="nil"/>
          <w:insideV w:val="nil"/>
          <w:tl2br w:val="nil"/>
          <w:tr2bl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2Vert">
      <w:tblPr/>
      <w:tcPr>
        <w:shd w:val="clear" w:color="auto" w:fill="FFFFFF" w:themeFill="background1"/>
      </w:tcPr>
    </w:tblStylePr>
    <w:tblStylePr w:type="band1Horz">
      <w:tblPr/>
      <w:tcPr>
        <w:tcBorders>
          <w:left w:val="nil"/>
          <w:right w:val="nil"/>
          <w:insideH w:val="nil"/>
          <w:insideV w:val="nil"/>
        </w:tcBorders>
        <w:shd w:val="clear" w:color="auto" w:fill="E5DFEC" w:themeFill="accent4" w:themeFillTint="33"/>
      </w:tcPr>
    </w:tblStylePr>
    <w:tblStylePr w:type="band2Horz">
      <w:tblPr/>
      <w:tcPr>
        <w:shd w:val="clear" w:color="auto" w:fill="F8F8F8"/>
      </w:tcPr>
    </w:tblStyle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3"/>
      </w:numPr>
      <w:contextualSpacing/>
    </w:pPr>
  </w:style>
  <w:style w:type="paragraph" w:styleId="ListBullet2">
    <w:name w:val="List Bullet 2"/>
    <w:basedOn w:val="Normal"/>
    <w:uiPriority w:val="99"/>
    <w:semiHidden/>
    <w:unhideWhenUsed/>
    <w:pPr>
      <w:numPr>
        <w:numId w:val="14"/>
      </w:numPr>
      <w:contextualSpacing/>
    </w:pPr>
  </w:style>
  <w:style w:type="paragraph" w:styleId="ListBullet3">
    <w:name w:val="List Bullet 3"/>
    <w:basedOn w:val="Normal"/>
    <w:uiPriority w:val="99"/>
    <w:semiHidden/>
    <w:unhideWhenUsed/>
    <w:pPr>
      <w:numPr>
        <w:numId w:val="15"/>
      </w:numPr>
      <w:contextualSpacing/>
    </w:pPr>
  </w:style>
  <w:style w:type="paragraph" w:styleId="ListBullet4">
    <w:name w:val="List Bullet 4"/>
    <w:basedOn w:val="Normal"/>
    <w:uiPriority w:val="99"/>
    <w:semiHidden/>
    <w:unhideWhenUsed/>
    <w:pPr>
      <w:numPr>
        <w:numId w:val="16"/>
      </w:numPr>
      <w:contextualSpacing/>
    </w:pPr>
  </w:style>
  <w:style w:type="paragraph" w:styleId="ListNumber">
    <w:name w:val="List Number"/>
    <w:basedOn w:val="Normal"/>
    <w:uiPriority w:val="99"/>
    <w:semiHidden/>
    <w:unhideWhenUsed/>
    <w:pPr>
      <w:numPr>
        <w:numId w:val="17"/>
      </w:numPr>
      <w:contextualSpacing/>
    </w:pPr>
  </w:style>
  <w:style w:type="paragraph" w:styleId="ListNumber2">
    <w:name w:val="List Number 2"/>
    <w:basedOn w:val="Normal"/>
    <w:uiPriority w:val="99"/>
    <w:semiHidden/>
    <w:unhideWhenUsed/>
    <w:pPr>
      <w:numPr>
        <w:numId w:val="18"/>
      </w:numPr>
      <w:contextualSpacing/>
    </w:pPr>
  </w:style>
  <w:style w:type="paragraph" w:styleId="ListNumber3">
    <w:name w:val="List Number 3"/>
    <w:basedOn w:val="Normal"/>
    <w:uiPriority w:val="99"/>
    <w:semiHidden/>
    <w:unhideWhenUsed/>
    <w:pPr>
      <w:numPr>
        <w:numId w:val="19"/>
      </w:numPr>
      <w:contextualSpacing/>
    </w:pPr>
  </w:style>
  <w:style w:type="paragraph" w:styleId="ListNumber4">
    <w:name w:val="List Number 4"/>
    <w:basedOn w:val="Normal"/>
    <w:uiPriority w:val="99"/>
    <w:semiHidden/>
    <w:unhideWhenUsed/>
    <w:pPr>
      <w:numPr>
        <w:numId w:val="20"/>
      </w:numPr>
      <w:contextualSpacing/>
    </w:pPr>
  </w:style>
  <w:style w:type="character" w:styleId="Hyperlink">
    <w:name w:val="Hyperlink"/>
    <w:basedOn w:val="DefaultParagraphFont"/>
    <w:uiPriority w:val="99"/>
    <w:unhideWhenUsed/>
    <w:rPr>
      <w:color w:val="0000FF" w:themeColor="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character" w:customStyle="1" w:styleId="st">
    <w:name w:val="st"/>
    <w:basedOn w:val="DefaultParagraphFont"/>
  </w:style>
  <w:style w:type="character" w:styleId="Emphasis">
    <w:name w:val="Emphasis"/>
    <w:basedOn w:val="DefaultParagraphFont"/>
    <w:uiPriority w:val="20"/>
    <w:qFormat/>
    <w:rPr>
      <w:i/>
      <w:iCs/>
    </w:rPr>
  </w:style>
  <w:style w:type="paragraph" w:styleId="Header">
    <w:name w:val="header"/>
    <w:basedOn w:val="Normal"/>
    <w:link w:val="HeaderChar"/>
    <w:uiPriority w:val="99"/>
    <w:unhideWhenUsed/>
    <w:rsid w:val="0075503A"/>
    <w:pPr>
      <w:tabs>
        <w:tab w:val="center" w:pos="4535"/>
        <w:tab w:val="right" w:pos="9071"/>
      </w:tabs>
      <w:spacing w:before="0"/>
    </w:pPr>
  </w:style>
  <w:style w:type="character" w:customStyle="1" w:styleId="HeaderChar">
    <w:name w:val="Header Char"/>
    <w:basedOn w:val="DefaultParagraphFont"/>
    <w:link w:val="Header"/>
    <w:uiPriority w:val="99"/>
    <w:rsid w:val="0075503A"/>
    <w:rPr>
      <w:rFonts w:ascii="Times New Roman" w:hAnsi="Times New Roman" w:cs="Times New Roman"/>
      <w:sz w:val="24"/>
      <w:shd w:val="clear" w:color="auto" w:fill="auto"/>
      <w:lang w:val="en-GB"/>
    </w:rPr>
  </w:style>
  <w:style w:type="paragraph" w:styleId="Footer">
    <w:name w:val="footer"/>
    <w:basedOn w:val="Normal"/>
    <w:link w:val="FooterChar"/>
    <w:uiPriority w:val="99"/>
    <w:unhideWhenUsed/>
    <w:rsid w:val="0075503A"/>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sid w:val="0075503A"/>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rsid w:val="0075503A"/>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sid w:val="0075503A"/>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sid w:val="0075503A"/>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sid w:val="0075503A"/>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sid w:val="0075503A"/>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sid w:val="0075503A"/>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rsid w:val="0075503A"/>
    <w:pPr>
      <w:spacing w:after="240"/>
      <w:jc w:val="center"/>
    </w:pPr>
    <w:rPr>
      <w:b/>
      <w:sz w:val="28"/>
    </w:rPr>
  </w:style>
  <w:style w:type="paragraph" w:styleId="TOC1">
    <w:name w:val="toc 1"/>
    <w:basedOn w:val="Normal"/>
    <w:next w:val="Normal"/>
    <w:uiPriority w:val="39"/>
    <w:semiHidden/>
    <w:unhideWhenUsed/>
    <w:rsid w:val="0075503A"/>
    <w:pPr>
      <w:tabs>
        <w:tab w:val="right" w:leader="dot" w:pos="9071"/>
      </w:tabs>
      <w:spacing w:before="60"/>
      <w:ind w:left="850" w:hanging="850"/>
      <w:jc w:val="left"/>
    </w:pPr>
  </w:style>
  <w:style w:type="paragraph" w:styleId="TOC2">
    <w:name w:val="toc 2"/>
    <w:basedOn w:val="Normal"/>
    <w:next w:val="Normal"/>
    <w:uiPriority w:val="39"/>
    <w:semiHidden/>
    <w:unhideWhenUsed/>
    <w:rsid w:val="0075503A"/>
    <w:pPr>
      <w:tabs>
        <w:tab w:val="right" w:leader="dot" w:pos="9071"/>
      </w:tabs>
      <w:spacing w:before="60"/>
      <w:ind w:left="850" w:hanging="850"/>
      <w:jc w:val="left"/>
    </w:pPr>
  </w:style>
  <w:style w:type="paragraph" w:styleId="TOC3">
    <w:name w:val="toc 3"/>
    <w:basedOn w:val="Normal"/>
    <w:next w:val="Normal"/>
    <w:uiPriority w:val="39"/>
    <w:semiHidden/>
    <w:unhideWhenUsed/>
    <w:rsid w:val="0075503A"/>
    <w:pPr>
      <w:tabs>
        <w:tab w:val="right" w:leader="dot" w:pos="9071"/>
      </w:tabs>
      <w:spacing w:before="60"/>
      <w:ind w:left="850" w:hanging="850"/>
      <w:jc w:val="left"/>
    </w:pPr>
  </w:style>
  <w:style w:type="paragraph" w:styleId="TOC4">
    <w:name w:val="toc 4"/>
    <w:basedOn w:val="Normal"/>
    <w:next w:val="Normal"/>
    <w:uiPriority w:val="39"/>
    <w:semiHidden/>
    <w:unhideWhenUsed/>
    <w:rsid w:val="0075503A"/>
    <w:pPr>
      <w:tabs>
        <w:tab w:val="right" w:leader="dot" w:pos="9071"/>
      </w:tabs>
      <w:spacing w:before="60"/>
      <w:ind w:left="850" w:hanging="850"/>
      <w:jc w:val="left"/>
    </w:pPr>
  </w:style>
  <w:style w:type="paragraph" w:styleId="TOC5">
    <w:name w:val="toc 5"/>
    <w:basedOn w:val="Normal"/>
    <w:next w:val="Normal"/>
    <w:uiPriority w:val="39"/>
    <w:semiHidden/>
    <w:unhideWhenUsed/>
    <w:rsid w:val="0075503A"/>
    <w:pPr>
      <w:tabs>
        <w:tab w:val="right" w:leader="dot" w:pos="9071"/>
      </w:tabs>
      <w:spacing w:before="300"/>
      <w:jc w:val="left"/>
    </w:pPr>
  </w:style>
  <w:style w:type="paragraph" w:styleId="TOC6">
    <w:name w:val="toc 6"/>
    <w:basedOn w:val="Normal"/>
    <w:next w:val="Normal"/>
    <w:uiPriority w:val="39"/>
    <w:semiHidden/>
    <w:unhideWhenUsed/>
    <w:rsid w:val="0075503A"/>
    <w:pPr>
      <w:tabs>
        <w:tab w:val="right" w:leader="dot" w:pos="9071"/>
      </w:tabs>
      <w:spacing w:before="240"/>
      <w:jc w:val="left"/>
    </w:pPr>
  </w:style>
  <w:style w:type="paragraph" w:styleId="TOC7">
    <w:name w:val="toc 7"/>
    <w:basedOn w:val="Normal"/>
    <w:next w:val="Normal"/>
    <w:uiPriority w:val="39"/>
    <w:semiHidden/>
    <w:unhideWhenUsed/>
    <w:rsid w:val="0075503A"/>
    <w:pPr>
      <w:tabs>
        <w:tab w:val="right" w:leader="dot" w:pos="9071"/>
      </w:tabs>
      <w:spacing w:before="180"/>
      <w:jc w:val="left"/>
    </w:pPr>
  </w:style>
  <w:style w:type="paragraph" w:styleId="TOC8">
    <w:name w:val="toc 8"/>
    <w:basedOn w:val="Normal"/>
    <w:next w:val="Normal"/>
    <w:uiPriority w:val="39"/>
    <w:semiHidden/>
    <w:unhideWhenUsed/>
    <w:rsid w:val="0075503A"/>
    <w:pPr>
      <w:tabs>
        <w:tab w:val="right" w:leader="dot" w:pos="9071"/>
      </w:tabs>
      <w:jc w:val="left"/>
    </w:pPr>
  </w:style>
  <w:style w:type="paragraph" w:styleId="TOC9">
    <w:name w:val="toc 9"/>
    <w:basedOn w:val="Normal"/>
    <w:next w:val="Normal"/>
    <w:uiPriority w:val="39"/>
    <w:semiHidden/>
    <w:unhideWhenUsed/>
    <w:rsid w:val="0075503A"/>
    <w:pPr>
      <w:tabs>
        <w:tab w:val="right" w:leader="dot" w:pos="9071"/>
      </w:tabs>
    </w:pPr>
  </w:style>
  <w:style w:type="paragraph" w:customStyle="1" w:styleId="HeaderLandscape">
    <w:name w:val="HeaderLandscape"/>
    <w:basedOn w:val="Normal"/>
    <w:rsid w:val="0075503A"/>
    <w:pPr>
      <w:tabs>
        <w:tab w:val="center" w:pos="7285"/>
        <w:tab w:val="right" w:pos="14003"/>
      </w:tabs>
      <w:spacing w:before="0"/>
    </w:pPr>
  </w:style>
  <w:style w:type="paragraph" w:customStyle="1" w:styleId="FooterLandscape">
    <w:name w:val="FooterLandscape"/>
    <w:basedOn w:val="Normal"/>
    <w:rsid w:val="0075503A"/>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sid w:val="0075503A"/>
    <w:rPr>
      <w:shd w:val="clear" w:color="auto" w:fill="auto"/>
      <w:vertAlign w:val="superscript"/>
    </w:rPr>
  </w:style>
  <w:style w:type="paragraph" w:customStyle="1" w:styleId="Text1">
    <w:name w:val="Text 1"/>
    <w:basedOn w:val="Normal"/>
    <w:rsid w:val="0075503A"/>
    <w:pPr>
      <w:ind w:left="850"/>
    </w:pPr>
  </w:style>
  <w:style w:type="paragraph" w:customStyle="1" w:styleId="Text2">
    <w:name w:val="Text 2"/>
    <w:basedOn w:val="Normal"/>
    <w:rsid w:val="0075503A"/>
    <w:pPr>
      <w:ind w:left="1417"/>
    </w:pPr>
  </w:style>
  <w:style w:type="paragraph" w:customStyle="1" w:styleId="Text3">
    <w:name w:val="Text 3"/>
    <w:basedOn w:val="Normal"/>
    <w:rsid w:val="0075503A"/>
    <w:pPr>
      <w:ind w:left="1984"/>
    </w:pPr>
  </w:style>
  <w:style w:type="paragraph" w:customStyle="1" w:styleId="Text4">
    <w:name w:val="Text 4"/>
    <w:basedOn w:val="Normal"/>
    <w:rsid w:val="0075503A"/>
    <w:pPr>
      <w:ind w:left="2551"/>
    </w:pPr>
  </w:style>
  <w:style w:type="paragraph" w:customStyle="1" w:styleId="NormalCentered">
    <w:name w:val="Normal Centered"/>
    <w:basedOn w:val="Normal"/>
    <w:rsid w:val="0075503A"/>
    <w:pPr>
      <w:jc w:val="center"/>
    </w:pPr>
  </w:style>
  <w:style w:type="paragraph" w:customStyle="1" w:styleId="NormalLeft">
    <w:name w:val="Normal Left"/>
    <w:basedOn w:val="Normal"/>
    <w:rsid w:val="0075503A"/>
    <w:pPr>
      <w:jc w:val="left"/>
    </w:pPr>
  </w:style>
  <w:style w:type="paragraph" w:customStyle="1" w:styleId="NormalRight">
    <w:name w:val="Normal Right"/>
    <w:basedOn w:val="Normal"/>
    <w:rsid w:val="0075503A"/>
    <w:pPr>
      <w:jc w:val="right"/>
    </w:pPr>
  </w:style>
  <w:style w:type="paragraph" w:customStyle="1" w:styleId="QuotedText">
    <w:name w:val="Quoted Text"/>
    <w:basedOn w:val="Normal"/>
    <w:rsid w:val="0075503A"/>
    <w:pPr>
      <w:ind w:left="1417"/>
    </w:pPr>
  </w:style>
  <w:style w:type="paragraph" w:customStyle="1" w:styleId="Point0">
    <w:name w:val="Point 0"/>
    <w:basedOn w:val="Normal"/>
    <w:rsid w:val="0075503A"/>
    <w:pPr>
      <w:ind w:left="850" w:hanging="850"/>
    </w:pPr>
  </w:style>
  <w:style w:type="paragraph" w:customStyle="1" w:styleId="Point1">
    <w:name w:val="Point 1"/>
    <w:basedOn w:val="Normal"/>
    <w:rsid w:val="0075503A"/>
    <w:pPr>
      <w:ind w:left="1417" w:hanging="567"/>
    </w:pPr>
  </w:style>
  <w:style w:type="paragraph" w:customStyle="1" w:styleId="Point2">
    <w:name w:val="Point 2"/>
    <w:basedOn w:val="Normal"/>
    <w:rsid w:val="0075503A"/>
    <w:pPr>
      <w:ind w:left="1984" w:hanging="567"/>
    </w:pPr>
  </w:style>
  <w:style w:type="paragraph" w:customStyle="1" w:styleId="Point3">
    <w:name w:val="Point 3"/>
    <w:basedOn w:val="Normal"/>
    <w:rsid w:val="0075503A"/>
    <w:pPr>
      <w:ind w:left="2551" w:hanging="567"/>
    </w:pPr>
  </w:style>
  <w:style w:type="paragraph" w:customStyle="1" w:styleId="Point4">
    <w:name w:val="Point 4"/>
    <w:basedOn w:val="Normal"/>
    <w:rsid w:val="0075503A"/>
    <w:pPr>
      <w:ind w:left="3118" w:hanging="567"/>
    </w:pPr>
  </w:style>
  <w:style w:type="paragraph" w:customStyle="1" w:styleId="Tiret0">
    <w:name w:val="Tiret 0"/>
    <w:basedOn w:val="Point0"/>
    <w:rsid w:val="0075503A"/>
    <w:pPr>
      <w:numPr>
        <w:numId w:val="39"/>
      </w:numPr>
    </w:pPr>
  </w:style>
  <w:style w:type="paragraph" w:customStyle="1" w:styleId="Tiret1">
    <w:name w:val="Tiret 1"/>
    <w:basedOn w:val="Point1"/>
    <w:rsid w:val="0075503A"/>
    <w:pPr>
      <w:numPr>
        <w:numId w:val="40"/>
      </w:numPr>
    </w:pPr>
  </w:style>
  <w:style w:type="paragraph" w:customStyle="1" w:styleId="Tiret2">
    <w:name w:val="Tiret 2"/>
    <w:basedOn w:val="Point2"/>
    <w:rsid w:val="0075503A"/>
    <w:pPr>
      <w:numPr>
        <w:numId w:val="41"/>
      </w:numPr>
    </w:pPr>
  </w:style>
  <w:style w:type="paragraph" w:customStyle="1" w:styleId="Tiret3">
    <w:name w:val="Tiret 3"/>
    <w:basedOn w:val="Point3"/>
    <w:rsid w:val="0075503A"/>
    <w:pPr>
      <w:numPr>
        <w:numId w:val="42"/>
      </w:numPr>
    </w:pPr>
  </w:style>
  <w:style w:type="paragraph" w:customStyle="1" w:styleId="Tiret4">
    <w:name w:val="Tiret 4"/>
    <w:basedOn w:val="Point4"/>
    <w:rsid w:val="0075503A"/>
    <w:pPr>
      <w:numPr>
        <w:numId w:val="43"/>
      </w:numPr>
    </w:pPr>
  </w:style>
  <w:style w:type="paragraph" w:customStyle="1" w:styleId="PointDouble0">
    <w:name w:val="PointDouble 0"/>
    <w:basedOn w:val="Normal"/>
    <w:rsid w:val="0075503A"/>
    <w:pPr>
      <w:tabs>
        <w:tab w:val="left" w:pos="850"/>
      </w:tabs>
      <w:ind w:left="1417" w:hanging="1417"/>
    </w:pPr>
  </w:style>
  <w:style w:type="paragraph" w:customStyle="1" w:styleId="PointDouble1">
    <w:name w:val="PointDouble 1"/>
    <w:basedOn w:val="Normal"/>
    <w:rsid w:val="0075503A"/>
    <w:pPr>
      <w:tabs>
        <w:tab w:val="left" w:pos="1417"/>
      </w:tabs>
      <w:ind w:left="1984" w:hanging="1134"/>
    </w:pPr>
  </w:style>
  <w:style w:type="paragraph" w:customStyle="1" w:styleId="PointDouble2">
    <w:name w:val="PointDouble 2"/>
    <w:basedOn w:val="Normal"/>
    <w:rsid w:val="0075503A"/>
    <w:pPr>
      <w:tabs>
        <w:tab w:val="left" w:pos="1984"/>
      </w:tabs>
      <w:ind w:left="2551" w:hanging="1134"/>
    </w:pPr>
  </w:style>
  <w:style w:type="paragraph" w:customStyle="1" w:styleId="PointDouble3">
    <w:name w:val="PointDouble 3"/>
    <w:basedOn w:val="Normal"/>
    <w:rsid w:val="0075503A"/>
    <w:pPr>
      <w:tabs>
        <w:tab w:val="left" w:pos="2551"/>
      </w:tabs>
      <w:ind w:left="3118" w:hanging="1134"/>
    </w:pPr>
  </w:style>
  <w:style w:type="paragraph" w:customStyle="1" w:styleId="PointDouble4">
    <w:name w:val="PointDouble 4"/>
    <w:basedOn w:val="Normal"/>
    <w:rsid w:val="0075503A"/>
    <w:pPr>
      <w:tabs>
        <w:tab w:val="left" w:pos="3118"/>
      </w:tabs>
      <w:ind w:left="3685" w:hanging="1134"/>
    </w:pPr>
  </w:style>
  <w:style w:type="paragraph" w:customStyle="1" w:styleId="PointTriple0">
    <w:name w:val="PointTriple 0"/>
    <w:basedOn w:val="Normal"/>
    <w:rsid w:val="0075503A"/>
    <w:pPr>
      <w:tabs>
        <w:tab w:val="left" w:pos="850"/>
        <w:tab w:val="left" w:pos="1417"/>
      </w:tabs>
      <w:ind w:left="1984" w:hanging="1984"/>
    </w:pPr>
  </w:style>
  <w:style w:type="paragraph" w:customStyle="1" w:styleId="PointTriple1">
    <w:name w:val="PointTriple 1"/>
    <w:basedOn w:val="Normal"/>
    <w:rsid w:val="0075503A"/>
    <w:pPr>
      <w:tabs>
        <w:tab w:val="left" w:pos="1417"/>
        <w:tab w:val="left" w:pos="1984"/>
      </w:tabs>
      <w:ind w:left="2551" w:hanging="1701"/>
    </w:pPr>
  </w:style>
  <w:style w:type="paragraph" w:customStyle="1" w:styleId="PointTriple2">
    <w:name w:val="PointTriple 2"/>
    <w:basedOn w:val="Normal"/>
    <w:rsid w:val="0075503A"/>
    <w:pPr>
      <w:tabs>
        <w:tab w:val="left" w:pos="1984"/>
        <w:tab w:val="left" w:pos="2551"/>
      </w:tabs>
      <w:ind w:left="3118" w:hanging="1701"/>
    </w:pPr>
  </w:style>
  <w:style w:type="paragraph" w:customStyle="1" w:styleId="PointTriple3">
    <w:name w:val="PointTriple 3"/>
    <w:basedOn w:val="Normal"/>
    <w:rsid w:val="0075503A"/>
    <w:pPr>
      <w:tabs>
        <w:tab w:val="left" w:pos="2551"/>
        <w:tab w:val="left" w:pos="3118"/>
      </w:tabs>
      <w:ind w:left="3685" w:hanging="1701"/>
    </w:pPr>
  </w:style>
  <w:style w:type="paragraph" w:customStyle="1" w:styleId="PointTriple4">
    <w:name w:val="PointTriple 4"/>
    <w:basedOn w:val="Normal"/>
    <w:rsid w:val="0075503A"/>
    <w:pPr>
      <w:tabs>
        <w:tab w:val="left" w:pos="3118"/>
        <w:tab w:val="left" w:pos="3685"/>
      </w:tabs>
      <w:ind w:left="4252" w:hanging="1701"/>
    </w:pPr>
  </w:style>
  <w:style w:type="paragraph" w:customStyle="1" w:styleId="NumPar1">
    <w:name w:val="NumPar 1"/>
    <w:basedOn w:val="Normal"/>
    <w:next w:val="Text1"/>
    <w:rsid w:val="0075503A"/>
    <w:pPr>
      <w:numPr>
        <w:numId w:val="44"/>
      </w:numPr>
    </w:pPr>
  </w:style>
  <w:style w:type="paragraph" w:customStyle="1" w:styleId="NumPar2">
    <w:name w:val="NumPar 2"/>
    <w:basedOn w:val="Normal"/>
    <w:next w:val="Text1"/>
    <w:rsid w:val="0075503A"/>
    <w:pPr>
      <w:numPr>
        <w:ilvl w:val="1"/>
        <w:numId w:val="44"/>
      </w:numPr>
    </w:pPr>
  </w:style>
  <w:style w:type="paragraph" w:customStyle="1" w:styleId="NumPar3">
    <w:name w:val="NumPar 3"/>
    <w:basedOn w:val="Normal"/>
    <w:next w:val="Text1"/>
    <w:rsid w:val="0075503A"/>
    <w:pPr>
      <w:numPr>
        <w:ilvl w:val="2"/>
        <w:numId w:val="44"/>
      </w:numPr>
    </w:pPr>
  </w:style>
  <w:style w:type="paragraph" w:customStyle="1" w:styleId="NumPar4">
    <w:name w:val="NumPar 4"/>
    <w:basedOn w:val="Normal"/>
    <w:next w:val="Text1"/>
    <w:rsid w:val="0075503A"/>
    <w:pPr>
      <w:numPr>
        <w:ilvl w:val="3"/>
        <w:numId w:val="44"/>
      </w:numPr>
    </w:pPr>
  </w:style>
  <w:style w:type="paragraph" w:customStyle="1" w:styleId="ManualNumPar1">
    <w:name w:val="Manual NumPar 1"/>
    <w:basedOn w:val="Normal"/>
    <w:next w:val="Text1"/>
    <w:rsid w:val="0075503A"/>
    <w:pPr>
      <w:ind w:left="850" w:hanging="850"/>
    </w:pPr>
  </w:style>
  <w:style w:type="paragraph" w:customStyle="1" w:styleId="ManualNumPar2">
    <w:name w:val="Manual NumPar 2"/>
    <w:basedOn w:val="Normal"/>
    <w:next w:val="Text1"/>
    <w:rsid w:val="0075503A"/>
    <w:pPr>
      <w:ind w:left="850" w:hanging="850"/>
    </w:pPr>
  </w:style>
  <w:style w:type="paragraph" w:customStyle="1" w:styleId="ManualNumPar3">
    <w:name w:val="Manual NumPar 3"/>
    <w:basedOn w:val="Normal"/>
    <w:next w:val="Text1"/>
    <w:rsid w:val="0075503A"/>
    <w:pPr>
      <w:ind w:left="850" w:hanging="850"/>
    </w:pPr>
  </w:style>
  <w:style w:type="paragraph" w:customStyle="1" w:styleId="ManualNumPar4">
    <w:name w:val="Manual NumPar 4"/>
    <w:basedOn w:val="Normal"/>
    <w:next w:val="Text1"/>
    <w:rsid w:val="0075503A"/>
    <w:pPr>
      <w:ind w:left="850" w:hanging="850"/>
    </w:pPr>
  </w:style>
  <w:style w:type="paragraph" w:customStyle="1" w:styleId="QuotedNumPar">
    <w:name w:val="Quoted NumPar"/>
    <w:basedOn w:val="Normal"/>
    <w:rsid w:val="0075503A"/>
    <w:pPr>
      <w:ind w:left="1417" w:hanging="567"/>
    </w:pPr>
  </w:style>
  <w:style w:type="paragraph" w:customStyle="1" w:styleId="ManualHeading1">
    <w:name w:val="Manual Heading 1"/>
    <w:basedOn w:val="Normal"/>
    <w:next w:val="Text1"/>
    <w:rsid w:val="0075503A"/>
    <w:pPr>
      <w:keepNext/>
      <w:tabs>
        <w:tab w:val="left" w:pos="850"/>
      </w:tabs>
      <w:spacing w:before="360"/>
      <w:ind w:left="850" w:hanging="850"/>
      <w:outlineLvl w:val="0"/>
    </w:pPr>
    <w:rPr>
      <w:b/>
      <w:smallCaps/>
    </w:rPr>
  </w:style>
  <w:style w:type="paragraph" w:customStyle="1" w:styleId="ManualHeading2">
    <w:name w:val="Manual Heading 2"/>
    <w:basedOn w:val="Normal"/>
    <w:next w:val="Text1"/>
    <w:rsid w:val="0075503A"/>
    <w:pPr>
      <w:keepNext/>
      <w:tabs>
        <w:tab w:val="left" w:pos="850"/>
      </w:tabs>
      <w:ind w:left="850" w:hanging="850"/>
      <w:outlineLvl w:val="1"/>
    </w:pPr>
    <w:rPr>
      <w:b/>
    </w:rPr>
  </w:style>
  <w:style w:type="paragraph" w:customStyle="1" w:styleId="ManualHeading3">
    <w:name w:val="Manual Heading 3"/>
    <w:basedOn w:val="Normal"/>
    <w:next w:val="Text1"/>
    <w:rsid w:val="0075503A"/>
    <w:pPr>
      <w:keepNext/>
      <w:tabs>
        <w:tab w:val="left" w:pos="850"/>
      </w:tabs>
      <w:ind w:left="850" w:hanging="850"/>
      <w:outlineLvl w:val="2"/>
    </w:pPr>
    <w:rPr>
      <w:i/>
    </w:rPr>
  </w:style>
  <w:style w:type="paragraph" w:customStyle="1" w:styleId="ManualHeading4">
    <w:name w:val="Manual Heading 4"/>
    <w:basedOn w:val="Normal"/>
    <w:next w:val="Text1"/>
    <w:rsid w:val="0075503A"/>
    <w:pPr>
      <w:keepNext/>
      <w:tabs>
        <w:tab w:val="left" w:pos="850"/>
      </w:tabs>
      <w:ind w:left="850" w:hanging="850"/>
      <w:outlineLvl w:val="3"/>
    </w:pPr>
  </w:style>
  <w:style w:type="paragraph" w:customStyle="1" w:styleId="ChapterTitle">
    <w:name w:val="ChapterTitle"/>
    <w:basedOn w:val="Normal"/>
    <w:next w:val="Normal"/>
    <w:rsid w:val="0075503A"/>
    <w:pPr>
      <w:keepNext/>
      <w:spacing w:after="360"/>
      <w:jc w:val="center"/>
    </w:pPr>
    <w:rPr>
      <w:b/>
      <w:sz w:val="32"/>
    </w:rPr>
  </w:style>
  <w:style w:type="paragraph" w:customStyle="1" w:styleId="PartTitle">
    <w:name w:val="PartTitle"/>
    <w:basedOn w:val="Normal"/>
    <w:next w:val="ChapterTitle"/>
    <w:rsid w:val="0075503A"/>
    <w:pPr>
      <w:keepNext/>
      <w:pageBreakBefore/>
      <w:spacing w:after="360"/>
      <w:jc w:val="center"/>
    </w:pPr>
    <w:rPr>
      <w:b/>
      <w:sz w:val="36"/>
    </w:rPr>
  </w:style>
  <w:style w:type="paragraph" w:customStyle="1" w:styleId="SectionTitle">
    <w:name w:val="SectionTitle"/>
    <w:basedOn w:val="Normal"/>
    <w:next w:val="Heading1"/>
    <w:rsid w:val="0075503A"/>
    <w:pPr>
      <w:keepNext/>
      <w:spacing w:after="360"/>
      <w:jc w:val="center"/>
    </w:pPr>
    <w:rPr>
      <w:b/>
      <w:smallCaps/>
      <w:sz w:val="28"/>
    </w:rPr>
  </w:style>
  <w:style w:type="paragraph" w:customStyle="1" w:styleId="TableTitle">
    <w:name w:val="Table Title"/>
    <w:basedOn w:val="Normal"/>
    <w:next w:val="Normal"/>
    <w:rsid w:val="0075503A"/>
    <w:pPr>
      <w:jc w:val="center"/>
    </w:pPr>
    <w:rPr>
      <w:b/>
    </w:rPr>
  </w:style>
  <w:style w:type="character" w:customStyle="1" w:styleId="Marker">
    <w:name w:val="Marker"/>
    <w:basedOn w:val="DefaultParagraphFont"/>
    <w:rsid w:val="0075503A"/>
    <w:rPr>
      <w:color w:val="0000FF"/>
      <w:shd w:val="clear" w:color="auto" w:fill="auto"/>
    </w:rPr>
  </w:style>
  <w:style w:type="character" w:customStyle="1" w:styleId="Marker1">
    <w:name w:val="Marker1"/>
    <w:basedOn w:val="DefaultParagraphFont"/>
    <w:rsid w:val="0075503A"/>
    <w:rPr>
      <w:color w:val="008000"/>
      <w:shd w:val="clear" w:color="auto" w:fill="auto"/>
    </w:rPr>
  </w:style>
  <w:style w:type="character" w:customStyle="1" w:styleId="Marker2">
    <w:name w:val="Marker2"/>
    <w:basedOn w:val="DefaultParagraphFont"/>
    <w:rsid w:val="0075503A"/>
    <w:rPr>
      <w:color w:val="FF0000"/>
      <w:shd w:val="clear" w:color="auto" w:fill="auto"/>
    </w:rPr>
  </w:style>
  <w:style w:type="paragraph" w:customStyle="1" w:styleId="Point0number">
    <w:name w:val="Point 0 (number)"/>
    <w:basedOn w:val="Normal"/>
    <w:rsid w:val="0075503A"/>
    <w:pPr>
      <w:numPr>
        <w:numId w:val="46"/>
      </w:numPr>
    </w:pPr>
  </w:style>
  <w:style w:type="paragraph" w:customStyle="1" w:styleId="Point1number">
    <w:name w:val="Point 1 (number)"/>
    <w:basedOn w:val="Normal"/>
    <w:rsid w:val="0075503A"/>
    <w:pPr>
      <w:numPr>
        <w:ilvl w:val="2"/>
        <w:numId w:val="46"/>
      </w:numPr>
    </w:pPr>
  </w:style>
  <w:style w:type="paragraph" w:customStyle="1" w:styleId="Point2number">
    <w:name w:val="Point 2 (number)"/>
    <w:basedOn w:val="Normal"/>
    <w:rsid w:val="0075503A"/>
    <w:pPr>
      <w:numPr>
        <w:ilvl w:val="4"/>
        <w:numId w:val="46"/>
      </w:numPr>
    </w:pPr>
  </w:style>
  <w:style w:type="paragraph" w:customStyle="1" w:styleId="Point3number">
    <w:name w:val="Point 3 (number)"/>
    <w:basedOn w:val="Normal"/>
    <w:rsid w:val="0075503A"/>
    <w:pPr>
      <w:numPr>
        <w:ilvl w:val="6"/>
        <w:numId w:val="46"/>
      </w:numPr>
    </w:pPr>
  </w:style>
  <w:style w:type="paragraph" w:customStyle="1" w:styleId="Point0letter">
    <w:name w:val="Point 0 (letter)"/>
    <w:basedOn w:val="Normal"/>
    <w:rsid w:val="0075503A"/>
    <w:pPr>
      <w:numPr>
        <w:ilvl w:val="1"/>
        <w:numId w:val="46"/>
      </w:numPr>
    </w:pPr>
  </w:style>
  <w:style w:type="paragraph" w:customStyle="1" w:styleId="Point1letter">
    <w:name w:val="Point 1 (letter)"/>
    <w:basedOn w:val="Normal"/>
    <w:rsid w:val="0075503A"/>
    <w:pPr>
      <w:numPr>
        <w:ilvl w:val="3"/>
        <w:numId w:val="46"/>
      </w:numPr>
    </w:pPr>
  </w:style>
  <w:style w:type="paragraph" w:customStyle="1" w:styleId="Point2letter">
    <w:name w:val="Point 2 (letter)"/>
    <w:basedOn w:val="Normal"/>
    <w:rsid w:val="0075503A"/>
    <w:pPr>
      <w:numPr>
        <w:ilvl w:val="5"/>
        <w:numId w:val="46"/>
      </w:numPr>
    </w:pPr>
  </w:style>
  <w:style w:type="paragraph" w:customStyle="1" w:styleId="Point3letter">
    <w:name w:val="Point 3 (letter)"/>
    <w:basedOn w:val="Normal"/>
    <w:rsid w:val="0075503A"/>
    <w:pPr>
      <w:numPr>
        <w:ilvl w:val="7"/>
        <w:numId w:val="46"/>
      </w:numPr>
    </w:pPr>
  </w:style>
  <w:style w:type="paragraph" w:customStyle="1" w:styleId="Point4letter">
    <w:name w:val="Point 4 (letter)"/>
    <w:basedOn w:val="Normal"/>
    <w:rsid w:val="0075503A"/>
    <w:pPr>
      <w:numPr>
        <w:ilvl w:val="8"/>
        <w:numId w:val="46"/>
      </w:numPr>
    </w:pPr>
  </w:style>
  <w:style w:type="paragraph" w:customStyle="1" w:styleId="Bullet0">
    <w:name w:val="Bullet 0"/>
    <w:basedOn w:val="Normal"/>
    <w:rsid w:val="0075503A"/>
    <w:pPr>
      <w:numPr>
        <w:numId w:val="47"/>
      </w:numPr>
    </w:pPr>
  </w:style>
  <w:style w:type="paragraph" w:customStyle="1" w:styleId="Bullet1">
    <w:name w:val="Bullet 1"/>
    <w:basedOn w:val="Normal"/>
    <w:rsid w:val="0075503A"/>
    <w:pPr>
      <w:numPr>
        <w:numId w:val="48"/>
      </w:numPr>
    </w:pPr>
  </w:style>
  <w:style w:type="paragraph" w:customStyle="1" w:styleId="Bullet2">
    <w:name w:val="Bullet 2"/>
    <w:basedOn w:val="Normal"/>
    <w:rsid w:val="0075503A"/>
    <w:pPr>
      <w:numPr>
        <w:numId w:val="49"/>
      </w:numPr>
    </w:pPr>
  </w:style>
  <w:style w:type="paragraph" w:customStyle="1" w:styleId="Bullet3">
    <w:name w:val="Bullet 3"/>
    <w:basedOn w:val="Normal"/>
    <w:rsid w:val="0075503A"/>
    <w:pPr>
      <w:numPr>
        <w:numId w:val="50"/>
      </w:numPr>
    </w:pPr>
  </w:style>
  <w:style w:type="paragraph" w:customStyle="1" w:styleId="Bullet4">
    <w:name w:val="Bullet 4"/>
    <w:basedOn w:val="Normal"/>
    <w:rsid w:val="0075503A"/>
    <w:pPr>
      <w:numPr>
        <w:numId w:val="51"/>
      </w:numPr>
    </w:pPr>
  </w:style>
  <w:style w:type="paragraph" w:customStyle="1" w:styleId="Annexetitreexpos">
    <w:name w:val="Annexe titre (exposé)"/>
    <w:basedOn w:val="Normal"/>
    <w:next w:val="Normal"/>
    <w:rsid w:val="0075503A"/>
    <w:pPr>
      <w:jc w:val="center"/>
    </w:pPr>
    <w:rPr>
      <w:b/>
      <w:u w:val="single"/>
    </w:rPr>
  </w:style>
  <w:style w:type="paragraph" w:customStyle="1" w:styleId="Annexetitre">
    <w:name w:val="Annexe titre"/>
    <w:basedOn w:val="Normal"/>
    <w:next w:val="Normal"/>
    <w:rsid w:val="0075503A"/>
    <w:pPr>
      <w:jc w:val="center"/>
    </w:pPr>
    <w:rPr>
      <w:b/>
      <w:u w:val="single"/>
    </w:rPr>
  </w:style>
  <w:style w:type="paragraph" w:customStyle="1" w:styleId="Annexetitrefichefinancire">
    <w:name w:val="Annexe titre (fiche financière)"/>
    <w:basedOn w:val="Normal"/>
    <w:next w:val="Normal"/>
    <w:rsid w:val="0075503A"/>
    <w:pPr>
      <w:jc w:val="center"/>
    </w:pPr>
    <w:rPr>
      <w:b/>
      <w:u w:val="single"/>
    </w:rPr>
  </w:style>
  <w:style w:type="paragraph" w:customStyle="1" w:styleId="Applicationdirecte">
    <w:name w:val="Application directe"/>
    <w:basedOn w:val="Normal"/>
    <w:next w:val="Fait"/>
    <w:rsid w:val="0075503A"/>
    <w:pPr>
      <w:spacing w:before="480"/>
    </w:pPr>
  </w:style>
  <w:style w:type="paragraph" w:customStyle="1" w:styleId="Avertissementtitre">
    <w:name w:val="Avertissement titre"/>
    <w:basedOn w:val="Normal"/>
    <w:next w:val="Normal"/>
    <w:rsid w:val="0075503A"/>
    <w:pPr>
      <w:keepNext/>
      <w:spacing w:before="480"/>
    </w:pPr>
    <w:rPr>
      <w:u w:val="single"/>
    </w:rPr>
  </w:style>
  <w:style w:type="paragraph" w:customStyle="1" w:styleId="Confidence">
    <w:name w:val="Confidence"/>
    <w:basedOn w:val="Normal"/>
    <w:next w:val="Normal"/>
    <w:rsid w:val="0075503A"/>
    <w:pPr>
      <w:spacing w:before="360"/>
      <w:jc w:val="center"/>
    </w:pPr>
  </w:style>
  <w:style w:type="paragraph" w:customStyle="1" w:styleId="Confidentialit">
    <w:name w:val="Confidentialité"/>
    <w:basedOn w:val="Normal"/>
    <w:next w:val="TypedudocumentPagedecouverture"/>
    <w:rsid w:val="0075503A"/>
    <w:pPr>
      <w:spacing w:before="240" w:after="240"/>
      <w:ind w:left="5103"/>
      <w:jc w:val="left"/>
    </w:pPr>
    <w:rPr>
      <w:i/>
      <w:sz w:val="32"/>
    </w:rPr>
  </w:style>
  <w:style w:type="paragraph" w:customStyle="1" w:styleId="Considrant">
    <w:name w:val="Considérant"/>
    <w:basedOn w:val="Normal"/>
    <w:rsid w:val="0075503A"/>
    <w:pPr>
      <w:numPr>
        <w:numId w:val="52"/>
      </w:numPr>
    </w:pPr>
  </w:style>
  <w:style w:type="paragraph" w:customStyle="1" w:styleId="Corrigendum">
    <w:name w:val="Corrigendum"/>
    <w:basedOn w:val="Normal"/>
    <w:next w:val="Normal"/>
    <w:rsid w:val="0075503A"/>
    <w:pPr>
      <w:spacing w:before="0" w:after="240"/>
      <w:jc w:val="left"/>
    </w:pPr>
  </w:style>
  <w:style w:type="paragraph" w:customStyle="1" w:styleId="Datedadoption">
    <w:name w:val="Date d'adoption"/>
    <w:basedOn w:val="Normal"/>
    <w:next w:val="Titreobjet"/>
    <w:rsid w:val="0075503A"/>
    <w:pPr>
      <w:spacing w:before="360" w:after="0"/>
      <w:jc w:val="center"/>
    </w:pPr>
    <w:rPr>
      <w:b/>
    </w:rPr>
  </w:style>
  <w:style w:type="paragraph" w:customStyle="1" w:styleId="Emission">
    <w:name w:val="Emission"/>
    <w:basedOn w:val="Normal"/>
    <w:next w:val="Rfrenceinstitutionnelle"/>
    <w:rsid w:val="0075503A"/>
    <w:pPr>
      <w:spacing w:before="0" w:after="0"/>
      <w:ind w:left="5103"/>
      <w:jc w:val="left"/>
    </w:pPr>
  </w:style>
  <w:style w:type="paragraph" w:customStyle="1" w:styleId="Exposdesmotifstitre">
    <w:name w:val="Exposé des motifs titre"/>
    <w:basedOn w:val="Normal"/>
    <w:next w:val="Normal"/>
    <w:rsid w:val="0075503A"/>
    <w:pPr>
      <w:jc w:val="center"/>
    </w:pPr>
    <w:rPr>
      <w:b/>
      <w:u w:val="single"/>
    </w:rPr>
  </w:style>
  <w:style w:type="paragraph" w:customStyle="1" w:styleId="Fait">
    <w:name w:val="Fait à"/>
    <w:basedOn w:val="Normal"/>
    <w:next w:val="Institutionquisigne"/>
    <w:rsid w:val="0075503A"/>
    <w:pPr>
      <w:keepNext/>
      <w:spacing w:after="0"/>
    </w:pPr>
  </w:style>
  <w:style w:type="paragraph" w:customStyle="1" w:styleId="Formuledadoption">
    <w:name w:val="Formule d'adoption"/>
    <w:basedOn w:val="Normal"/>
    <w:next w:val="Titrearticle"/>
    <w:rsid w:val="0075503A"/>
    <w:pPr>
      <w:keepNext/>
    </w:pPr>
  </w:style>
  <w:style w:type="paragraph" w:customStyle="1" w:styleId="Institutionquiagit">
    <w:name w:val="Institution qui agit"/>
    <w:basedOn w:val="Normal"/>
    <w:next w:val="Normal"/>
    <w:rsid w:val="0075503A"/>
    <w:pPr>
      <w:keepNext/>
      <w:spacing w:before="600"/>
    </w:pPr>
  </w:style>
  <w:style w:type="paragraph" w:customStyle="1" w:styleId="Institutionquisigne">
    <w:name w:val="Institution qui signe"/>
    <w:basedOn w:val="Normal"/>
    <w:next w:val="Personnequisigne"/>
    <w:rsid w:val="0075503A"/>
    <w:pPr>
      <w:keepNext/>
      <w:tabs>
        <w:tab w:val="left" w:pos="4252"/>
      </w:tabs>
      <w:spacing w:before="720" w:after="0"/>
    </w:pPr>
    <w:rPr>
      <w:i/>
    </w:rPr>
  </w:style>
  <w:style w:type="paragraph" w:customStyle="1" w:styleId="Langue">
    <w:name w:val="Langue"/>
    <w:basedOn w:val="Normal"/>
    <w:next w:val="Rfrenceinterne"/>
    <w:rsid w:val="0075503A"/>
    <w:pPr>
      <w:framePr w:wrap="around" w:vAnchor="page" w:hAnchor="text" w:xAlign="center" w:y="14741"/>
      <w:spacing w:before="0" w:after="600"/>
      <w:jc w:val="center"/>
    </w:pPr>
    <w:rPr>
      <w:b/>
      <w:caps/>
    </w:rPr>
  </w:style>
  <w:style w:type="paragraph" w:customStyle="1" w:styleId="ManualConsidrant">
    <w:name w:val="Manual Considérant"/>
    <w:basedOn w:val="Normal"/>
    <w:rsid w:val="0075503A"/>
    <w:pPr>
      <w:ind w:left="709" w:hanging="709"/>
    </w:pPr>
  </w:style>
  <w:style w:type="paragraph" w:customStyle="1" w:styleId="Nomdelinstitution">
    <w:name w:val="Nom de l'institution"/>
    <w:basedOn w:val="Normal"/>
    <w:next w:val="Emission"/>
    <w:rsid w:val="0075503A"/>
    <w:pPr>
      <w:spacing w:before="0" w:after="0"/>
      <w:jc w:val="left"/>
    </w:pPr>
    <w:rPr>
      <w:rFonts w:ascii="Arial" w:hAnsi="Arial" w:cs="Arial"/>
    </w:rPr>
  </w:style>
  <w:style w:type="paragraph" w:customStyle="1" w:styleId="Personnequisigne">
    <w:name w:val="Personne qui signe"/>
    <w:basedOn w:val="Normal"/>
    <w:next w:val="Institutionquisigne"/>
    <w:rsid w:val="0075503A"/>
    <w:pPr>
      <w:tabs>
        <w:tab w:val="left" w:pos="4252"/>
      </w:tabs>
      <w:spacing w:before="0" w:after="0"/>
      <w:jc w:val="left"/>
    </w:pPr>
    <w:rPr>
      <w:i/>
    </w:rPr>
  </w:style>
  <w:style w:type="paragraph" w:customStyle="1" w:styleId="Rfrenceinstitutionnelle">
    <w:name w:val="Référence institutionnelle"/>
    <w:basedOn w:val="Normal"/>
    <w:next w:val="Confidentialit"/>
    <w:rsid w:val="0075503A"/>
    <w:pPr>
      <w:spacing w:before="0" w:after="240"/>
      <w:ind w:left="5103"/>
      <w:jc w:val="left"/>
    </w:pPr>
  </w:style>
  <w:style w:type="paragraph" w:customStyle="1" w:styleId="Rfrenceinterinstitutionnelle">
    <w:name w:val="Référence interinstitutionnelle"/>
    <w:basedOn w:val="Normal"/>
    <w:next w:val="Statut"/>
    <w:rsid w:val="0075503A"/>
    <w:pPr>
      <w:spacing w:before="0" w:after="0"/>
      <w:ind w:left="5103"/>
      <w:jc w:val="left"/>
    </w:pPr>
  </w:style>
  <w:style w:type="paragraph" w:customStyle="1" w:styleId="Rfrenceinterne">
    <w:name w:val="Référence interne"/>
    <w:basedOn w:val="Normal"/>
    <w:next w:val="Rfrenceinterinstitutionnelle"/>
    <w:rsid w:val="0075503A"/>
    <w:pPr>
      <w:spacing w:before="0" w:after="0"/>
      <w:ind w:left="5103"/>
      <w:jc w:val="left"/>
    </w:pPr>
  </w:style>
  <w:style w:type="paragraph" w:customStyle="1" w:styleId="Sous-titreobjet">
    <w:name w:val="Sous-titre objet"/>
    <w:basedOn w:val="Normal"/>
    <w:rsid w:val="0075503A"/>
    <w:pPr>
      <w:spacing w:before="0" w:after="0"/>
      <w:jc w:val="center"/>
    </w:pPr>
    <w:rPr>
      <w:b/>
    </w:rPr>
  </w:style>
  <w:style w:type="paragraph" w:customStyle="1" w:styleId="Statut">
    <w:name w:val="Statut"/>
    <w:basedOn w:val="Normal"/>
    <w:next w:val="Typedudocument"/>
    <w:rsid w:val="0075503A"/>
    <w:pPr>
      <w:spacing w:before="360" w:after="0"/>
      <w:jc w:val="center"/>
    </w:pPr>
  </w:style>
  <w:style w:type="paragraph" w:customStyle="1" w:styleId="Titrearticle">
    <w:name w:val="Titre article"/>
    <w:basedOn w:val="Normal"/>
    <w:next w:val="Normal"/>
    <w:rsid w:val="0075503A"/>
    <w:pPr>
      <w:keepNext/>
      <w:spacing w:before="360"/>
      <w:jc w:val="center"/>
    </w:pPr>
    <w:rPr>
      <w:i/>
    </w:rPr>
  </w:style>
  <w:style w:type="paragraph" w:customStyle="1" w:styleId="Titreobjet">
    <w:name w:val="Titre objet"/>
    <w:basedOn w:val="Normal"/>
    <w:next w:val="Sous-titreobjet"/>
    <w:rsid w:val="0075503A"/>
    <w:pPr>
      <w:spacing w:before="180" w:after="180"/>
      <w:jc w:val="center"/>
    </w:pPr>
    <w:rPr>
      <w:b/>
    </w:rPr>
  </w:style>
  <w:style w:type="paragraph" w:customStyle="1" w:styleId="Typedudocument">
    <w:name w:val="Type du document"/>
    <w:basedOn w:val="Normal"/>
    <w:next w:val="Titreobjet"/>
    <w:rsid w:val="0075503A"/>
    <w:pPr>
      <w:spacing w:before="360" w:after="180"/>
      <w:jc w:val="center"/>
    </w:pPr>
    <w:rPr>
      <w:b/>
    </w:rPr>
  </w:style>
  <w:style w:type="character" w:customStyle="1" w:styleId="Added">
    <w:name w:val="Added"/>
    <w:basedOn w:val="DefaultParagraphFont"/>
    <w:rsid w:val="0075503A"/>
    <w:rPr>
      <w:b/>
      <w:u w:val="single"/>
      <w:shd w:val="clear" w:color="auto" w:fill="auto"/>
    </w:rPr>
  </w:style>
  <w:style w:type="character" w:customStyle="1" w:styleId="Deleted">
    <w:name w:val="Deleted"/>
    <w:basedOn w:val="DefaultParagraphFont"/>
    <w:rsid w:val="0075503A"/>
    <w:rPr>
      <w:strike/>
      <w:dstrike w:val="0"/>
      <w:shd w:val="clear" w:color="auto" w:fill="auto"/>
    </w:rPr>
  </w:style>
  <w:style w:type="paragraph" w:customStyle="1" w:styleId="Address">
    <w:name w:val="Address"/>
    <w:basedOn w:val="Normal"/>
    <w:next w:val="Normal"/>
    <w:rsid w:val="0075503A"/>
    <w:pPr>
      <w:keepLines/>
      <w:spacing w:line="360" w:lineRule="auto"/>
      <w:ind w:left="3402"/>
      <w:jc w:val="left"/>
    </w:pPr>
  </w:style>
  <w:style w:type="paragraph" w:customStyle="1" w:styleId="Objetexterne">
    <w:name w:val="Objet externe"/>
    <w:basedOn w:val="Normal"/>
    <w:next w:val="Normal"/>
    <w:rsid w:val="0075503A"/>
    <w:rPr>
      <w:i/>
      <w:caps/>
    </w:rPr>
  </w:style>
  <w:style w:type="paragraph" w:customStyle="1" w:styleId="Pagedecouverture">
    <w:name w:val="Page de couverture"/>
    <w:basedOn w:val="Normal"/>
    <w:next w:val="Normal"/>
    <w:rsid w:val="0075503A"/>
    <w:pPr>
      <w:spacing w:before="0" w:after="0"/>
    </w:pPr>
  </w:style>
  <w:style w:type="paragraph" w:customStyle="1" w:styleId="Supertitre">
    <w:name w:val="Supertitre"/>
    <w:basedOn w:val="Normal"/>
    <w:next w:val="Normal"/>
    <w:rsid w:val="0075503A"/>
    <w:pPr>
      <w:spacing w:before="0" w:after="600"/>
      <w:jc w:val="center"/>
    </w:pPr>
    <w:rPr>
      <w:b/>
    </w:rPr>
  </w:style>
  <w:style w:type="paragraph" w:customStyle="1" w:styleId="Languesfaisantfoi">
    <w:name w:val="Langues faisant foi"/>
    <w:basedOn w:val="Normal"/>
    <w:next w:val="Normal"/>
    <w:rsid w:val="0075503A"/>
    <w:pPr>
      <w:spacing w:before="360" w:after="0"/>
      <w:jc w:val="center"/>
    </w:pPr>
  </w:style>
  <w:style w:type="paragraph" w:customStyle="1" w:styleId="Rfrencecroise">
    <w:name w:val="Référence croisée"/>
    <w:basedOn w:val="Normal"/>
    <w:rsid w:val="0075503A"/>
    <w:pPr>
      <w:spacing w:before="0" w:after="0"/>
      <w:jc w:val="center"/>
    </w:pPr>
  </w:style>
  <w:style w:type="paragraph" w:customStyle="1" w:styleId="Fichefinanciretitre">
    <w:name w:val="Fiche financière titre"/>
    <w:basedOn w:val="Normal"/>
    <w:next w:val="Normal"/>
    <w:rsid w:val="0075503A"/>
    <w:pPr>
      <w:jc w:val="center"/>
    </w:pPr>
    <w:rPr>
      <w:b/>
      <w:u w:val="single"/>
    </w:rPr>
  </w:style>
  <w:style w:type="paragraph" w:customStyle="1" w:styleId="DatedadoptionPagedecouverture">
    <w:name w:val="Date d'adoption (Page de couverture)"/>
    <w:basedOn w:val="Datedadoption"/>
    <w:next w:val="TitreobjetPagedecouverture"/>
    <w:rsid w:val="0075503A"/>
  </w:style>
  <w:style w:type="paragraph" w:customStyle="1" w:styleId="RfrenceinterinstitutionnellePagedecouverture">
    <w:name w:val="Référence interinstitutionnelle (Page de couverture)"/>
    <w:basedOn w:val="Rfrenceinterinstitutionnelle"/>
    <w:next w:val="Confidentialit"/>
    <w:rsid w:val="0075503A"/>
  </w:style>
  <w:style w:type="paragraph" w:customStyle="1" w:styleId="Sous-titreobjetPagedecouverture">
    <w:name w:val="Sous-titre objet (Page de couverture)"/>
    <w:basedOn w:val="Sous-titreobjet"/>
    <w:rsid w:val="0075503A"/>
  </w:style>
  <w:style w:type="paragraph" w:customStyle="1" w:styleId="StatutPagedecouverture">
    <w:name w:val="Statut (Page de couverture)"/>
    <w:basedOn w:val="Statut"/>
    <w:next w:val="TypedudocumentPagedecouverture"/>
    <w:rsid w:val="0075503A"/>
  </w:style>
  <w:style w:type="paragraph" w:customStyle="1" w:styleId="TitreobjetPagedecouverture">
    <w:name w:val="Titre objet (Page de couverture)"/>
    <w:basedOn w:val="Titreobjet"/>
    <w:next w:val="Sous-titreobjetPagedecouverture"/>
    <w:rsid w:val="0075503A"/>
  </w:style>
  <w:style w:type="paragraph" w:customStyle="1" w:styleId="TypedudocumentPagedecouverture">
    <w:name w:val="Type du document (Page de couverture)"/>
    <w:basedOn w:val="Typedudocument"/>
    <w:next w:val="TitreobjetPagedecouverture"/>
    <w:rsid w:val="0075503A"/>
  </w:style>
  <w:style w:type="paragraph" w:customStyle="1" w:styleId="Volume">
    <w:name w:val="Volume"/>
    <w:basedOn w:val="Normal"/>
    <w:next w:val="Confidentialit"/>
    <w:rsid w:val="0075503A"/>
    <w:pPr>
      <w:spacing w:before="0" w:after="240"/>
      <w:ind w:left="5103"/>
      <w:jc w:val="left"/>
    </w:pPr>
  </w:style>
  <w:style w:type="paragraph" w:customStyle="1" w:styleId="IntrtEEE">
    <w:name w:val="Intérêt EEE"/>
    <w:basedOn w:val="Languesfaisantfoi"/>
    <w:next w:val="Normal"/>
    <w:rsid w:val="0075503A"/>
    <w:pPr>
      <w:spacing w:after="240"/>
    </w:pPr>
  </w:style>
  <w:style w:type="paragraph" w:customStyle="1" w:styleId="Accompagnant">
    <w:name w:val="Accompagnant"/>
    <w:basedOn w:val="Normal"/>
    <w:next w:val="Typeacteprincipal"/>
    <w:rsid w:val="0075503A"/>
    <w:pPr>
      <w:spacing w:before="180" w:after="240"/>
      <w:jc w:val="center"/>
    </w:pPr>
    <w:rPr>
      <w:b/>
    </w:rPr>
  </w:style>
  <w:style w:type="paragraph" w:customStyle="1" w:styleId="Typeacteprincipal">
    <w:name w:val="Type acte principal"/>
    <w:basedOn w:val="Normal"/>
    <w:next w:val="Objetacteprincipal"/>
    <w:rsid w:val="0075503A"/>
    <w:pPr>
      <w:spacing w:before="0" w:after="240"/>
      <w:jc w:val="center"/>
    </w:pPr>
    <w:rPr>
      <w:b/>
    </w:rPr>
  </w:style>
  <w:style w:type="paragraph" w:customStyle="1" w:styleId="Objetacteprincipal">
    <w:name w:val="Objet acte principal"/>
    <w:basedOn w:val="Normal"/>
    <w:next w:val="Titrearticle"/>
    <w:rsid w:val="0075503A"/>
    <w:pPr>
      <w:spacing w:before="0" w:after="360"/>
      <w:jc w:val="center"/>
    </w:pPr>
    <w:rPr>
      <w:b/>
    </w:rPr>
  </w:style>
  <w:style w:type="paragraph" w:customStyle="1" w:styleId="IntrtEEEPagedecouverture">
    <w:name w:val="Intérêt EEE (Page de couverture)"/>
    <w:basedOn w:val="IntrtEEE"/>
    <w:next w:val="Rfrencecroise"/>
    <w:rsid w:val="0075503A"/>
  </w:style>
  <w:style w:type="paragraph" w:customStyle="1" w:styleId="AccompagnantPagedecouverture">
    <w:name w:val="Accompagnant (Page de couverture)"/>
    <w:basedOn w:val="Accompagnant"/>
    <w:next w:val="TypeacteprincipalPagedecouverture"/>
    <w:rsid w:val="0075503A"/>
  </w:style>
  <w:style w:type="paragraph" w:customStyle="1" w:styleId="TypeacteprincipalPagedecouverture">
    <w:name w:val="Type acte principal (Page de couverture)"/>
    <w:basedOn w:val="Typeacteprincipal"/>
    <w:next w:val="ObjetacteprincipalPagedecouverture"/>
    <w:rsid w:val="0075503A"/>
  </w:style>
  <w:style w:type="paragraph" w:customStyle="1" w:styleId="ObjetacteprincipalPagedecouverture">
    <w:name w:val="Objet acte principal (Page de couverture)"/>
    <w:basedOn w:val="Objetacteprincipal"/>
    <w:next w:val="Rfrencecroise"/>
    <w:rsid w:val="0075503A"/>
  </w:style>
  <w:style w:type="paragraph" w:customStyle="1" w:styleId="LanguesfaisantfoiPagedecouverture">
    <w:name w:val="Langues faisant foi (Page de couverture)"/>
    <w:basedOn w:val="Normal"/>
    <w:next w:val="Normal"/>
    <w:rsid w:val="0075503A"/>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12099">
      <w:bodyDiv w:val="1"/>
      <w:marLeft w:val="0"/>
      <w:marRight w:val="0"/>
      <w:marTop w:val="0"/>
      <w:marBottom w:val="0"/>
      <w:divBdr>
        <w:top w:val="none" w:sz="0" w:space="0" w:color="auto"/>
        <w:left w:val="none" w:sz="0" w:space="0" w:color="auto"/>
        <w:bottom w:val="none" w:sz="0" w:space="0" w:color="auto"/>
        <w:right w:val="none" w:sz="0" w:space="0" w:color="auto"/>
      </w:divBdr>
    </w:div>
    <w:div w:id="69623876">
      <w:bodyDiv w:val="1"/>
      <w:marLeft w:val="0"/>
      <w:marRight w:val="0"/>
      <w:marTop w:val="0"/>
      <w:marBottom w:val="0"/>
      <w:divBdr>
        <w:top w:val="none" w:sz="0" w:space="0" w:color="auto"/>
        <w:left w:val="none" w:sz="0" w:space="0" w:color="auto"/>
        <w:bottom w:val="none" w:sz="0" w:space="0" w:color="auto"/>
        <w:right w:val="none" w:sz="0" w:space="0" w:color="auto"/>
      </w:divBdr>
    </w:div>
    <w:div w:id="801382193">
      <w:bodyDiv w:val="1"/>
      <w:marLeft w:val="0"/>
      <w:marRight w:val="0"/>
      <w:marTop w:val="0"/>
      <w:marBottom w:val="0"/>
      <w:divBdr>
        <w:top w:val="none" w:sz="0" w:space="0" w:color="auto"/>
        <w:left w:val="none" w:sz="0" w:space="0" w:color="auto"/>
        <w:bottom w:val="none" w:sz="0" w:space="0" w:color="auto"/>
        <w:right w:val="none" w:sz="0" w:space="0" w:color="auto"/>
      </w:divBdr>
    </w:div>
    <w:div w:id="1998344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FDBEE660C5C746896B1AF0BD5837D1" ma:contentTypeVersion="0" ma:contentTypeDescription="Create a new document." ma:contentTypeScope="" ma:versionID="b1f6916a3c5d0476c652a027a86a2bb7">
  <xsd:schema xmlns:xsd="http://www.w3.org/2001/XMLSchema" xmlns:xs="http://www.w3.org/2001/XMLSchema" xmlns:p="http://schemas.microsoft.com/office/2006/metadata/properties" targetNamespace="http://schemas.microsoft.com/office/2006/metadata/properties" ma:root="true" ma:fieldsID="ee0df30b8d2a7434fd7c296176a3aa1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950D16-86CA-4629-9132-F5838F54DC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782B64F-40F6-4004-9CEC-6EFEA29ACD56}">
  <ds:schemaRefs>
    <ds:schemaRef ds:uri="http://schemas.microsoft.com/office/2006/documentManagement/types"/>
    <ds:schemaRef ds:uri="http://schemas.microsoft.com/office/2006/metadata/properties"/>
    <ds:schemaRef ds:uri="http://purl.org/dc/elements/1.1/"/>
    <ds:schemaRef ds:uri="http://purl.org/dc/terms/"/>
    <ds:schemaRef ds:uri="http://www.w3.org/XML/1998/namespace"/>
    <ds:schemaRef ds:uri="http://schemas.microsoft.com/office/infopath/2007/PartnerControl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4113A613-D5BA-4341-AA61-F957DF5A13CA}">
  <ds:schemaRefs>
    <ds:schemaRef ds:uri="http://schemas.microsoft.com/sharepoint/v3/contenttype/forms"/>
  </ds:schemaRefs>
</ds:datastoreItem>
</file>

<file path=customXml/itemProps4.xml><?xml version="1.0" encoding="utf-8"?>
<ds:datastoreItem xmlns:ds="http://schemas.openxmlformats.org/officeDocument/2006/customXml" ds:itemID="{F4C54C8F-20B0-4F2A-9D2E-C2762E0BF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0</TotalTime>
  <Pages>1</Pages>
  <Words>8821</Words>
  <Characters>61397</Characters>
  <Application>Microsoft Office Word</Application>
  <DocSecurity>0</DocSecurity>
  <Lines>1231</Lines>
  <Paragraphs>580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69741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DQC</dc:creator>
  <cp:lastModifiedBy>x</cp:lastModifiedBy>
  <cp:revision>3</cp:revision>
  <cp:lastPrinted>2017-02-03T18:06:00Z</cp:lastPrinted>
  <dcterms:created xsi:type="dcterms:W3CDTF">2017-03-03T10:19:00Z</dcterms:created>
  <dcterms:modified xsi:type="dcterms:W3CDTF">2017-03-03T10:19:00Z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First annex">
    <vt:lpwstr>1</vt:lpwstr>
  </property>
  <property fmtid="{D5CDD505-2E9C-101B-9397-08002B2CF9AE}" pid="8" name="Last annex">
    <vt:lpwstr>11</vt:lpwstr>
  </property>
  <property fmtid="{D5CDD505-2E9C-101B-9397-08002B2CF9AE}" pid="9" name="Part">
    <vt:lpwstr>&lt;UNUSED&gt;</vt:lpwstr>
  </property>
  <property fmtid="{D5CDD505-2E9C-101B-9397-08002B2CF9AE}" pid="10" name="Total parts">
    <vt:lpwstr>&lt;UNUSED&gt;</vt:lpwstr>
  </property>
  <property fmtid="{D5CDD505-2E9C-101B-9397-08002B2CF9AE}" pid="11" name="LWTemplateID">
    <vt:lpwstr>SG-017</vt:lpwstr>
  </property>
  <property fmtid="{D5CDD505-2E9C-101B-9397-08002B2CF9AE}" pid="12" name="ContentTypeId">
    <vt:lpwstr>0x01010078FDBEE660C5C746896B1AF0BD5837D1</vt:lpwstr>
  </property>
  <property fmtid="{D5CDD505-2E9C-101B-9397-08002B2CF9AE}" pid="13" name="IsMyDocuments">
    <vt:bool>true</vt:bool>
  </property>
  <property fmtid="{D5CDD505-2E9C-101B-9397-08002B2CF9AE}" pid="14" name="DQCStatus">
    <vt:lpwstr>Green (DQC version 03)</vt:lpwstr>
  </property>
</Properties>
</file>