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AA" w:rsidRPr="005019FA" w:rsidRDefault="00880F26" w:rsidP="00C72359">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454DAE0744C4645B405CF31F9BBA684" style="width:450.8pt;height:582.45pt">
            <v:imagedata r:id="rId12" o:title=""/>
          </v:shape>
        </w:pict>
      </w:r>
    </w:p>
    <w:p w:rsidR="00B602AA" w:rsidRPr="005019FA" w:rsidRDefault="00B602AA">
      <w:pPr>
        <w:sectPr w:rsidR="00B602AA" w:rsidRPr="005019FA" w:rsidSect="00FB71B8">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B532D7" w:rsidRPr="005019FA" w:rsidRDefault="00B532D7">
      <w:pPr>
        <w:pStyle w:val="Annexetitre"/>
        <w:rPr>
          <w:b w:val="0"/>
          <w:i/>
          <w:u w:val="none"/>
        </w:rPr>
      </w:pPr>
      <w:r w:rsidRPr="005019FA">
        <w:rPr>
          <w:b w:val="0"/>
          <w:i/>
          <w:u w:val="none"/>
        </w:rPr>
        <w:lastRenderedPageBreak/>
        <w:t>ANEXA I</w:t>
      </w:r>
    </w:p>
    <w:p w:rsidR="00B602AA" w:rsidRPr="005019FA" w:rsidRDefault="00B532D7" w:rsidP="00056BCA">
      <w:pPr>
        <w:jc w:val="center"/>
      </w:pPr>
      <w:r w:rsidRPr="005019FA">
        <w:rPr>
          <w:b/>
        </w:rPr>
        <w:t>CADRUL GENERAL PENTRU PLANURILE ENERGETICE ȘI CLIMATICE NAȚIONALE INTEGRATE</w:t>
      </w:r>
    </w:p>
    <w:p w:rsidR="00B532D7" w:rsidRPr="005019FA" w:rsidRDefault="005C5300" w:rsidP="00056BCA">
      <w:pPr>
        <w:jc w:val="center"/>
        <w:rPr>
          <w:rFonts w:eastAsia="Times New Roman"/>
          <w:b/>
          <w:color w:val="000000"/>
          <w:szCs w:val="24"/>
        </w:rPr>
      </w:pPr>
      <w:r w:rsidRPr="005019FA">
        <w:rPr>
          <w:b/>
          <w:color w:val="000000"/>
        </w:rPr>
        <w:t>Partea 1</w:t>
      </w:r>
    </w:p>
    <w:p w:rsidR="00B602AA" w:rsidRPr="005019FA" w:rsidRDefault="005C5300" w:rsidP="00056BCA">
      <w:pPr>
        <w:jc w:val="center"/>
        <w:rPr>
          <w:i/>
        </w:rPr>
      </w:pPr>
      <w:r w:rsidRPr="005019FA">
        <w:rPr>
          <w:i/>
          <w:color w:val="000000"/>
        </w:rPr>
        <w:t>Cadrul general</w:t>
      </w:r>
    </w:p>
    <w:tbl>
      <w:tblPr>
        <w:tblStyle w:val="TableGrid"/>
        <w:tblW w:w="0" w:type="auto"/>
        <w:tblInd w:w="360" w:type="dxa"/>
        <w:tblLook w:val="04A0" w:firstRow="1" w:lastRow="0" w:firstColumn="1" w:lastColumn="0" w:noHBand="0" w:noVBand="1"/>
      </w:tblPr>
      <w:tblGrid>
        <w:gridCol w:w="8928"/>
      </w:tblGrid>
      <w:tr w:rsidR="00B602AA" w:rsidRPr="005019FA">
        <w:trPr>
          <w:trHeight w:val="425"/>
        </w:trPr>
        <w:tc>
          <w:tcPr>
            <w:tcW w:w="8928" w:type="dxa"/>
            <w:shd w:val="clear" w:color="auto" w:fill="A6A6A6" w:themeFill="background1" w:themeFillShade="A6"/>
            <w:vAlign w:val="center"/>
          </w:tcPr>
          <w:p w:rsidR="00B602AA" w:rsidRPr="005019FA" w:rsidRDefault="005C5300">
            <w:pPr>
              <w:spacing w:before="0"/>
              <w:jc w:val="center"/>
              <w:rPr>
                <w:b/>
              </w:rPr>
            </w:pPr>
            <w:r w:rsidRPr="005019FA">
              <w:rPr>
                <w:b/>
              </w:rPr>
              <w:t>SECȚIUNEA A: PLANUL NAȚIONAL</w:t>
            </w:r>
          </w:p>
        </w:tc>
      </w:tr>
      <w:tr w:rsidR="00B602AA" w:rsidRPr="005019FA">
        <w:tc>
          <w:tcPr>
            <w:tcW w:w="8928" w:type="dxa"/>
            <w:shd w:val="clear" w:color="auto" w:fill="D9D9D9" w:themeFill="background1" w:themeFillShade="D9"/>
          </w:tcPr>
          <w:p w:rsidR="00B602AA" w:rsidRPr="005019FA" w:rsidRDefault="005C5300">
            <w:pPr>
              <w:pStyle w:val="ListParagraph"/>
              <w:numPr>
                <w:ilvl w:val="0"/>
                <w:numId w:val="1"/>
              </w:numPr>
              <w:spacing w:after="120" w:line="240" w:lineRule="auto"/>
              <w:contextualSpacing w:val="0"/>
              <w:rPr>
                <w:rFonts w:ascii="Times New Roman" w:hAnsi="Times New Roman" w:cs="Times New Roman"/>
                <w:b/>
              </w:rPr>
            </w:pPr>
            <w:r w:rsidRPr="005019FA">
              <w:rPr>
                <w:rFonts w:ascii="Times New Roman" w:hAnsi="Times New Roman"/>
                <w:b/>
              </w:rPr>
              <w:t>PREZENTARE GENERALĂ ȘI PROCESUL DE STABILIRE A PLANULUI</w:t>
            </w:r>
          </w:p>
        </w:tc>
      </w:tr>
      <w:tr w:rsidR="00B602AA" w:rsidRPr="005019FA">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Rezumat</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Contextul politic, economic, social și de mediu al planului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Strategia globală care cuprinde cele cinci dimensiuni ale uniunii energetice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Tabel recapitulativ cu principalele obiective, politici și măsuri ale planului</w:t>
            </w:r>
          </w:p>
        </w:tc>
      </w:tr>
      <w:tr w:rsidR="00B602AA" w:rsidRPr="005019FA">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 xml:space="preserve">Prezentare generală a situației politice actuale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Sistemul energetic al UE și cel național și contextul de politică al planului național</w:t>
            </w:r>
          </w:p>
          <w:p w:rsidR="00B602AA" w:rsidRPr="005019FA" w:rsidRDefault="005C5300">
            <w:pPr>
              <w:pStyle w:val="ListParagraph"/>
              <w:numPr>
                <w:ilvl w:val="3"/>
                <w:numId w:val="1"/>
              </w:numPr>
              <w:spacing w:after="120"/>
              <w:contextualSpacing w:val="0"/>
              <w:rPr>
                <w:rFonts w:ascii="Times New Roman" w:hAnsi="Times New Roman" w:cs="Times New Roman"/>
              </w:rPr>
            </w:pPr>
            <w:r w:rsidRPr="005019FA">
              <w:rPr>
                <w:rFonts w:ascii="Times New Roman" w:hAnsi="Times New Roman"/>
              </w:rPr>
              <w:t xml:space="preserve">Politicile actuale privind energia și clima și măsuri în cadrul celor cinci dimensiuni ale uniunii energetice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Aspecte-cheie cu importanță transfrontalieră</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Structura administrativă de punere în aplicare a politicilor naționale privind energia și clima</w:t>
            </w:r>
          </w:p>
        </w:tc>
      </w:tr>
      <w:tr w:rsidR="00B602AA" w:rsidRPr="005019FA">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Consultări și implicarea entităților naționale și de la nivelul UE, precum și rezultatul acestora</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Implicarea Parlamentului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Implicarea autorităților locale și regionale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Consultări cu părțile interesate, inclusiv cu partenerii sociali, și angajarea societății civile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Consultări cu alte state membre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Procesul iterativ cu Comisia Europeană </w:t>
            </w:r>
          </w:p>
        </w:tc>
      </w:tr>
      <w:tr w:rsidR="00B602AA" w:rsidRPr="005019FA">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Cooperarea regională în decursul elaborării planului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Elementele care fac obiectul unor planificări comune sau coordonate cu alte state membre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Explicarea modului în care planul ia în considerare cooperarea regională</w:t>
            </w:r>
          </w:p>
        </w:tc>
      </w:tr>
      <w:tr w:rsidR="00B602AA" w:rsidRPr="005019FA">
        <w:tc>
          <w:tcPr>
            <w:tcW w:w="8928" w:type="dxa"/>
            <w:shd w:val="clear" w:color="auto" w:fill="D9D9D9" w:themeFill="background1" w:themeFillShade="D9"/>
          </w:tcPr>
          <w:p w:rsidR="00B602AA" w:rsidRPr="005019FA" w:rsidRDefault="005C5300">
            <w:pPr>
              <w:pStyle w:val="ListParagraph"/>
              <w:numPr>
                <w:ilvl w:val="0"/>
                <w:numId w:val="1"/>
              </w:numPr>
              <w:spacing w:after="120" w:line="240" w:lineRule="auto"/>
              <w:contextualSpacing w:val="0"/>
              <w:rPr>
                <w:rFonts w:ascii="Times New Roman" w:hAnsi="Times New Roman" w:cs="Times New Roman"/>
                <w:b/>
              </w:rPr>
            </w:pPr>
            <w:r w:rsidRPr="005019FA">
              <w:rPr>
                <w:rFonts w:ascii="Times New Roman" w:hAnsi="Times New Roman"/>
                <w:b/>
              </w:rPr>
              <w:t>OBIECTIVE NAȚIONALE</w:t>
            </w:r>
          </w:p>
        </w:tc>
      </w:tr>
      <w:tr w:rsidR="00B602AA" w:rsidRPr="005019FA">
        <w:trPr>
          <w:trHeight w:val="283"/>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Dimensiunea decarbonizării</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Emisiile și absorbțiile de GES (pentru planul care vizează perioada 2021-2030, obiectivul-cadru pentru 2030 de reducere cu cel puțin 40 % pe plan intern a emisiilor de gaze cu efect de seră la nivelul întregii economii în comparație cu 1990)</w:t>
            </w:r>
            <w:r w:rsidRPr="005019FA">
              <w:rPr>
                <w:rStyle w:val="FootnoteReference"/>
                <w:rFonts w:ascii="Times New Roman" w:hAnsi="Times New Roman"/>
              </w:rPr>
              <w:t xml:space="preserve"> </w:t>
            </w:r>
            <w:r w:rsidRPr="005019FA">
              <w:rPr>
                <w:rStyle w:val="FootnoteReference"/>
                <w:rFonts w:ascii="Times New Roman" w:hAnsi="Times New Roman"/>
              </w:rPr>
              <w:footnoteReference w:id="2"/>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lastRenderedPageBreak/>
              <w:t>Obiectivul național obligatoriu al statului membru pentru 2030 privind emisiile de gaze cu efect de seră în sectoarele neaflate sub incidența ETS, limitele anuale naționale obligatorii</w:t>
            </w:r>
            <w:r w:rsidRPr="005019FA">
              <w:rPr>
                <w:rStyle w:val="FootnoteReference"/>
                <w:rFonts w:ascii="Times New Roman" w:hAnsi="Times New Roman"/>
              </w:rPr>
              <w:footnoteReference w:id="3"/>
            </w:r>
            <w:r w:rsidRPr="005019FA">
              <w:rPr>
                <w:rFonts w:ascii="Times New Roman" w:hAnsi="Times New Roman"/>
              </w:rPr>
              <w:t xml:space="preserve"> și angajamentele în temeiul Regulamentului LULUCF</w:t>
            </w:r>
            <w:r w:rsidRPr="005019FA">
              <w:rPr>
                <w:rStyle w:val="FootnoteReference"/>
                <w:rFonts w:ascii="Times New Roman" w:hAnsi="Times New Roman"/>
              </w:rPr>
              <w:footnoteReference w:id="4"/>
            </w:r>
            <w:r w:rsidRPr="005019FA">
              <w:rPr>
                <w:rFonts w:ascii="Times New Roman" w:hAnsi="Times New Roman"/>
              </w:rPr>
              <w:t xml:space="preserv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alte obiective naționale care sunt consecvente cu strategiile de reducere a emisiilor pe termen lung existente Dacă este cazul, alte obiective, inclusiv obiective sectoriale și obiective de adaptare</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Energia din surse regenerabile (obiectiv-cadru pentru 2030)</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Ponderea energiei din surse regenerabile în consumul final brut de energie în 2030, planificată de statul membru drept contribuție națională la îndeplinirea obiectivului obligatoriu la nivelul UE de cel puțin 27 % în 2030</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O traiectorie liniară privind ponderea globală a energiei din surse regenerabile în consumul final brut de energie pentru perioada 2021-2030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Traiectoriile privind ponderea sectorială a energiei din surse regenerabile în consumul final de energie din 2021 până în 2030 în sectorul energiei electrice, al încălzirii și al răcirii și în sectorul transporturilor.</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Traiectoriile, defalcate pe tehnologiile de energie din surse regenerabile pe care statul membru intenționează să le folosească pentru a obține traiectoriile sectoriale și traiectoria globală pentru energia din surse regenerabile din 2021 până în 2030, inclusiv consumul final brut total de energie preconizat per tehnologie și per sector, în Mtep, și capacitatea instalată planificată totală (împărțită în capacitate nouă și </w:t>
            </w:r>
            <w:r w:rsidRPr="005019FA">
              <w:rPr>
                <w:rFonts w:ascii="Times New Roman" w:hAnsi="Times New Roman"/>
                <w:i/>
              </w:rPr>
              <w:t>repowering</w:t>
            </w:r>
            <w:r w:rsidRPr="005019FA">
              <w:rPr>
                <w:rFonts w:ascii="Times New Roman" w:hAnsi="Times New Roman"/>
              </w:rPr>
              <w:t>) per tehnologie și per sector, în MW</w:t>
            </w:r>
          </w:p>
          <w:p w:rsidR="00B602AA" w:rsidRPr="005019FA" w:rsidRDefault="005C5300">
            <w:pPr>
              <w:pStyle w:val="ListParagraph"/>
              <w:numPr>
                <w:ilvl w:val="3"/>
                <w:numId w:val="1"/>
              </w:numPr>
              <w:spacing w:after="120" w:line="240" w:lineRule="auto"/>
              <w:contextualSpacing w:val="0"/>
            </w:pPr>
            <w:r w:rsidRPr="005019FA">
              <w:rPr>
                <w:rFonts w:ascii="Times New Roman" w:hAnsi="Times New Roman"/>
              </w:rPr>
              <w:t>Traiectoriile privind cererea de bioenergie, defalcată pe energie termică, energie electrică și transporturi, și privind oferta de biomasă, defalcată pe materii prime și pe proveniență (făcând distincție între producția internă și importuri). Pentru biomasa forestieră, o evaluare a sursei sale și impactul asupra absorbantului LULUCF</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Dacă este cazul, alte traiectorii și obiective naționale, inclusiv pe termen lung sau sectoriale (de exemplu, ponderea biocombustibililor avansați, ponderea energiei din surse regenerabile în cadrul termoficării, utilizarea energiei din surse regenerabile în clădiri, energia din surse regenerabile produsă de orașe, de comunități energetice și de consumatori autonomi)</w:t>
            </w:r>
          </w:p>
        </w:tc>
      </w:tr>
      <w:tr w:rsidR="00B602AA" w:rsidRPr="005019FA" w:rsidTr="00056BCA">
        <w:trPr>
          <w:trHeight w:val="416"/>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lastRenderedPageBreak/>
              <w:t>Dimensiunea eficienței energetice (obiectiv-cadru pentru 2030)</w:t>
            </w:r>
          </w:p>
          <w:p w:rsidR="00B602AA" w:rsidRPr="005019FA" w:rsidRDefault="005C5300" w:rsidP="0041420D">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Contribuția orientativă privind eficiența energetică pe plan național pentru îndeplinirea obiectivului obligatoriu al Uniunii privind eficiența energetică de 30 % în 2030, menționat la articolul 1 alineatul (1) și la articolul 3 alineatul (4) din Directiva 2012/27/UE [versiunea modificată în conformitate cu propunerea COM(2016)761], bazată fie pe consumul primar sau final de energie, fie pe economiile primare sau finale de energie, fie pe intensitatea energetică; exprimată ca nivel absolut al consumului primar de energie și al consumului final de energie în 2020 și în 2030, cu o traiectorie liniară pentru contribuția respectivă începând din 2021; inclusiv metodologia pe care se bazează și factorii de conversie utilizați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lastRenderedPageBreak/>
              <w:t xml:space="preserve">Cantitatea cumulată de economii de energie care trebuie realizate în perioada 2021-2030 în temeiul articolului 7 (referitor la obligațiile de economisire a energiei) din Directiva 2012/27/UE [versiunea modificată în conformitate cu propunerea COM(2016)761]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pentru renovarea pe termen lung a parcului național de clădiri rezidențiale și comerciale (atât publice, cât și private)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Suprafața totală care urmează să fie renovată sau economiile de energie anuale echivalente care trebuie realizate din 2021 până în 2030 în temeiul articolului 5 referitor la rolul exemplar al clădirilor organismelor publice din Directiva 2012/27/UE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alte obiective naționale, inclusiv obiective sau strategii pe termen lung și obiective sectoriale. Obiectivele naționale în domenii precum eficiența energetică în sectorul transporturilor și în ceea ce privește încălzirea și răcirea</w:t>
            </w:r>
          </w:p>
        </w:tc>
      </w:tr>
      <w:tr w:rsidR="00B602AA" w:rsidRPr="005019FA">
        <w:trPr>
          <w:trHeight w:val="283"/>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lastRenderedPageBreak/>
              <w:t xml:space="preserve">Dimensiunea securității energetice </w:t>
            </w:r>
          </w:p>
          <w:p w:rsidR="00B602AA" w:rsidRPr="005019FA" w:rsidRDefault="005C5300" w:rsidP="00BD4A85">
            <w:pPr>
              <w:pStyle w:val="ListParagraph"/>
              <w:numPr>
                <w:ilvl w:val="3"/>
                <w:numId w:val="1"/>
              </w:numPr>
              <w:rPr>
                <w:rFonts w:ascii="Times New Roman" w:hAnsi="Times New Roman" w:cs="Times New Roman"/>
              </w:rPr>
            </w:pPr>
            <w:r w:rsidRPr="005019FA">
              <w:rPr>
                <w:rFonts w:ascii="Times New Roman" w:hAnsi="Times New Roman"/>
              </w:rPr>
              <w:t xml:space="preserve">Obiectivele naționale în ceea ce privește sporirea gradului de diversitate a surselor de energie și a aprovizionării cu energie din țări terțe, stocarea și reacția din partea cererii </w:t>
            </w:r>
          </w:p>
          <w:p w:rsidR="0057769C" w:rsidRPr="005019FA" w:rsidRDefault="0057769C" w:rsidP="0057769C">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naționale în ceea ce privește reducerea dependenței de importurile de energie din țări terțe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naționale în ceea ce privește capacitatea de a face față întreruperii sau diminuării unei surse de aprovizionare cu energie (inclusiv gaz și energie electrică) și, acolo unde este cazul, un termen până la care să fie îndeplinite obiectivele</w:t>
            </w:r>
            <w:r w:rsidRPr="005019FA">
              <w:rPr>
                <w:rStyle w:val="FootnoteReference"/>
                <w:rFonts w:ascii="Times New Roman" w:hAnsi="Times New Roman"/>
              </w:rPr>
              <w:footnoteReference w:id="5"/>
            </w:r>
          </w:p>
          <w:p w:rsidR="00B602AA" w:rsidRPr="005019FA" w:rsidRDefault="005C5300" w:rsidP="004D60E3">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naționale în ceea ce privește utilizarea surselor interne de energie (în special energia din surse regenerabile)</w:t>
            </w:r>
          </w:p>
        </w:tc>
      </w:tr>
      <w:tr w:rsidR="00B602AA" w:rsidRPr="005019FA">
        <w:trPr>
          <w:trHeight w:val="816"/>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Dimensiunea pieței interne a energiei</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Interconectivitatea rețelelor de energie electrică (obiectiv-cadru pentru 2030)</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Nivelul de interconectivitate a rețelelor de energie electrică în 2030 spre care tinde statul membru în raport cu obiectivul Consiliului European din octombrie 2014</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Infrastructura de transport al energiei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naționale esențiale privind infrastructura de transport al energiei electrice și al gazului, care sunt necesare pentru atingerea obiectivelor din cadrul oricăreia dintre dimensiunile strategiei pentru uniunea energetică</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principalele proiecte de infrastructură preconizate, în afara proiectelor de interes comun (PIC)</w:t>
            </w:r>
            <w:r w:rsidRPr="005019FA">
              <w:rPr>
                <w:rStyle w:val="FootnoteReference"/>
                <w:rFonts w:ascii="Times New Roman" w:hAnsi="Times New Roman"/>
              </w:rPr>
              <w:footnoteReference w:id="6"/>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lastRenderedPageBreak/>
              <w:t>Integrarea piețelor</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naționale referitoare la alte aspecte ale pieței interne a energiei, precum integrarea și cuplarea piețelor, inclusiv un termen până la care să fie îndeplinite obiectivele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naționale în ceea ce privește asigurarea caracterului adecvat al sistemului de energie electrică, precum și referitoare la flexibilitatea sistemului energetic în ceea ce privește producția de energie din surse regenerabile, inclusiv un termen până la care să fie îndeplinite obiectivele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naționale privind protecția consumatorilor de energie și îmbunătățirea competitivității sectorului de energie cu amănuntul</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Sărăcia energetică</w:t>
            </w:r>
          </w:p>
          <w:p w:rsidR="00B602AA" w:rsidRPr="005019FA" w:rsidRDefault="005C5300" w:rsidP="00737574">
            <w:pPr>
              <w:pStyle w:val="ListParagraph"/>
              <w:spacing w:after="120" w:line="240" w:lineRule="auto"/>
              <w:ind w:left="1728"/>
              <w:contextualSpacing w:val="0"/>
              <w:rPr>
                <w:rFonts w:ascii="Times New Roman" w:hAnsi="Times New Roman" w:cs="Times New Roman"/>
              </w:rPr>
            </w:pPr>
            <w:r w:rsidRPr="005019FA">
              <w:rPr>
                <w:rFonts w:ascii="Times New Roman" w:hAnsi="Times New Roman"/>
              </w:rPr>
              <w:t>Obiectivele naționale în ceea ce privește sărăcia energetică, inclusiv un termen până la care să fie îndeplinite obiectivele</w:t>
            </w:r>
          </w:p>
        </w:tc>
      </w:tr>
      <w:tr w:rsidR="00B602AA" w:rsidRPr="005019FA">
        <w:trPr>
          <w:trHeight w:val="416"/>
        </w:trPr>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lastRenderedPageBreak/>
              <w:t>Dimensiunea cercetării, inovării și competitivității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Obiectivele naționale și obiectivele de finanțare privind inovarea și cercetarea publică și privată legată de uniunea energetică, inclusiv, dacă este cazul, un termen până la care să fie îndeplinite obiectivele; reflectând prioritățile strategiei pentru uniunea energetică și planul SET</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obiectivele naționale, inclusiv obiectivele pe termen lung (2050), pentru implementarea tehnologiilor cu emisii reduse de dioxid de carbon, inclusiv pentru decarbonizarea sectoarelor industriale mari consumatoare de energie și mari generatoare de emisii de dioxid de carbon și, dacă este cazul, pentru infrastructura aferentă de transport și stocare a dioxidului de carbon</w:t>
            </w:r>
          </w:p>
          <w:p w:rsidR="00B602AA" w:rsidRPr="005019FA" w:rsidRDefault="005C5300">
            <w:pPr>
              <w:pStyle w:val="ListParagraph"/>
              <w:numPr>
                <w:ilvl w:val="3"/>
                <w:numId w:val="1"/>
              </w:numPr>
              <w:spacing w:after="120"/>
              <w:contextualSpacing w:val="0"/>
              <w:rPr>
                <w:rFonts w:ascii="Times New Roman" w:hAnsi="Times New Roman" w:cs="Times New Roman"/>
              </w:rPr>
            </w:pPr>
            <w:r w:rsidRPr="005019FA">
              <w:rPr>
                <w:rFonts w:ascii="Times New Roman" w:hAnsi="Times New Roman"/>
              </w:rPr>
              <w:t xml:space="preserve">Obiectivele naționale în ceea ce privește competitivitatea </w:t>
            </w:r>
          </w:p>
        </w:tc>
      </w:tr>
      <w:tr w:rsidR="00B602AA" w:rsidRPr="005019FA">
        <w:tc>
          <w:tcPr>
            <w:tcW w:w="8928" w:type="dxa"/>
            <w:shd w:val="clear" w:color="auto" w:fill="D9D9D9" w:themeFill="background1" w:themeFillShade="D9"/>
          </w:tcPr>
          <w:p w:rsidR="00B602AA" w:rsidRPr="005019FA" w:rsidRDefault="005C5300">
            <w:pPr>
              <w:pStyle w:val="ListParagraph"/>
              <w:numPr>
                <w:ilvl w:val="0"/>
                <w:numId w:val="1"/>
              </w:numPr>
              <w:spacing w:after="120" w:line="240" w:lineRule="auto"/>
              <w:contextualSpacing w:val="0"/>
              <w:rPr>
                <w:rFonts w:ascii="Times New Roman" w:hAnsi="Times New Roman" w:cs="Times New Roman"/>
                <w:b/>
              </w:rPr>
            </w:pPr>
            <w:r w:rsidRPr="005019FA">
              <w:rPr>
                <w:rFonts w:ascii="Times New Roman" w:hAnsi="Times New Roman"/>
                <w:b/>
              </w:rPr>
              <w:t>POLITICI ȘI MĂSURI</w:t>
            </w:r>
          </w:p>
        </w:tc>
      </w:tr>
      <w:tr w:rsidR="00B602AA" w:rsidRPr="005019FA" w:rsidTr="00BD4A85">
        <w:trPr>
          <w:trHeight w:val="274"/>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Dimensiunea decarbonizării</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Emisiile și absorbțiile de GES (pentru planul care vizează perioada 2021-2030, obiectivul-cadru pentru 2030)</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Politicile și măsurile pentru atingerea obiectivului stabilit în temeiul Regulamentului [ ] [ESR], menționat la punctul 2.1.1, și politicile și măsurile pentru respectarea Regulamentului [ ] [LULUCF], acoperind toate sectoarele importante generatoare de emisii și sectoarele pentru sporirea absorbțiilor, cu o perspectivă către viziunea și obiectivul pe termen lung de a deveni o economie cu emisii scăzute de dioxid de carbon în 50 de ani și de a obține un echilibru între emisii și absorbții în conformitate cu Acordul de la Paris</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Cooperarea regională în acest domeniu</w:t>
            </w:r>
          </w:p>
          <w:p w:rsidR="00B602AA" w:rsidRPr="005019FA" w:rsidRDefault="00DC5DF2">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fără a aduce atingere aplicabilității normelor privind ajutoarele de stat, măsurile de finanțare, inclusiv sprijinul UE și utilizarea fondurilor UE în acest domeniu la nivel național</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Energia din surse regenerabile (obiectiv-cadru pentru 2030)</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 xml:space="preserve">Politicile și măsurile pentru a realiza contribuția națională la obiectivul obligatoriu pentru 2030 la nivelul UE privind energia din surse regenerabile și </w:t>
            </w:r>
            <w:r w:rsidRPr="005019FA">
              <w:rPr>
                <w:rFonts w:ascii="Times New Roman" w:hAnsi="Times New Roman"/>
              </w:rPr>
              <w:lastRenderedPageBreak/>
              <w:t>traiectoriile prezentate la punctul 2.1.2, inclusiv măsuri specifice sectoarelor și tehnologiilor</w:t>
            </w:r>
            <w:r w:rsidRPr="005019FA">
              <w:rPr>
                <w:rStyle w:val="FootnoteReference"/>
                <w:rFonts w:ascii="Times New Roman" w:hAnsi="Times New Roman"/>
              </w:rPr>
              <w:footnoteReference w:id="7"/>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Măsurile specifice pentru cooperarea regională, precum și excedentul de producție de energie din surse regenerabile care ar putea fi transferat către alte state membre pentru a realiza contribuția națională și traiectoriile prezentate la punctul 2.1.2</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 xml:space="preserve">Măsurile specifice privind sprijinul financiar, inclusiv sprijinul UE și utilizarea fondurilor UE, pentru promovarea producției și utilizării de energie din surse regenerabile în sectorul energiei electrice, al încălzirii și răcirii și al transporturilor </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Măsurile specifice pentru introducerea unui ghișeu unic, raționalizarea procedurilor administrative, furnizarea de informații și de formare și acordarea unei puteri mai mari consumatorilor autonomi și comunităților energetice</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Evaluarea necesității de a construi o nouă infrastructură pentru termoficarea și răcirea centralizată produse din surse regenerabile de energie</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Măsuri specifice pentru promovarea utilizării energiei din biomasă, în special pentru mobilizarea de noi surse de biomasă, ținând seama de:</w:t>
            </w:r>
          </w:p>
          <w:p w:rsidR="00B602AA" w:rsidRPr="005019FA" w:rsidRDefault="005C5300">
            <w:pPr>
              <w:pStyle w:val="ListParagraph"/>
              <w:spacing w:after="120"/>
              <w:ind w:left="1728"/>
              <w:contextualSpacing w:val="0"/>
              <w:jc w:val="both"/>
              <w:rPr>
                <w:rFonts w:ascii="Times New Roman" w:hAnsi="Times New Roman" w:cs="Times New Roman"/>
              </w:rPr>
            </w:pPr>
            <w:r w:rsidRPr="005019FA">
              <w:rPr>
                <w:rFonts w:ascii="Times New Roman" w:hAnsi="Times New Roman"/>
              </w:rPr>
              <w:t>- disponibilitatea biomasei: atât potențialul intern, cât și importurile din țări terțe</w:t>
            </w:r>
          </w:p>
          <w:p w:rsidR="00B602AA" w:rsidRPr="005019FA" w:rsidRDefault="005C5300">
            <w:pPr>
              <w:pStyle w:val="ListParagraph"/>
              <w:spacing w:after="120"/>
              <w:ind w:left="1728"/>
              <w:contextualSpacing w:val="0"/>
              <w:jc w:val="both"/>
              <w:rPr>
                <w:rFonts w:ascii="Times New Roman" w:hAnsi="Times New Roman" w:cs="Times New Roman"/>
              </w:rPr>
            </w:pPr>
            <w:r w:rsidRPr="005019FA">
              <w:rPr>
                <w:rFonts w:ascii="Times New Roman" w:hAnsi="Times New Roman"/>
              </w:rPr>
              <w:t>- alte utilizări ale biomasei de către alte sectoare (bazate pe agricultură și pe silvicultură), precum și măsuri pentru asigurarea unei producții și utilizări durabile a biomasei</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Alte elemente ale dimensiunii</w:t>
            </w:r>
          </w:p>
          <w:p w:rsidR="00B602AA" w:rsidRPr="005019FA" w:rsidRDefault="00FD388C">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politicile și măsurile naționale care afectează sectorul ETS al UE și evaluarea complementarității și a impactului asupra schemei EU ETS</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Strategiile, planurile și măsurile privind adaptarea la schimbările climatice</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Politicile și măsurile pentru atingerea altor obiective naționale, dacă este cazul</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Politicile și măsurile pentru obținerea mobilității cu emisii scăzute (inclusiv electrificarea transporturilor)</w:t>
            </w:r>
          </w:p>
        </w:tc>
      </w:tr>
      <w:tr w:rsidR="00B602AA" w:rsidRPr="005019FA">
        <w:trPr>
          <w:trHeight w:val="566"/>
        </w:trPr>
        <w:tc>
          <w:tcPr>
            <w:tcW w:w="8928" w:type="dxa"/>
          </w:tcPr>
          <w:p w:rsidR="00B602AA" w:rsidRPr="005019FA" w:rsidRDefault="005C5300">
            <w:pPr>
              <w:pStyle w:val="ListParagraph"/>
              <w:numPr>
                <w:ilvl w:val="1"/>
                <w:numId w:val="1"/>
              </w:numPr>
              <w:spacing w:after="120"/>
              <w:ind w:left="788" w:hanging="431"/>
              <w:contextualSpacing w:val="0"/>
              <w:rPr>
                <w:rFonts w:ascii="Times New Roman" w:hAnsi="Times New Roman" w:cs="Times New Roman"/>
                <w:b/>
              </w:rPr>
            </w:pPr>
            <w:r w:rsidRPr="005019FA">
              <w:rPr>
                <w:rFonts w:ascii="Times New Roman" w:hAnsi="Times New Roman"/>
                <w:b/>
              </w:rPr>
              <w:lastRenderedPageBreak/>
              <w:t>Dimensiunea eficienței energetice (obiectiv-cadru pentru 2030)</w:t>
            </w:r>
          </w:p>
          <w:p w:rsidR="00B602AA" w:rsidRPr="005019FA" w:rsidRDefault="005C5300">
            <w:pPr>
              <w:spacing w:before="0"/>
              <w:rPr>
                <w:sz w:val="22"/>
              </w:rPr>
            </w:pPr>
            <w:r w:rsidRPr="005019FA">
              <w:rPr>
                <w:sz w:val="22"/>
              </w:rPr>
              <w:t>Politicile, măsurile și programele planificate pentru atingerea obiectivului național orientativ în materie de eficiență energetică pentru 2030, precum și a altor obiective prezentate la punctul 2.2, inclusiv măsurile și instrumentele (de asemenea de natură financiară) planificate pentru a promova performanța energetică a clădirilor, în special în ceea ce privește următoarele: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Schemele de obligații și măsurile alternative privind eficiența energetică în temeiul articolelor 7a și 7b din Directiva 2012/27/UE [versiunea modificată în conformitate cu propunerea COM(2016)761] (care trebuie elaborate în conformitate cu anexa II)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Strategia pe termen lung pentru renovarea parcului național de clădiri rezidențiale și comerciale (atât publice, cât și private)</w:t>
            </w:r>
            <w:r w:rsidRPr="005019FA">
              <w:rPr>
                <w:rStyle w:val="FootnoteReference"/>
                <w:rFonts w:ascii="Times New Roman" w:hAnsi="Times New Roman"/>
              </w:rPr>
              <w:t xml:space="preserve"> </w:t>
            </w:r>
            <w:r w:rsidRPr="005019FA">
              <w:rPr>
                <w:rStyle w:val="FootnoteReference"/>
                <w:rFonts w:ascii="Times New Roman" w:hAnsi="Times New Roman"/>
              </w:rPr>
              <w:footnoteReference w:id="8"/>
            </w:r>
            <w:r w:rsidRPr="005019FA">
              <w:rPr>
                <w:rFonts w:ascii="Times New Roman" w:hAnsi="Times New Roman"/>
              </w:rPr>
              <w:t xml:space="preserve">, inclusiv politicile și măsurile de stimulare a renovărilor aprofundate rentabile și a renovărilor </w:t>
            </w:r>
            <w:r w:rsidRPr="005019FA">
              <w:rPr>
                <w:rFonts w:ascii="Times New Roman" w:hAnsi="Times New Roman"/>
              </w:rPr>
              <w:lastRenderedPageBreak/>
              <w:t>aprofundate rentabile efectuate în etape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Descrierea politicilor și a măsurilor de promovare a serviciilor energetice în sectorul public și a măsurilor de eliminare a barierelor de reglementare și de altă natură care împiedică adoptarea practicii de a încheia contracte de performanță energetică și a altor modele de servicii de eficiență energetică</w:t>
            </w:r>
            <w:r w:rsidRPr="005019FA">
              <w:rPr>
                <w:rStyle w:val="FootnoteReference"/>
                <w:rFonts w:ascii="Times New Roman" w:hAnsi="Times New Roman"/>
              </w:rPr>
              <w:footnoteReference w:id="9"/>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Alte politici, măsuri și programe planificate pentru atingerea obiectivului național orientativ în materie de eficiență energetică pentru 2030, precum și a altor obiective prezentate la punctul 2.2 (de exemplu măsuri de promovare a rolului de exemplu al clădirilor publice și al</w:t>
            </w:r>
            <w:r w:rsidRPr="005019FA">
              <w:rPr>
                <w:rStyle w:val="Emphasis"/>
                <w:rFonts w:ascii="Times New Roman" w:hAnsi="Times New Roman"/>
                <w:i w:val="0"/>
              </w:rPr>
              <w:t xml:space="preserve"> </w:t>
            </w:r>
            <w:r w:rsidRPr="005019FA">
              <w:rPr>
                <w:rFonts w:ascii="Times New Roman" w:hAnsi="Times New Roman"/>
              </w:rPr>
              <w:t>achizițiilor</w:t>
            </w:r>
            <w:r w:rsidRPr="005019FA">
              <w:rPr>
                <w:rStyle w:val="st"/>
                <w:rFonts w:ascii="Times New Roman" w:hAnsi="Times New Roman"/>
              </w:rPr>
              <w:t xml:space="preserve"> </w:t>
            </w:r>
            <w:r w:rsidRPr="005019FA">
              <w:rPr>
                <w:rFonts w:ascii="Times New Roman" w:hAnsi="Times New Roman"/>
              </w:rPr>
              <w:t>publice</w:t>
            </w:r>
            <w:r w:rsidRPr="005019FA">
              <w:rPr>
                <w:rStyle w:val="Emphasis"/>
                <w:rFonts w:ascii="Times New Roman" w:hAnsi="Times New Roman"/>
                <w:i w:val="0"/>
              </w:rPr>
              <w:t xml:space="preserve"> </w:t>
            </w:r>
            <w:r w:rsidRPr="005019FA">
              <w:rPr>
                <w:rFonts w:ascii="Times New Roman" w:hAnsi="Times New Roman"/>
              </w:rPr>
              <w:t>eficiente din punct de vedere energetic, măsuri de promovare a auditurilor energetice și a sistemelor de gestionare a energiei</w:t>
            </w:r>
            <w:r w:rsidRPr="005019FA">
              <w:rPr>
                <w:rStyle w:val="FootnoteReference"/>
                <w:rFonts w:ascii="Times New Roman" w:hAnsi="Times New Roman"/>
              </w:rPr>
              <w:footnoteReference w:id="10"/>
            </w:r>
            <w:r w:rsidRPr="005019FA">
              <w:rPr>
                <w:rFonts w:ascii="Times New Roman" w:hAnsi="Times New Roman"/>
              </w:rPr>
              <w:t>, măsuri privind formarea și informarea consumatorilor</w:t>
            </w:r>
            <w:r w:rsidRPr="005019FA">
              <w:rPr>
                <w:rStyle w:val="FootnoteReference"/>
                <w:rFonts w:ascii="Times New Roman" w:hAnsi="Times New Roman"/>
              </w:rPr>
              <w:footnoteReference w:id="11"/>
            </w:r>
            <w:r w:rsidRPr="005019FA">
              <w:rPr>
                <w:rFonts w:ascii="Times New Roman" w:hAnsi="Times New Roman"/>
              </w:rPr>
              <w:t>, precum și alte măsuri de promovare a eficienței energetice</w:t>
            </w:r>
            <w:r w:rsidRPr="005019FA">
              <w:rPr>
                <w:rStyle w:val="FootnoteReference"/>
                <w:rFonts w:ascii="Times New Roman" w:hAnsi="Times New Roman"/>
              </w:rPr>
              <w:footnoteReference w:id="12"/>
            </w:r>
            <w:r w:rsidRPr="005019FA">
              <w:rPr>
                <w:rFonts w:ascii="Times New Roman" w:hAnsi="Times New Roman"/>
              </w:rPr>
              <w:t>)</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Descrierea măsurilor de utilizare a potențialului de eficiență energetică al infrastructurii pentru gaz și pentru energie electrică</w:t>
            </w:r>
            <w:r w:rsidRPr="005019FA">
              <w:rPr>
                <w:rStyle w:val="FootnoteReference"/>
                <w:rFonts w:ascii="Times New Roman" w:hAnsi="Times New Roman"/>
              </w:rPr>
              <w:footnoteReference w:id="13"/>
            </w:r>
          </w:p>
          <w:p w:rsidR="00B602AA" w:rsidRPr="005019FA" w:rsidRDefault="005C5300">
            <w:pPr>
              <w:pStyle w:val="ListParagraph"/>
              <w:numPr>
                <w:ilvl w:val="3"/>
                <w:numId w:val="1"/>
              </w:numPr>
              <w:spacing w:after="120"/>
              <w:contextualSpacing w:val="0"/>
              <w:rPr>
                <w:rFonts w:ascii="Times New Roman" w:hAnsi="Times New Roman" w:cs="Times New Roman"/>
              </w:rPr>
            </w:pPr>
            <w:r w:rsidRPr="005019FA">
              <w:rPr>
                <w:rFonts w:ascii="Times New Roman" w:hAnsi="Times New Roman"/>
              </w:rPr>
              <w:t>Cooperarea regională în acest domeniu, dacă este cazul</w:t>
            </w:r>
          </w:p>
          <w:p w:rsidR="00B602AA" w:rsidRPr="005019FA" w:rsidRDefault="005C5300">
            <w:pPr>
              <w:pStyle w:val="ListParagraph"/>
              <w:numPr>
                <w:ilvl w:val="3"/>
                <w:numId w:val="1"/>
              </w:numPr>
              <w:spacing w:after="120"/>
              <w:contextualSpacing w:val="0"/>
              <w:rPr>
                <w:rFonts w:ascii="Times New Roman" w:hAnsi="Times New Roman" w:cs="Times New Roman"/>
              </w:rPr>
            </w:pPr>
            <w:r w:rsidRPr="005019FA">
              <w:rPr>
                <w:rFonts w:ascii="Times New Roman" w:hAnsi="Times New Roman"/>
              </w:rPr>
              <w:t>Măsurile de finanțare, inclusiv sprijinul UE și utilizarea fondurilor UE în domeniu, la nivel național</w:t>
            </w:r>
          </w:p>
        </w:tc>
      </w:tr>
      <w:tr w:rsidR="00B602AA" w:rsidRPr="005019FA">
        <w:trPr>
          <w:trHeight w:val="273"/>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lastRenderedPageBreak/>
              <w:t>Dimensiunea securității energetice</w:t>
            </w:r>
            <w:r w:rsidRPr="005019FA">
              <w:rPr>
                <w:rStyle w:val="FootnoteReference"/>
                <w:rFonts w:ascii="Times New Roman" w:hAnsi="Times New Roman"/>
                <w:b/>
              </w:rPr>
              <w:footnoteReference w:id="14"/>
            </w:r>
            <w:r w:rsidRPr="005019FA">
              <w:rPr>
                <w:rFonts w:ascii="Times New Roman" w:hAnsi="Times New Roman"/>
                <w:b/>
              </w:rPr>
              <w:t xml:space="preserv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Politicile și măsurile pentru atingerea obiectivelor stabilite la punctul 2.3</w:t>
            </w:r>
            <w:r w:rsidRPr="005019FA">
              <w:rPr>
                <w:rStyle w:val="FootnoteReference"/>
                <w:rFonts w:ascii="Times New Roman" w:hAnsi="Times New Roman"/>
              </w:rPr>
              <w:footnoteReference w:id="15"/>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Cooperarea regională în acest domeniu</w:t>
            </w:r>
          </w:p>
          <w:p w:rsidR="00B602AA" w:rsidRPr="005019FA" w:rsidRDefault="00B80D97" w:rsidP="00B80D97">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Dacă este cazul, măsurile de finanțare în acest domeniu la nivel național, inclusiv sprijinul UE și utilizarea de fonduri UE </w:t>
            </w:r>
          </w:p>
        </w:tc>
      </w:tr>
      <w:tr w:rsidR="00B602AA" w:rsidRPr="005019FA">
        <w:trPr>
          <w:trHeight w:val="826"/>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Dimensiunea pieței interne a energiei</w:t>
            </w:r>
            <w:r w:rsidRPr="005019FA">
              <w:rPr>
                <w:rStyle w:val="FootnoteReference"/>
                <w:rFonts w:ascii="Times New Roman" w:hAnsi="Times New Roman"/>
                <w:b/>
              </w:rPr>
              <w:footnoteReference w:id="16"/>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Infrastructura pentru energie electrică</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Politicile și măsurile pentru atingerea nivelului-țintă de interconectivitate prezentat la punctul 2.4.1</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Cooperarea regională în acest domeniu</w:t>
            </w:r>
            <w:r w:rsidRPr="005019FA">
              <w:rPr>
                <w:rStyle w:val="FootnoteReference"/>
                <w:rFonts w:ascii="Times New Roman" w:hAnsi="Times New Roman"/>
              </w:rPr>
              <w:footnoteReference w:id="17"/>
            </w:r>
          </w:p>
          <w:p w:rsidR="00B602AA" w:rsidRPr="005019FA" w:rsidRDefault="00B80D97">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măsurile de finanțare în acest domeniu la nivel național, inclusiv sprijinul UE și utilizarea de fonduri UE</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Infrastructura de transport al energiei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Politicile și măsurile pentru atingerea principalelor obiective privind infrastructura prezentate la punctul 2.4.2, inclusiv, dacă este cazul, măsurile </w:t>
            </w:r>
            <w:r w:rsidRPr="005019FA">
              <w:rPr>
                <w:rFonts w:ascii="Times New Roman" w:hAnsi="Times New Roman"/>
              </w:rPr>
              <w:lastRenderedPageBreak/>
              <w:t>specifice pentru a permite realizarea de proiecte de interes comun (PIC) și de alte proiecte de infrastructură importante</w:t>
            </w:r>
          </w:p>
          <w:p w:rsidR="00766871" w:rsidRPr="005019FA" w:rsidRDefault="005C5300" w:rsidP="00766871">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Cooperarea regională în acest domeniu</w:t>
            </w:r>
            <w:r w:rsidRPr="005019FA">
              <w:rPr>
                <w:rStyle w:val="FootnoteReference"/>
                <w:rFonts w:ascii="Times New Roman" w:hAnsi="Times New Roman"/>
              </w:rPr>
              <w:footnoteReference w:id="18"/>
            </w:r>
          </w:p>
          <w:p w:rsidR="00B602AA" w:rsidRPr="005019FA" w:rsidRDefault="00766871" w:rsidP="00766871">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măsurile de finanțare în acest domeniu la nivel național, inclusiv sprijinul UE și utilizarea de fonduri UE</w:t>
            </w:r>
          </w:p>
          <w:p w:rsidR="00B602AA" w:rsidRPr="005019FA" w:rsidRDefault="005C5300" w:rsidP="00F763F5">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Integrarea piețelor</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Politicile și măsurile pentru atingerea obiectivelor stabilite la punctul 2.4.3</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Măsurile de sporire a flexibilității sistemului energetic în ceea ce privește producția de energie din surse regenerabile, inclusiv introducerea cuplării piețelor intrazilnice și a piețelor de echilibrare transfrontaliere</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Măsurile de asigurare a accesului și dispecerizării prioritare a energiei electrice produse din surse regenerabile de energie sau prin cogenerarea de înaltă eficiență și de prevenire a restricționării sau a redispecerizării acestui tip de energie electrică</w:t>
            </w:r>
            <w:r w:rsidRPr="005019FA">
              <w:rPr>
                <w:rStyle w:val="FootnoteReference"/>
                <w:rFonts w:ascii="Times New Roman" w:hAnsi="Times New Roman"/>
              </w:rPr>
              <w:footnoteReference w:id="19"/>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Politicile și măsurile pentru protejarea consumatorilor, în special a consumatorilor vulnerabili și afectați de sărăcia energetică, și pentru îmbunătățirea competitivității și a contestabilității pieței energiei cu amănuntul</w:t>
            </w:r>
          </w:p>
          <w:p w:rsidR="00B602AA" w:rsidRPr="005019FA" w:rsidRDefault="005C5300">
            <w:pPr>
              <w:pStyle w:val="ListParagraph"/>
              <w:numPr>
                <w:ilvl w:val="3"/>
                <w:numId w:val="1"/>
              </w:numPr>
              <w:spacing w:after="120" w:line="240" w:lineRule="auto"/>
              <w:contextualSpacing w:val="0"/>
              <w:jc w:val="both"/>
              <w:rPr>
                <w:rFonts w:ascii="Times New Roman" w:hAnsi="Times New Roman" w:cs="Times New Roman"/>
              </w:rPr>
            </w:pPr>
            <w:r w:rsidRPr="005019FA">
              <w:rPr>
                <w:rFonts w:ascii="Times New Roman" w:hAnsi="Times New Roman"/>
              </w:rPr>
              <w:t>Descrierea măsurilor pentru permiterea și dezvoltarea reacției din partea cererii, inclusiv a celor referitoare la tarife care să sprijine o stabilire dinamică a prețurilor</w:t>
            </w:r>
            <w:r w:rsidRPr="005019FA">
              <w:rPr>
                <w:rStyle w:val="FootnoteReference"/>
                <w:rFonts w:ascii="Times New Roman" w:hAnsi="Times New Roman"/>
              </w:rPr>
              <w:footnoteReference w:id="20"/>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Sărăcia energetică</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Politicile și măsurile pentru atingerea obiectivelor stabilite la punctul 2.4.4</w:t>
            </w:r>
          </w:p>
        </w:tc>
      </w:tr>
      <w:tr w:rsidR="00B602AA" w:rsidRPr="005019FA">
        <w:trPr>
          <w:trHeight w:val="826"/>
        </w:trPr>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lastRenderedPageBreak/>
              <w:t>Dimensiunea cercetării, inovării și competitivității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Politicile și măsurile, inclusiv cele pentru atingerea obiectivelor stabilite la punctul 2.5</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Cooperarea cu alte state membre în acest domeniu, inclusiv informații privind modul în care obiectivele și politicile planului SET sunt transpuse în context național </w:t>
            </w:r>
          </w:p>
          <w:p w:rsidR="00B602AA" w:rsidRPr="005019FA" w:rsidRDefault="00C9757F" w:rsidP="00B37E28">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Dacă este cazul, măsurile de finanțare în acest domeniu la nivel național, inclusiv sprijinul UE și utilizarea de fonduri UE</w:t>
            </w:r>
          </w:p>
        </w:tc>
      </w:tr>
    </w:tbl>
    <w:p w:rsidR="00B602AA" w:rsidRPr="005019FA" w:rsidRDefault="00B602AA"/>
    <w:p w:rsidR="004D60E3" w:rsidRPr="005019FA" w:rsidRDefault="004D60E3">
      <w:r w:rsidRPr="005019FA">
        <w:br w:type="page"/>
      </w:r>
    </w:p>
    <w:tbl>
      <w:tblPr>
        <w:tblStyle w:val="TableGrid"/>
        <w:tblW w:w="0" w:type="auto"/>
        <w:tblInd w:w="360" w:type="dxa"/>
        <w:tblLook w:val="04A0" w:firstRow="1" w:lastRow="0" w:firstColumn="1" w:lastColumn="0" w:noHBand="0" w:noVBand="1"/>
      </w:tblPr>
      <w:tblGrid>
        <w:gridCol w:w="8928"/>
      </w:tblGrid>
      <w:tr w:rsidR="00B602AA" w:rsidRPr="005019FA">
        <w:trPr>
          <w:trHeight w:val="456"/>
        </w:trPr>
        <w:tc>
          <w:tcPr>
            <w:tcW w:w="8928" w:type="dxa"/>
            <w:tcBorders>
              <w:bottom w:val="single" w:sz="4" w:space="0" w:color="auto"/>
            </w:tcBorders>
            <w:shd w:val="clear" w:color="auto" w:fill="A6A6A6" w:themeFill="background1" w:themeFillShade="A6"/>
            <w:vAlign w:val="center"/>
          </w:tcPr>
          <w:p w:rsidR="00B602AA" w:rsidRPr="005019FA" w:rsidRDefault="005C5300">
            <w:pPr>
              <w:spacing w:before="0"/>
              <w:jc w:val="center"/>
              <w:rPr>
                <w:b/>
              </w:rPr>
            </w:pPr>
            <w:r w:rsidRPr="005019FA">
              <w:rPr>
                <w:b/>
              </w:rPr>
              <w:lastRenderedPageBreak/>
              <w:t>SECȚIUNEA B: BAZA ANALITICĂ</w:t>
            </w:r>
            <w:r w:rsidRPr="005019FA">
              <w:rPr>
                <w:rStyle w:val="FootnoteReference"/>
                <w:b/>
              </w:rPr>
              <w:footnoteReference w:id="21"/>
            </w:r>
          </w:p>
        </w:tc>
      </w:tr>
      <w:tr w:rsidR="00B602AA" w:rsidRPr="005019FA">
        <w:trPr>
          <w:trHeight w:val="326"/>
        </w:trPr>
        <w:tc>
          <w:tcPr>
            <w:tcW w:w="8928" w:type="dxa"/>
            <w:tcBorders>
              <w:bottom w:val="single" w:sz="4" w:space="0" w:color="auto"/>
            </w:tcBorders>
            <w:shd w:val="clear" w:color="auto" w:fill="D9D9D9" w:themeFill="background1" w:themeFillShade="D9"/>
          </w:tcPr>
          <w:p w:rsidR="00B602AA" w:rsidRPr="005019FA" w:rsidRDefault="005C5300">
            <w:pPr>
              <w:pStyle w:val="ListParagraph"/>
              <w:numPr>
                <w:ilvl w:val="0"/>
                <w:numId w:val="1"/>
              </w:numPr>
              <w:spacing w:after="120" w:line="240" w:lineRule="auto"/>
              <w:contextualSpacing w:val="0"/>
              <w:rPr>
                <w:rFonts w:ascii="Times New Roman" w:hAnsi="Times New Roman" w:cs="Times New Roman"/>
                <w:b/>
              </w:rPr>
            </w:pPr>
            <w:r w:rsidRPr="005019FA">
              <w:rPr>
                <w:rFonts w:ascii="Times New Roman" w:hAnsi="Times New Roman"/>
                <w:b/>
              </w:rPr>
              <w:t>SITUAȚIA ACTUALĂ ȘI PREVIZIUNI ÎN CONTEXTUL POLITICILOR ȘI MĂSURILOR EXISTENTE</w:t>
            </w:r>
            <w:r w:rsidRPr="005019FA">
              <w:rPr>
                <w:rStyle w:val="FootnoteReference"/>
                <w:rFonts w:ascii="Times New Roman" w:hAnsi="Times New Roman"/>
                <w:b/>
              </w:rPr>
              <w:footnoteReference w:id="22"/>
            </w:r>
            <w:r w:rsidRPr="005019FA">
              <w:rPr>
                <w:rFonts w:ascii="Times New Roman" w:hAnsi="Times New Roman"/>
                <w:b/>
                <w:vertAlign w:val="superscript"/>
              </w:rPr>
              <w:t>,</w:t>
            </w:r>
            <w:r w:rsidRPr="005019FA">
              <w:rPr>
                <w:rStyle w:val="FootnoteReference"/>
                <w:rFonts w:ascii="Times New Roman" w:hAnsi="Times New Roman"/>
                <w:b/>
              </w:rPr>
              <w:footnoteReference w:id="23"/>
            </w:r>
          </w:p>
        </w:tc>
      </w:tr>
      <w:tr w:rsidR="00B602AA" w:rsidRPr="005019FA">
        <w:trPr>
          <w:trHeight w:val="566"/>
        </w:trPr>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 xml:space="preserve">Evoluția previzionată a principalilor factori exogeni care influențează sistemul energetic și evoluțiile emisiilor de GES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Prognoze macroeconomice (PIB și creșterea populației)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Modificări sectoriale care sunt preconizate să aibă un impact asupra sistemului energetic și a emisiilor de GES</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Tendințele energetice globale, prețurile combustibililor fosili la nivel internațional, prețul dioxidului de carbon în cadrul EU ETS</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Evoluții ale costului tehnologiilor</w:t>
            </w:r>
          </w:p>
        </w:tc>
      </w:tr>
      <w:tr w:rsidR="00B602AA" w:rsidRPr="005019FA">
        <w:trPr>
          <w:trHeight w:val="283"/>
        </w:trPr>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Dimensiunea decarbonizării</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Emisii și absorbții de GES</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Tendințe în ceea ce privește emisiile și absorbțiile actuale de GES în cadrul EU ETS, al Regulamentului privind partajarea eforturilor și al LULUCF și în diferite sectoare energetice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Previziuni referitoare la evoluțiile sectoriale în contextul politicilor și măsurilor naționale și ale UE existente, cel puțin până în 2040 (inclusiv pentru anul 2030)</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 xml:space="preserve">Energie din surse regenerabile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Ponderea actuală a energiei din surse regenerabile în cadrul consumului final brut de energie și în diferite sectoare (încălzire și răcire, energie electrică și transporturi), precum și per tehnologie în fiecare dintre aceste sectoare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Previziuni referitoare la evoluția în contextul politicilor și măsurilor existente, cel puțin până în 2040 (inclusiv pentru anul 2030)</w:t>
            </w:r>
          </w:p>
        </w:tc>
      </w:tr>
      <w:tr w:rsidR="00B602AA" w:rsidRPr="005019FA">
        <w:trPr>
          <w:trHeight w:val="416"/>
        </w:trPr>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Dimensiunea</w:t>
            </w:r>
            <w:r w:rsidRPr="005019FA">
              <w:t xml:space="preserve"> </w:t>
            </w:r>
            <w:r w:rsidRPr="005019FA">
              <w:rPr>
                <w:rFonts w:ascii="Times New Roman" w:hAnsi="Times New Roman"/>
                <w:b/>
              </w:rPr>
              <w:t xml:space="preserve">eficienței energetice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Consumul primar și final de energie actual în cadrul economiei și per sector (inclusiv industrie, rezidențial, servicii și transporturi)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Potențialul actual de aplicare a cogenerării de înaltă eficiență și a termoficării și răcirii centralizate eficiente</w:t>
            </w:r>
            <w:r w:rsidRPr="005019FA">
              <w:rPr>
                <w:rStyle w:val="FootnoteReference"/>
                <w:rFonts w:ascii="Times New Roman" w:hAnsi="Times New Roman"/>
              </w:rPr>
              <w:footnoteReference w:id="24"/>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lastRenderedPageBreak/>
              <w:t>Previziuni care țin seama de politicile, măsurile și programele existente în materie de eficiență energetică descrise la punctul 1.2. subpunctul (ii) pentru consumul primar și final de energie, pentru fiecare sector în parte, cel puțin până în 2040 (inclusiv pentru anul 2030)</w:t>
            </w:r>
            <w:r w:rsidRPr="005019FA">
              <w:rPr>
                <w:rStyle w:val="FootnoteReference"/>
                <w:rFonts w:ascii="Times New Roman" w:hAnsi="Times New Roman"/>
              </w:rPr>
              <w:footnoteReference w:id="25"/>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Nivelurile optime din punctul de vedere al costurilor ale cerințelor minime de performanță energetică rezultate din calculele naționale, în conformitate cu articolul 5 din Directiva 2010/31/UE</w:t>
            </w:r>
          </w:p>
        </w:tc>
      </w:tr>
      <w:tr w:rsidR="00B602AA" w:rsidRPr="005019FA">
        <w:trPr>
          <w:trHeight w:val="826"/>
        </w:trPr>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lastRenderedPageBreak/>
              <w:t xml:space="preserve">Dimensiunea securității energetice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Mixul energetic actual, resursele interne de energie, dependența de importuri, inclusiv riscurile relevante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Previziuni referitoare la evoluția în contextul politicilor și măsurilor existente, cel puțin până în 2040 (inclusiv pentru anul 2030)</w:t>
            </w:r>
          </w:p>
        </w:tc>
      </w:tr>
      <w:tr w:rsidR="00B602AA" w:rsidRPr="005019FA">
        <w:trPr>
          <w:trHeight w:val="826"/>
        </w:trPr>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Dimensiunea pieței interne a energiei</w:t>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 xml:space="preserve">Interconectivitatea rețelelor de energie electrică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Nivelul actual de interconectare și principalele interconexiuni</w:t>
            </w:r>
            <w:r w:rsidRPr="005019FA">
              <w:rPr>
                <w:rStyle w:val="FootnoteReference"/>
                <w:rFonts w:ascii="Times New Roman" w:hAnsi="Times New Roman"/>
              </w:rPr>
              <w:footnoteReference w:id="26"/>
            </w:r>
            <w:r w:rsidR="005019FA" w:rsidRPr="005019FA">
              <w:rPr>
                <w:rFonts w:ascii="Times New Roman" w:hAnsi="Times New Roman"/>
              </w:rPr>
              <w:t xml:space="preserv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Previziuni referitoare la cerințele pentru extinderea interconexiunilor cel puțin până în 2040 (inclusiv pentru anul 2030)</w:t>
            </w:r>
            <w:r w:rsidRPr="005019FA">
              <w:rPr>
                <w:rStyle w:val="FootnoteReference"/>
                <w:rFonts w:ascii="Times New Roman" w:hAnsi="Times New Roman"/>
              </w:rPr>
              <w:footnoteReference w:id="27"/>
            </w:r>
          </w:p>
          <w:p w:rsidR="00B602AA" w:rsidRPr="005019FA" w:rsidRDefault="005C5300">
            <w:pPr>
              <w:pStyle w:val="ListParagraph"/>
              <w:numPr>
                <w:ilvl w:val="2"/>
                <w:numId w:val="1"/>
              </w:numPr>
              <w:spacing w:after="120" w:line="240" w:lineRule="auto"/>
              <w:contextualSpacing w:val="0"/>
              <w:rPr>
                <w:rFonts w:ascii="Times New Roman" w:hAnsi="Times New Roman" w:cs="Times New Roman"/>
                <w:b/>
              </w:rPr>
            </w:pPr>
            <w:r w:rsidRPr="005019FA">
              <w:rPr>
                <w:rFonts w:ascii="Times New Roman" w:hAnsi="Times New Roman"/>
                <w:b/>
              </w:rPr>
              <w:t xml:space="preserve">Infrastructura de transport al energiei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Caracteristicile esențiale ale infrastructurii de transport existente pentru energia electrică și gaz</w:t>
            </w:r>
            <w:r w:rsidRPr="005019FA">
              <w:rPr>
                <w:rStyle w:val="FootnoteReference"/>
                <w:rFonts w:ascii="Times New Roman" w:hAnsi="Times New Roman"/>
              </w:rPr>
              <w:footnoteReference w:id="28"/>
            </w:r>
            <w:r w:rsidRPr="005019FA">
              <w:rPr>
                <w:rFonts w:ascii="Times New Roman" w:hAnsi="Times New Roman"/>
              </w:rPr>
              <w:t xml:space="preserv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Previziuni referitoare la cerințele pentru extinderea rețelelor cel puțin până în 2040 (inclusiv pentru anul 2030)</w:t>
            </w:r>
            <w:r w:rsidRPr="005019FA">
              <w:rPr>
                <w:rStyle w:val="FootnoteReference"/>
                <w:rFonts w:ascii="Times New Roman" w:hAnsi="Times New Roman"/>
              </w:rPr>
              <w:footnoteReference w:id="29"/>
            </w:r>
            <w:r w:rsidRPr="005019FA">
              <w:rPr>
                <w:rFonts w:ascii="Times New Roman" w:hAnsi="Times New Roman"/>
              </w:rPr>
              <w:t xml:space="preserve"> </w:t>
            </w:r>
          </w:p>
          <w:p w:rsidR="00B602AA" w:rsidRPr="005019FA" w:rsidRDefault="005C5300">
            <w:pPr>
              <w:pStyle w:val="ListParagraph"/>
              <w:numPr>
                <w:ilvl w:val="2"/>
                <w:numId w:val="1"/>
              </w:numPr>
              <w:spacing w:after="120" w:line="240" w:lineRule="auto"/>
              <w:ind w:left="1483" w:hanging="763"/>
              <w:contextualSpacing w:val="0"/>
              <w:rPr>
                <w:rFonts w:ascii="Times New Roman" w:hAnsi="Times New Roman" w:cs="Times New Roman"/>
                <w:b/>
              </w:rPr>
            </w:pPr>
            <w:r w:rsidRPr="005019FA">
              <w:rPr>
                <w:rFonts w:ascii="Times New Roman" w:hAnsi="Times New Roman"/>
                <w:b/>
              </w:rPr>
              <w:t>Piețele energiei electrice și gazului, prețurile la energie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Situația actuală a piețelor energiei electrice și gazului, inclusiv prețurile la energie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Previziuni referitoare la evoluția în contextul politicilor și măsurilor existente, cel puțin până în 2040 (inclusiv pentru anul 2030)</w:t>
            </w:r>
          </w:p>
        </w:tc>
      </w:tr>
      <w:tr w:rsidR="00B602AA" w:rsidRPr="005019FA">
        <w:trPr>
          <w:trHeight w:val="283"/>
        </w:trPr>
        <w:tc>
          <w:tcPr>
            <w:tcW w:w="8928" w:type="dxa"/>
            <w:tcBorders>
              <w:bottom w:val="single" w:sz="4" w:space="0" w:color="auto"/>
            </w:tcBorders>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Dimensiunea cercetării, inovării și competitivității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Situația actuală a sectorului tehnologiilor de reducere a emisiilor de dioxid de carbon și poziția acestuia pe piața mondială </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Nivelul actual al cheltuielilor publice și private pentru cercetare și inovare în domeniul tehnologiilor cu emisii reduse de dioxid de carbon, numărul actual de brevete și numărul actual de cercetători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Nivelul actual al costurilor energiei, inclusiv în contextul internațional</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Previziuni referitoare la evoluțiile de la subpunctele (i)-(iii) în contextul politicilor și măsurilor existente, cel puțin până în 2040 (inclusiv pentru anul </w:t>
            </w:r>
            <w:r w:rsidRPr="005019FA">
              <w:rPr>
                <w:rFonts w:ascii="Times New Roman" w:hAnsi="Times New Roman"/>
              </w:rPr>
              <w:lastRenderedPageBreak/>
              <w:t>2030)</w:t>
            </w:r>
          </w:p>
        </w:tc>
      </w:tr>
      <w:tr w:rsidR="00B602AA" w:rsidRPr="005019FA">
        <w:trPr>
          <w:trHeight w:val="406"/>
        </w:trPr>
        <w:tc>
          <w:tcPr>
            <w:tcW w:w="8928" w:type="dxa"/>
            <w:shd w:val="clear" w:color="auto" w:fill="D9D9D9" w:themeFill="background1" w:themeFillShade="D9"/>
          </w:tcPr>
          <w:p w:rsidR="00B602AA" w:rsidRPr="005019FA" w:rsidRDefault="005C5300">
            <w:pPr>
              <w:pStyle w:val="ListParagraph"/>
              <w:numPr>
                <w:ilvl w:val="0"/>
                <w:numId w:val="1"/>
              </w:numPr>
              <w:spacing w:after="120" w:line="240" w:lineRule="auto"/>
              <w:contextualSpacing w:val="0"/>
              <w:rPr>
                <w:rFonts w:ascii="Times New Roman" w:hAnsi="Times New Roman" w:cs="Times New Roman"/>
                <w:b/>
              </w:rPr>
            </w:pPr>
            <w:r w:rsidRPr="005019FA">
              <w:rPr>
                <w:rFonts w:ascii="Times New Roman" w:hAnsi="Times New Roman"/>
                <w:b/>
              </w:rPr>
              <w:lastRenderedPageBreak/>
              <w:t>EVALUAREA IMPACTULUI POLITICILOR ȘI MĂSURILOR PLANIFICATE</w:t>
            </w:r>
            <w:r w:rsidRPr="005019FA">
              <w:rPr>
                <w:rStyle w:val="FootnoteReference"/>
                <w:rFonts w:ascii="Times New Roman" w:hAnsi="Times New Roman"/>
                <w:b/>
              </w:rPr>
              <w:footnoteReference w:id="30"/>
            </w:r>
          </w:p>
        </w:tc>
      </w:tr>
      <w:tr w:rsidR="00B602AA" w:rsidRPr="005019FA">
        <w:trPr>
          <w:trHeight w:val="274"/>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rPr>
            </w:pPr>
            <w:r w:rsidRPr="005019FA">
              <w:rPr>
                <w:rFonts w:ascii="Times New Roman" w:hAnsi="Times New Roman"/>
                <w:b/>
              </w:rPr>
              <w:t>Impactul politicilor și măsurilor planificate descrise în secțiunea 3 referitoare la sistemul energetic și emisiile și absorbțiile de gaze cu efect de seră</w:t>
            </w:r>
            <w:r w:rsidRPr="005019FA">
              <w:rPr>
                <w:rFonts w:ascii="Times New Roman" w:hAnsi="Times New Roman"/>
              </w:rPr>
              <w:t>, inclusiv o comparație cu previziunile în contextul politicilor și măsurilor existente (conform descrierii din secțiunea 4).</w:t>
            </w:r>
          </w:p>
          <w:p w:rsidR="00B602AA" w:rsidRPr="005019FA" w:rsidRDefault="005C5300" w:rsidP="002A64C6">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 xml:space="preserve">Previziuni referitoare la evoluția sistemului energetic și a emisiilor și absorbțiilor de gaze cu efect de seră, precum și a emisiilor de poluanți atmosferici în conformitate cu Directiva [propusă prin COM/2013/0920] </w:t>
            </w:r>
            <w:r w:rsidRPr="005019FA">
              <w:rPr>
                <w:rStyle w:val="FootnoteReference"/>
                <w:rFonts w:ascii="Times New Roman" w:hAnsi="Times New Roman"/>
              </w:rPr>
              <w:footnoteReference w:id="31"/>
            </w:r>
            <w:r w:rsidRPr="005019FA">
              <w:rPr>
                <w:rFonts w:ascii="Times New Roman" w:hAnsi="Times New Roman"/>
              </w:rPr>
              <w:t xml:space="preserve"> în temeiul politicilor și măsurilor planificate, cel puțin până la zece ani după perioada vizată de plan (inclusiv pentru ultimul an al perioadei vizate de plan), inclusiv politici și măsuri ale UE relevante.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Evaluarea interacțiunilor între politici (între politicile și măsurile existente și planificate în cadrul unei dimensiuni de politică și între politicile și măsurile existente și planificate din diferite dimensiuni), cel puțin până în ultimul an al perioadei vizate de plan</w:t>
            </w:r>
          </w:p>
        </w:tc>
      </w:tr>
      <w:tr w:rsidR="00B602AA" w:rsidRPr="005019FA">
        <w:trPr>
          <w:trHeight w:val="548"/>
        </w:trPr>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Impacturile la nivel macroeconomic și social, precum și asupra mediului și a competențelor (în ceea ce privește costurile, beneficiile și rentabilitatea) ale politicilor și măsurilor planificate descrise în secțiunea 3</w:t>
            </w:r>
            <w:r w:rsidRPr="005019FA">
              <w:rPr>
                <w:rFonts w:ascii="Times New Roman" w:hAnsi="Times New Roman"/>
              </w:rPr>
              <w:t>, cel puțin până în ultimul an al perioadei vizate de plan, inclusiv o comparație cu previziunile în contextul politicilor și măsurilor existente</w:t>
            </w:r>
            <w:r w:rsidR="005019FA" w:rsidRPr="005019FA">
              <w:rPr>
                <w:rFonts w:ascii="Times New Roman" w:hAnsi="Times New Roman"/>
                <w:b/>
              </w:rPr>
              <w:t xml:space="preserve"> </w:t>
            </w:r>
          </w:p>
        </w:tc>
      </w:tr>
      <w:tr w:rsidR="00B602AA" w:rsidRPr="005019FA">
        <w:tc>
          <w:tcPr>
            <w:tcW w:w="8928" w:type="dxa"/>
          </w:tcPr>
          <w:p w:rsidR="00B602AA" w:rsidRPr="005019FA" w:rsidRDefault="005C5300">
            <w:pPr>
              <w:pStyle w:val="ListParagraph"/>
              <w:numPr>
                <w:ilvl w:val="1"/>
                <w:numId w:val="1"/>
              </w:numPr>
              <w:spacing w:after="120" w:line="240" w:lineRule="auto"/>
              <w:contextualSpacing w:val="0"/>
              <w:rPr>
                <w:rFonts w:ascii="Times New Roman" w:hAnsi="Times New Roman" w:cs="Times New Roman"/>
                <w:b/>
              </w:rPr>
            </w:pPr>
            <w:r w:rsidRPr="005019FA">
              <w:rPr>
                <w:rFonts w:ascii="Times New Roman" w:hAnsi="Times New Roman"/>
                <w:b/>
              </w:rPr>
              <w:t>Impactul politicilor și măsurilor planificate descrise în secțiunea 3 asupra altor state membre și asupra cooperării regionale</w:t>
            </w:r>
            <w:r w:rsidRPr="005019FA">
              <w:rPr>
                <w:rFonts w:ascii="Times New Roman" w:hAnsi="Times New Roman"/>
              </w:rPr>
              <w:t>, cel puțin până în ultimul an al perioadei vizate de plan, inclusiv o comparație cu previziunile în contextul politicilor și măsurilor existente</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Impactul asupra sistemului energetic din țările învecinate și din alte state membre din regiune, în măsura posibilului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rPr>
            </w:pPr>
            <w:r w:rsidRPr="005019FA">
              <w:rPr>
                <w:rFonts w:ascii="Times New Roman" w:hAnsi="Times New Roman"/>
              </w:rPr>
              <w:t>Impactul asupra prețurilor la energie, a utilităților și a integrării pieței energiei</w:t>
            </w:r>
          </w:p>
          <w:p w:rsidR="00B602AA" w:rsidRPr="005019FA" w:rsidRDefault="005C5300">
            <w:pPr>
              <w:pStyle w:val="ListParagraph"/>
              <w:numPr>
                <w:ilvl w:val="3"/>
                <w:numId w:val="1"/>
              </w:numPr>
              <w:spacing w:after="120" w:line="240" w:lineRule="auto"/>
              <w:contextualSpacing w:val="0"/>
              <w:rPr>
                <w:rFonts w:ascii="Times New Roman" w:hAnsi="Times New Roman" w:cs="Times New Roman"/>
                <w:b/>
              </w:rPr>
            </w:pPr>
            <w:r w:rsidRPr="005019FA">
              <w:rPr>
                <w:rFonts w:ascii="Times New Roman" w:hAnsi="Times New Roman"/>
              </w:rPr>
              <w:t>Impactul asupra cooperării regionale</w:t>
            </w:r>
          </w:p>
        </w:tc>
      </w:tr>
    </w:tbl>
    <w:p w:rsidR="00B602AA" w:rsidRPr="005019FA" w:rsidRDefault="00B602AA"/>
    <w:p w:rsidR="00B532D7" w:rsidRPr="005019FA" w:rsidRDefault="005C5300" w:rsidP="00056BCA">
      <w:pPr>
        <w:jc w:val="center"/>
        <w:rPr>
          <w:rFonts w:eastAsia="Times New Roman"/>
          <w:b/>
          <w:color w:val="000000"/>
          <w:szCs w:val="24"/>
        </w:rPr>
      </w:pPr>
      <w:r w:rsidRPr="005019FA">
        <w:rPr>
          <w:b/>
          <w:color w:val="000000"/>
        </w:rPr>
        <w:t>Partea 2</w:t>
      </w:r>
    </w:p>
    <w:p w:rsidR="00B602AA" w:rsidRPr="005019FA" w:rsidRDefault="005C5300" w:rsidP="00056BCA">
      <w:pPr>
        <w:jc w:val="center"/>
        <w:rPr>
          <w:rFonts w:eastAsia="Times New Roman"/>
          <w:i/>
          <w:color w:val="000000"/>
          <w:szCs w:val="24"/>
        </w:rPr>
      </w:pPr>
      <w:r w:rsidRPr="005019FA">
        <w:rPr>
          <w:i/>
          <w:color w:val="000000"/>
        </w:rPr>
        <w:t>Lista parametrilor și a variabilelor care trebuie raportate în secțiunea B a planurilor naționale</w:t>
      </w:r>
      <w:r w:rsidRPr="005019FA">
        <w:rPr>
          <w:rStyle w:val="FootnoteReference"/>
          <w:i/>
          <w:color w:val="000000"/>
        </w:rPr>
        <w:footnoteReference w:id="32"/>
      </w:r>
      <w:r w:rsidRPr="005019FA">
        <w:rPr>
          <w:i/>
          <w:color w:val="000000"/>
        </w:rPr>
        <w:t xml:space="preserve"> </w:t>
      </w:r>
      <w:r w:rsidRPr="005019FA">
        <w:rPr>
          <w:rStyle w:val="FootnoteReference"/>
          <w:i/>
          <w:color w:val="000000"/>
        </w:rPr>
        <w:footnoteReference w:id="33"/>
      </w:r>
      <w:r w:rsidRPr="005019FA">
        <w:rPr>
          <w:i/>
          <w:color w:val="000000"/>
        </w:rPr>
        <w:t xml:space="preserve"> </w:t>
      </w:r>
      <w:r w:rsidRPr="005019FA">
        <w:rPr>
          <w:rStyle w:val="FootnoteReference"/>
          <w:i/>
          <w:color w:val="000000"/>
        </w:rPr>
        <w:footnoteReference w:id="34"/>
      </w:r>
      <w:r w:rsidRPr="005019FA">
        <w:rPr>
          <w:i/>
          <w:color w:val="000000"/>
        </w:rPr>
        <w:t xml:space="preserve"> </w:t>
      </w:r>
      <w:r w:rsidRPr="005019FA">
        <w:rPr>
          <w:rStyle w:val="FootnoteReference"/>
          <w:i/>
          <w:color w:val="000000"/>
        </w:rPr>
        <w:footnoteReference w:id="35"/>
      </w:r>
    </w:p>
    <w:p w:rsidR="00B602AA" w:rsidRPr="005019FA" w:rsidRDefault="005C5300">
      <w:pPr>
        <w:rPr>
          <w:rFonts w:eastAsia="Times New Roman"/>
          <w:szCs w:val="24"/>
          <w:u w:val="single"/>
        </w:rPr>
      </w:pPr>
      <w:r w:rsidRPr="005019FA">
        <w:rPr>
          <w:u w:val="single"/>
        </w:rPr>
        <w:lastRenderedPageBreak/>
        <w:t>Parametrii, variabilele, bilanțurile energetice și indicatorii care urmează trebuie raportați în secțiunea B „Baza analitică” a planurilor naționale:</w:t>
      </w:r>
    </w:p>
    <w:p w:rsidR="00B602AA" w:rsidRPr="005019FA" w:rsidRDefault="005C5300">
      <w:pPr>
        <w:pStyle w:val="NumPar1"/>
        <w:numPr>
          <w:ilvl w:val="0"/>
          <w:numId w:val="36"/>
        </w:numPr>
        <w:rPr>
          <w:b/>
        </w:rPr>
      </w:pPr>
      <w:r w:rsidRPr="005019FA">
        <w:rPr>
          <w:b/>
        </w:rPr>
        <w:t>Parametri și variabile de ordin general</w:t>
      </w:r>
    </w:p>
    <w:p w:rsidR="00B602AA" w:rsidRPr="005019FA" w:rsidRDefault="005C5300">
      <w:pPr>
        <w:pStyle w:val="Point0number"/>
        <w:numPr>
          <w:ilvl w:val="0"/>
          <w:numId w:val="37"/>
        </w:numPr>
        <w:rPr>
          <w:rFonts w:eastAsia="Times New Roman"/>
          <w:szCs w:val="24"/>
        </w:rPr>
      </w:pPr>
      <w:r w:rsidRPr="005019FA">
        <w:t>Populație [milioane]</w:t>
      </w:r>
    </w:p>
    <w:p w:rsidR="00B602AA" w:rsidRPr="005019FA" w:rsidRDefault="005C5300">
      <w:pPr>
        <w:pStyle w:val="Point0number"/>
        <w:rPr>
          <w:rFonts w:eastAsia="Times New Roman"/>
          <w:szCs w:val="24"/>
        </w:rPr>
      </w:pPr>
      <w:r w:rsidRPr="005019FA">
        <w:t>PIB [milioane EUR]</w:t>
      </w:r>
    </w:p>
    <w:p w:rsidR="00B602AA" w:rsidRPr="005019FA" w:rsidRDefault="005C5300">
      <w:pPr>
        <w:pStyle w:val="Point0number"/>
        <w:rPr>
          <w:rFonts w:eastAsia="Times New Roman"/>
          <w:szCs w:val="24"/>
        </w:rPr>
      </w:pPr>
      <w:r w:rsidRPr="005019FA">
        <w:t>Valoarea adăugată brută la nivel sectorial (inclusiv sectoarele industriale principale, sectorul construcțiilor, sectorul serviciilor și sectorul agriculturii) [milioane EUR]</w:t>
      </w:r>
    </w:p>
    <w:p w:rsidR="00B602AA" w:rsidRPr="005019FA" w:rsidRDefault="005C5300">
      <w:pPr>
        <w:pStyle w:val="Point0number"/>
        <w:rPr>
          <w:rFonts w:eastAsia="Times New Roman"/>
          <w:szCs w:val="24"/>
        </w:rPr>
      </w:pPr>
      <w:r w:rsidRPr="005019FA">
        <w:t>Numărul de gospodării [mii]</w:t>
      </w:r>
    </w:p>
    <w:p w:rsidR="00B602AA" w:rsidRPr="005019FA" w:rsidRDefault="005C5300">
      <w:pPr>
        <w:pStyle w:val="Point0number"/>
        <w:rPr>
          <w:rFonts w:eastAsia="Times New Roman"/>
          <w:szCs w:val="24"/>
        </w:rPr>
      </w:pPr>
      <w:r w:rsidRPr="005019FA">
        <w:t>Dimensiunea gospodăriilor [locuitori/gospodărie]</w:t>
      </w:r>
    </w:p>
    <w:p w:rsidR="00B602AA" w:rsidRPr="005019FA" w:rsidRDefault="005C5300">
      <w:pPr>
        <w:pStyle w:val="Point0number"/>
        <w:rPr>
          <w:rFonts w:eastAsia="Times New Roman"/>
          <w:szCs w:val="24"/>
        </w:rPr>
      </w:pPr>
      <w:r w:rsidRPr="005019FA">
        <w:t>Venitul disponibil al gospodăriilor [EUR]</w:t>
      </w:r>
    </w:p>
    <w:p w:rsidR="00B602AA" w:rsidRPr="005019FA" w:rsidRDefault="005C5300">
      <w:pPr>
        <w:pStyle w:val="Point0number"/>
      </w:pPr>
      <w:r w:rsidRPr="005019FA">
        <w:t>Numărul de călători-kilometri: toate modurile, și anume împărțit în transport rutier (separat pentru automobile și autobuze/autocare, dacă este posibil), feroviar, aerian și navigație internă (în cazurile în care este relevant) [milioane căl-km]</w:t>
      </w:r>
    </w:p>
    <w:p w:rsidR="00B602AA" w:rsidRPr="005019FA" w:rsidRDefault="005C5300">
      <w:pPr>
        <w:pStyle w:val="Point0number"/>
        <w:rPr>
          <w:rFonts w:eastAsia="Times New Roman"/>
          <w:szCs w:val="24"/>
        </w:rPr>
      </w:pPr>
      <w:r w:rsidRPr="005019FA">
        <w:t>Tone-kilometri în transportul de marfă: toate modurile, cu excepția transporturilor maritime internaționale, și anume împărțite în transport rutier, feroviar, aerian și navigație internă (căi navigabile interioare și transport maritim național) [milioane t-km]</w:t>
      </w:r>
    </w:p>
    <w:p w:rsidR="00B602AA" w:rsidRPr="005019FA" w:rsidRDefault="005C5300">
      <w:pPr>
        <w:pStyle w:val="Point0number"/>
        <w:rPr>
          <w:rFonts w:eastAsia="Times New Roman"/>
          <w:szCs w:val="24"/>
        </w:rPr>
      </w:pPr>
      <w:r w:rsidRPr="005019FA">
        <w:t>Prețurile de import pentru petrol, gaz și cărbune la nivel internațional [EUR/GJ sau EUR/tep] – în concordanță cu recomandările Comisiei</w:t>
      </w:r>
    </w:p>
    <w:p w:rsidR="00B602AA" w:rsidRPr="005019FA" w:rsidRDefault="005C5300">
      <w:pPr>
        <w:pStyle w:val="Point0number"/>
        <w:rPr>
          <w:rFonts w:eastAsia="Times New Roman"/>
          <w:szCs w:val="24"/>
        </w:rPr>
      </w:pPr>
      <w:r w:rsidRPr="005019FA">
        <w:t>Prețul dioxidului de carbon în cadrul EU ETS [EUR/EUA]</w:t>
      </w:r>
      <w:r w:rsidRPr="005019FA">
        <w:rPr>
          <w:rStyle w:val="FootnoteReference"/>
        </w:rPr>
        <w:t xml:space="preserve"> </w:t>
      </w:r>
      <w:r w:rsidRPr="005019FA">
        <w:t>- în concordanță cu recomandările Comisiei</w:t>
      </w:r>
    </w:p>
    <w:p w:rsidR="00B602AA" w:rsidRPr="005019FA" w:rsidRDefault="005C5300">
      <w:pPr>
        <w:pStyle w:val="Point0number"/>
        <w:rPr>
          <w:rFonts w:eastAsia="Times New Roman"/>
          <w:szCs w:val="24"/>
        </w:rPr>
      </w:pPr>
      <w:r w:rsidRPr="005019FA">
        <w:t>Ipoteze privind cursul de schimb în euro și în dolari americani (dacă este cazul) [EUR/monedă și USD/monedă]</w:t>
      </w:r>
    </w:p>
    <w:p w:rsidR="00B602AA" w:rsidRPr="005019FA" w:rsidRDefault="005C5300">
      <w:pPr>
        <w:pStyle w:val="Point0number"/>
        <w:rPr>
          <w:rFonts w:eastAsia="Times New Roman"/>
          <w:szCs w:val="24"/>
        </w:rPr>
      </w:pPr>
      <w:r w:rsidRPr="005019FA">
        <w:t>Numărul de grade-zile pentru încălzire (</w:t>
      </w:r>
      <w:r w:rsidRPr="005019FA">
        <w:rPr>
          <w:i/>
        </w:rPr>
        <w:t xml:space="preserve">Heating Degree Days </w:t>
      </w:r>
      <w:r w:rsidRPr="005019FA">
        <w:t>- HDD)</w:t>
      </w:r>
    </w:p>
    <w:p w:rsidR="00B602AA" w:rsidRPr="005019FA" w:rsidRDefault="005C5300">
      <w:pPr>
        <w:pStyle w:val="Point0number"/>
        <w:rPr>
          <w:rFonts w:eastAsia="Times New Roman"/>
          <w:szCs w:val="24"/>
        </w:rPr>
      </w:pPr>
      <w:r w:rsidRPr="005019FA">
        <w:t>Numărul de grade-zile pentru răcire (</w:t>
      </w:r>
      <w:r w:rsidRPr="005019FA">
        <w:rPr>
          <w:i/>
        </w:rPr>
        <w:t>Cooling Degree Days</w:t>
      </w:r>
      <w:r w:rsidRPr="005019FA">
        <w:t xml:space="preserve"> - CDD)</w:t>
      </w:r>
    </w:p>
    <w:p w:rsidR="00B602AA" w:rsidRPr="005019FA" w:rsidRDefault="005C5300">
      <w:pPr>
        <w:pStyle w:val="Point0number"/>
        <w:rPr>
          <w:rFonts w:eastAsia="Times New Roman"/>
          <w:szCs w:val="24"/>
        </w:rPr>
      </w:pPr>
      <w:r w:rsidRPr="005019FA">
        <w:t>Ipotezele de cost al tehnologiei utilizate în cadrul modelării, pentru principalele tehnologii relevante</w:t>
      </w:r>
    </w:p>
    <w:p w:rsidR="00B602AA" w:rsidRPr="005019FA" w:rsidRDefault="00B602AA">
      <w:pPr>
        <w:pStyle w:val="ListParagraph"/>
        <w:spacing w:after="120"/>
        <w:jc w:val="both"/>
        <w:rPr>
          <w:rFonts w:ascii="Times New Roman" w:eastAsia="Times New Roman" w:hAnsi="Times New Roman" w:cs="Times New Roman"/>
          <w:sz w:val="24"/>
          <w:szCs w:val="24"/>
        </w:rPr>
      </w:pPr>
    </w:p>
    <w:p w:rsidR="00B602AA" w:rsidRPr="005019FA" w:rsidRDefault="005C5300">
      <w:pPr>
        <w:pStyle w:val="NumPar1"/>
        <w:rPr>
          <w:b/>
        </w:rPr>
      </w:pPr>
      <w:r w:rsidRPr="005019FA">
        <w:rPr>
          <w:b/>
        </w:rPr>
        <w:t>Indicatori și bilanțuri energetice</w:t>
      </w:r>
    </w:p>
    <w:p w:rsidR="00B602AA" w:rsidRPr="005019FA" w:rsidRDefault="005C5300">
      <w:pPr>
        <w:pStyle w:val="NumPar2"/>
        <w:rPr>
          <w:rFonts w:eastAsia="Times New Roman"/>
          <w:b/>
          <w:szCs w:val="24"/>
        </w:rPr>
      </w:pPr>
      <w:r w:rsidRPr="005019FA">
        <w:rPr>
          <w:b/>
        </w:rPr>
        <w:t>Aprovizionarea cu energie</w:t>
      </w:r>
    </w:p>
    <w:p w:rsidR="00B602AA" w:rsidRPr="005019FA" w:rsidRDefault="005C5300">
      <w:pPr>
        <w:pStyle w:val="Point0number"/>
        <w:numPr>
          <w:ilvl w:val="0"/>
          <w:numId w:val="2"/>
        </w:numPr>
        <w:rPr>
          <w:rFonts w:eastAsia="Times New Roman"/>
          <w:szCs w:val="24"/>
        </w:rPr>
      </w:pPr>
      <w:r w:rsidRPr="005019FA">
        <w:t>Producția indigenă pe tip de combustibil (toate produsele energetice: cărbune, țiței, gaz natural, energie nucleară, surse regenerabile de energie) [ktep]</w:t>
      </w:r>
    </w:p>
    <w:p w:rsidR="00B602AA" w:rsidRPr="005019FA" w:rsidRDefault="005C5300">
      <w:pPr>
        <w:pStyle w:val="Point0number"/>
        <w:rPr>
          <w:rFonts w:eastAsia="Times New Roman"/>
          <w:szCs w:val="24"/>
        </w:rPr>
      </w:pPr>
      <w:r w:rsidRPr="005019FA">
        <w:t xml:space="preserve">Importuri nete pe tip de combustibil (inclusiv energie electrică și separat pe importuri nete din interiorul și din afara UE) [ktep] </w:t>
      </w:r>
    </w:p>
    <w:p w:rsidR="00B602AA" w:rsidRPr="005019FA" w:rsidRDefault="005C5300">
      <w:pPr>
        <w:pStyle w:val="Point0number"/>
        <w:rPr>
          <w:rFonts w:eastAsia="Times New Roman"/>
          <w:szCs w:val="24"/>
        </w:rPr>
      </w:pPr>
      <w:r w:rsidRPr="005019FA">
        <w:lastRenderedPageBreak/>
        <w:t>Dependența de importuri din țări terțe [%]</w:t>
      </w:r>
    </w:p>
    <w:p w:rsidR="00B602AA" w:rsidRPr="005019FA" w:rsidRDefault="005C5300">
      <w:pPr>
        <w:pStyle w:val="Point0number"/>
        <w:rPr>
          <w:rFonts w:eastAsia="Times New Roman"/>
          <w:szCs w:val="24"/>
        </w:rPr>
      </w:pPr>
      <w:r w:rsidRPr="005019FA">
        <w:t>Principalele surse (țări) de import pentru principalii vectori energetici (inclusiv gaz și energie electrică)</w:t>
      </w:r>
    </w:p>
    <w:p w:rsidR="00B602AA" w:rsidRPr="005019FA" w:rsidRDefault="005C5300">
      <w:pPr>
        <w:pStyle w:val="Point0number"/>
        <w:rPr>
          <w:rFonts w:eastAsia="Times New Roman"/>
          <w:szCs w:val="24"/>
        </w:rPr>
      </w:pPr>
      <w:r w:rsidRPr="005019FA">
        <w:t>Consumul intern brut pe sursă de tip de combustibil (inclusiv combustibili solizi, toate produsele energetice: cărbune, țiței și produse petroliere, gaz natural, energie nucleară, energie electrică, energie termică derivată, energie din surse regenerabile, deșeuri) [ktep]</w:t>
      </w:r>
    </w:p>
    <w:p w:rsidR="00B602AA" w:rsidRPr="005019FA" w:rsidRDefault="005C5300">
      <w:pPr>
        <w:pStyle w:val="NumPar2"/>
        <w:rPr>
          <w:rFonts w:eastAsia="Times New Roman"/>
          <w:b/>
          <w:szCs w:val="24"/>
        </w:rPr>
      </w:pPr>
      <w:r w:rsidRPr="005019FA">
        <w:rPr>
          <w:b/>
        </w:rPr>
        <w:t>Energie electrică și căldură</w:t>
      </w:r>
    </w:p>
    <w:p w:rsidR="00B602AA" w:rsidRPr="005019FA" w:rsidRDefault="005C5300">
      <w:pPr>
        <w:pStyle w:val="Point0number"/>
        <w:numPr>
          <w:ilvl w:val="0"/>
          <w:numId w:val="22"/>
        </w:numPr>
        <w:rPr>
          <w:rFonts w:eastAsia="Times New Roman"/>
          <w:szCs w:val="24"/>
        </w:rPr>
      </w:pPr>
      <w:r w:rsidRPr="005019FA">
        <w:t>Producția brută de energie electrică [GWh]</w:t>
      </w:r>
    </w:p>
    <w:p w:rsidR="00B602AA" w:rsidRPr="005019FA" w:rsidRDefault="005C5300">
      <w:pPr>
        <w:pStyle w:val="Point0number"/>
        <w:numPr>
          <w:ilvl w:val="0"/>
          <w:numId w:val="2"/>
        </w:numPr>
        <w:rPr>
          <w:rFonts w:eastAsia="Times New Roman"/>
          <w:szCs w:val="24"/>
        </w:rPr>
      </w:pPr>
      <w:r w:rsidRPr="005019FA">
        <w:t>Producția brută de energie electrică per combustibil (toate produsele energetice) [GWh]</w:t>
      </w:r>
    </w:p>
    <w:p w:rsidR="00B602AA" w:rsidRPr="005019FA" w:rsidRDefault="005C5300">
      <w:pPr>
        <w:pStyle w:val="Point0number"/>
        <w:numPr>
          <w:ilvl w:val="0"/>
          <w:numId w:val="2"/>
        </w:numPr>
        <w:rPr>
          <w:rFonts w:eastAsia="Times New Roman"/>
          <w:szCs w:val="24"/>
        </w:rPr>
      </w:pPr>
      <w:r w:rsidRPr="005019FA">
        <w:t xml:space="preserve">Ponderea cogenerării de căldură și de energie electrică în totalul producției de energie electrică și de căldură [%] </w:t>
      </w:r>
    </w:p>
    <w:p w:rsidR="00B602AA" w:rsidRPr="005019FA" w:rsidRDefault="005C5300">
      <w:pPr>
        <w:pStyle w:val="Point0number"/>
        <w:numPr>
          <w:ilvl w:val="0"/>
          <w:numId w:val="2"/>
        </w:numPr>
        <w:rPr>
          <w:rFonts w:eastAsia="Times New Roman"/>
          <w:szCs w:val="24"/>
        </w:rPr>
      </w:pPr>
      <w:r w:rsidRPr="005019FA">
        <w:t>Capacitatea de producție a energiei electrice per sursă, inclusiv dezafectări și noi investiții [MW]</w:t>
      </w:r>
    </w:p>
    <w:p w:rsidR="00B602AA" w:rsidRPr="005019FA" w:rsidRDefault="005C5300">
      <w:pPr>
        <w:pStyle w:val="Point0number"/>
        <w:numPr>
          <w:ilvl w:val="0"/>
          <w:numId w:val="2"/>
        </w:numPr>
        <w:rPr>
          <w:rFonts w:eastAsia="Times New Roman"/>
          <w:szCs w:val="24"/>
        </w:rPr>
      </w:pPr>
      <w:r w:rsidRPr="005019FA">
        <w:t>Producerea căldurii de către centralele termice</w:t>
      </w:r>
    </w:p>
    <w:p w:rsidR="00B602AA" w:rsidRPr="005019FA" w:rsidRDefault="005C5300">
      <w:pPr>
        <w:pStyle w:val="Point0number"/>
        <w:numPr>
          <w:ilvl w:val="0"/>
          <w:numId w:val="2"/>
        </w:numPr>
        <w:rPr>
          <w:rFonts w:eastAsia="Times New Roman"/>
          <w:szCs w:val="24"/>
        </w:rPr>
      </w:pPr>
      <w:r w:rsidRPr="005019FA">
        <w:t>Producerea căldurii de către centralele de cogenerare, inclusiv căldura reziduală industrială</w:t>
      </w:r>
    </w:p>
    <w:p w:rsidR="00B602AA" w:rsidRPr="005019FA" w:rsidRDefault="005C5300">
      <w:pPr>
        <w:pStyle w:val="Point0number"/>
        <w:rPr>
          <w:rFonts w:eastAsia="Times New Roman"/>
          <w:szCs w:val="24"/>
        </w:rPr>
      </w:pPr>
      <w:r w:rsidRPr="005019FA">
        <w:t>Capacitățile de interconectare transfrontaliere pentru gaz și pentru energie electrică [definiție pentru energia electrică în concordanță cu rezultatele discuțiilor aflate în curs pe baza obiectivului de interconectare de 15 %] și ratele lor de utilizare previzionate</w:t>
      </w:r>
    </w:p>
    <w:p w:rsidR="00B602AA" w:rsidRPr="005019FA" w:rsidRDefault="005C5300">
      <w:pPr>
        <w:pStyle w:val="NumPar2"/>
        <w:rPr>
          <w:rFonts w:eastAsia="Times New Roman"/>
          <w:b/>
          <w:szCs w:val="24"/>
        </w:rPr>
      </w:pPr>
      <w:r w:rsidRPr="005019FA">
        <w:rPr>
          <w:b/>
        </w:rPr>
        <w:t>Sectorul transformării</w:t>
      </w:r>
    </w:p>
    <w:p w:rsidR="00B602AA" w:rsidRPr="005019FA" w:rsidRDefault="005C5300">
      <w:pPr>
        <w:pStyle w:val="Point0number"/>
        <w:numPr>
          <w:ilvl w:val="0"/>
          <w:numId w:val="23"/>
        </w:numPr>
      </w:pPr>
      <w:r w:rsidRPr="005019FA">
        <w:t xml:space="preserve">Intrări de combustibil pentru producerea de energie termică (inclusiv combustibili solizi, petrol, gaz) [ktep] </w:t>
      </w:r>
    </w:p>
    <w:p w:rsidR="00B602AA" w:rsidRPr="005019FA" w:rsidRDefault="005C5300">
      <w:pPr>
        <w:pStyle w:val="Point0number"/>
        <w:numPr>
          <w:ilvl w:val="0"/>
          <w:numId w:val="2"/>
        </w:numPr>
      </w:pPr>
      <w:r w:rsidRPr="005019FA">
        <w:t>Intrări de combustibil pentru alte procese de conversie [ktep]</w:t>
      </w:r>
    </w:p>
    <w:p w:rsidR="00B602AA" w:rsidRPr="005019FA" w:rsidRDefault="005C5300">
      <w:pPr>
        <w:pStyle w:val="NumPar2"/>
        <w:rPr>
          <w:rFonts w:eastAsia="Times New Roman"/>
          <w:b/>
          <w:szCs w:val="24"/>
        </w:rPr>
      </w:pPr>
      <w:r w:rsidRPr="005019FA">
        <w:rPr>
          <w:b/>
        </w:rPr>
        <w:t>Consumul de energie</w:t>
      </w:r>
    </w:p>
    <w:p w:rsidR="00B602AA" w:rsidRPr="005019FA" w:rsidRDefault="005C5300">
      <w:pPr>
        <w:pStyle w:val="Point0number"/>
        <w:numPr>
          <w:ilvl w:val="0"/>
          <w:numId w:val="24"/>
        </w:numPr>
        <w:rPr>
          <w:rFonts w:eastAsia="Times New Roman"/>
          <w:szCs w:val="24"/>
        </w:rPr>
      </w:pPr>
      <w:r w:rsidRPr="005019FA">
        <w:t>Consumul primar și final de energie [ktep]</w:t>
      </w:r>
    </w:p>
    <w:p w:rsidR="00B602AA" w:rsidRPr="005019FA" w:rsidRDefault="005C5300">
      <w:pPr>
        <w:pStyle w:val="Point0number"/>
        <w:rPr>
          <w:rFonts w:eastAsia="Times New Roman"/>
          <w:szCs w:val="24"/>
        </w:rPr>
      </w:pPr>
      <w:r w:rsidRPr="005019FA">
        <w:t xml:space="preserve">Consumul final de energie per sector [inclusiv industrial, rezidențial, terțiar, al agriculturii și al transporturilor (împărțit între transportul de călători și cel de marfă, dacă sunt disponibile date)] [ktep] </w:t>
      </w:r>
    </w:p>
    <w:p w:rsidR="00B602AA" w:rsidRPr="005019FA" w:rsidRDefault="005C5300">
      <w:pPr>
        <w:pStyle w:val="Point0number"/>
        <w:rPr>
          <w:rFonts w:eastAsia="Times New Roman"/>
          <w:szCs w:val="24"/>
        </w:rPr>
      </w:pPr>
      <w:r w:rsidRPr="005019FA">
        <w:t>Consumul final de energie per combustibil (toate produsele energetice) [ktep]</w:t>
      </w:r>
    </w:p>
    <w:p w:rsidR="00B602AA" w:rsidRPr="005019FA" w:rsidRDefault="005C5300">
      <w:pPr>
        <w:pStyle w:val="Point0number"/>
        <w:rPr>
          <w:rFonts w:eastAsia="Times New Roman"/>
          <w:szCs w:val="24"/>
        </w:rPr>
      </w:pPr>
      <w:r w:rsidRPr="005019FA">
        <w:t>Consumul neenergetic final [ktep]</w:t>
      </w:r>
    </w:p>
    <w:p w:rsidR="00B602AA" w:rsidRPr="005019FA" w:rsidRDefault="005C5300">
      <w:pPr>
        <w:pStyle w:val="Point0number"/>
        <w:rPr>
          <w:rFonts w:eastAsia="Times New Roman"/>
          <w:szCs w:val="24"/>
        </w:rPr>
      </w:pPr>
      <w:r w:rsidRPr="005019FA">
        <w:t>Intensitatea energetică primară la nivelul economiei în ansamblu (consumul primar de energie per PIB [tep/EUR])</w:t>
      </w:r>
    </w:p>
    <w:p w:rsidR="00B602AA" w:rsidRPr="005019FA" w:rsidRDefault="005C5300">
      <w:pPr>
        <w:pStyle w:val="Point0number"/>
        <w:rPr>
          <w:rFonts w:eastAsia="Times New Roman"/>
          <w:szCs w:val="24"/>
        </w:rPr>
      </w:pPr>
      <w:r w:rsidRPr="005019FA">
        <w:t>Intensitatea energetică finală per sector [inclusiv industrial, rezidențial, terțiar și al transporturilor (împărțit între transportul de călători și cel de marfă, dacă sunt disponibile date)]</w:t>
      </w:r>
    </w:p>
    <w:p w:rsidR="00B602AA" w:rsidRPr="005019FA" w:rsidRDefault="005C5300">
      <w:pPr>
        <w:pStyle w:val="NumPar2"/>
        <w:rPr>
          <w:rFonts w:eastAsia="Times New Roman"/>
          <w:b/>
          <w:szCs w:val="24"/>
        </w:rPr>
      </w:pPr>
      <w:r w:rsidRPr="005019FA">
        <w:rPr>
          <w:b/>
        </w:rPr>
        <w:t>Prețuri</w:t>
      </w:r>
    </w:p>
    <w:p w:rsidR="00B602AA" w:rsidRPr="005019FA" w:rsidRDefault="005C5300">
      <w:pPr>
        <w:pStyle w:val="Point0number"/>
        <w:numPr>
          <w:ilvl w:val="0"/>
          <w:numId w:val="25"/>
        </w:numPr>
        <w:rPr>
          <w:rFonts w:eastAsia="Times New Roman"/>
          <w:szCs w:val="24"/>
        </w:rPr>
      </w:pPr>
      <w:r w:rsidRPr="005019FA">
        <w:t>Prețurile la energie electrică pe tip de sector utilizator (rezidențial, industrial, terțiar)</w:t>
      </w:r>
    </w:p>
    <w:p w:rsidR="00B602AA" w:rsidRPr="005019FA" w:rsidRDefault="005C5300">
      <w:pPr>
        <w:pStyle w:val="Point0number"/>
        <w:rPr>
          <w:rFonts w:eastAsia="Times New Roman"/>
          <w:szCs w:val="24"/>
        </w:rPr>
      </w:pPr>
      <w:r w:rsidRPr="005019FA">
        <w:lastRenderedPageBreak/>
        <w:t>Prețurile cu amănuntul ale combustibililor la nivel național (inclusiv impozitele, pe sursă și pe sector) [EUR/ktep]</w:t>
      </w:r>
    </w:p>
    <w:p w:rsidR="00B602AA" w:rsidRPr="005019FA" w:rsidRDefault="005C5300">
      <w:pPr>
        <w:pStyle w:val="NumPar2"/>
        <w:rPr>
          <w:rFonts w:eastAsia="Times New Roman"/>
          <w:b/>
          <w:szCs w:val="24"/>
        </w:rPr>
      </w:pPr>
      <w:r w:rsidRPr="005019FA">
        <w:rPr>
          <w:b/>
        </w:rPr>
        <w:t>Investiții</w:t>
      </w:r>
    </w:p>
    <w:p w:rsidR="00B602AA" w:rsidRPr="005019FA" w:rsidRDefault="005C5300">
      <w:pPr>
        <w:pStyle w:val="ListParagraph"/>
        <w:spacing w:after="120"/>
        <w:ind w:left="851"/>
        <w:jc w:val="both"/>
        <w:rPr>
          <w:rFonts w:ascii="Times New Roman" w:eastAsia="Times New Roman" w:hAnsi="Times New Roman" w:cs="Times New Roman"/>
          <w:sz w:val="24"/>
          <w:szCs w:val="24"/>
        </w:rPr>
      </w:pPr>
      <w:r w:rsidRPr="005019FA">
        <w:rPr>
          <w:rFonts w:ascii="Times New Roman" w:hAnsi="Times New Roman"/>
          <w:sz w:val="24"/>
        </w:rPr>
        <w:t>Costurile investițiilor legate de energie în raport cu PIB-ul (și în raport cu valoarea adăugată brută pentru sectorul industrial)</w:t>
      </w:r>
    </w:p>
    <w:p w:rsidR="00B602AA" w:rsidRPr="005019FA" w:rsidRDefault="005C5300">
      <w:pPr>
        <w:pStyle w:val="NumPar2"/>
        <w:rPr>
          <w:rFonts w:eastAsia="Times New Roman"/>
          <w:b/>
          <w:szCs w:val="24"/>
        </w:rPr>
      </w:pPr>
      <w:r w:rsidRPr="005019FA">
        <w:rPr>
          <w:b/>
        </w:rPr>
        <w:t>Surse regenerabile</w:t>
      </w:r>
    </w:p>
    <w:p w:rsidR="00B602AA" w:rsidRPr="005019FA" w:rsidRDefault="005C5300">
      <w:pPr>
        <w:pStyle w:val="Point0number"/>
        <w:numPr>
          <w:ilvl w:val="0"/>
          <w:numId w:val="26"/>
        </w:numPr>
        <w:rPr>
          <w:rFonts w:eastAsia="Times New Roman"/>
          <w:szCs w:val="24"/>
        </w:rPr>
      </w:pPr>
      <w:r w:rsidRPr="005019FA">
        <w:t>Consumul final brut de energie din surse regenerabile și ponderea energiei din surse regenerabile în consumul final brut de energie și pe sector (energie electrică, încălzire și răcire, transporturi) și per tehnologie</w:t>
      </w:r>
    </w:p>
    <w:p w:rsidR="00B602AA" w:rsidRPr="005019FA" w:rsidRDefault="005C5300">
      <w:pPr>
        <w:pStyle w:val="Point0number"/>
        <w:rPr>
          <w:szCs w:val="24"/>
        </w:rPr>
      </w:pPr>
      <w:r w:rsidRPr="005019FA">
        <w:t>Producția de energie electrică și de căldură din surse regenerabile de energie în clădiri (conform definiției de la articolul 2 punctul 1 din Directiva 2010/31/UE); aceasta trebuie să includă date dezagregate cu privire la energia produsă, consumată și introdusă în rețea de sistemele solare fotovoltaice, sistemele termice solare, biomasă, pompele de căldură, sistemele geotermale, precum și de toate celelalte sisteme descentralizate de energie din surse regenerabile</w:t>
      </w:r>
    </w:p>
    <w:p w:rsidR="00B602AA" w:rsidRPr="005019FA" w:rsidRDefault="005C5300">
      <w:pPr>
        <w:pStyle w:val="Point0number"/>
        <w:rPr>
          <w:rFonts w:eastAsia="Times New Roman"/>
          <w:szCs w:val="24"/>
        </w:rPr>
      </w:pPr>
      <w:r w:rsidRPr="005019FA">
        <w:t>Dacă este cazul, alte traiectorii naționale, inclusiv pe termen lung sau sectoriale (ponderea biocombustibililor avansați și de origine alimentară, ponderea energiei din surse regenerabile în termoficarea centralizată, precum și energia din surse regenerabile produsă de orașe și de comunități energetice conform definiției de la articolul 22 din [Directiva 2009/28/CE reformată propusă prin COM(2016) 767])</w:t>
      </w:r>
    </w:p>
    <w:p w:rsidR="00B602AA" w:rsidRPr="005019FA" w:rsidRDefault="005C5300">
      <w:pPr>
        <w:pStyle w:val="NumPar1"/>
        <w:rPr>
          <w:b/>
        </w:rPr>
      </w:pPr>
      <w:r w:rsidRPr="005019FA">
        <w:rPr>
          <w:b/>
        </w:rPr>
        <w:t>Indicatori privind emisiile și absorbțiile de GES</w:t>
      </w:r>
    </w:p>
    <w:p w:rsidR="00B602AA" w:rsidRPr="005019FA" w:rsidRDefault="005C5300">
      <w:pPr>
        <w:pStyle w:val="Point0number"/>
        <w:numPr>
          <w:ilvl w:val="0"/>
          <w:numId w:val="27"/>
        </w:numPr>
        <w:rPr>
          <w:rFonts w:eastAsia="Times New Roman"/>
        </w:rPr>
      </w:pPr>
      <w:r w:rsidRPr="005019FA">
        <w:t>Emisiile de GES pe sector de politică (EU ETS, Regulamentul privind partajarea eforturilor și LULUCF)</w:t>
      </w:r>
    </w:p>
    <w:p w:rsidR="00B602AA" w:rsidRPr="005019FA" w:rsidRDefault="005C5300">
      <w:pPr>
        <w:pStyle w:val="Point0number"/>
        <w:rPr>
          <w:rFonts w:eastAsia="Times New Roman"/>
          <w:szCs w:val="24"/>
        </w:rPr>
      </w:pPr>
      <w:r w:rsidRPr="005019FA">
        <w:t>Emisiile de GES pe sector IPCC și pe gaz (acolo unde este cazul, împărțite în EU ETS și sectoarele vizate de partajarea eforturilor) [tCO</w:t>
      </w:r>
      <w:r w:rsidRPr="005019FA">
        <w:rPr>
          <w:vertAlign w:val="subscript"/>
        </w:rPr>
        <w:t>2</w:t>
      </w:r>
      <w:r w:rsidRPr="005019FA">
        <w:t>eq]</w:t>
      </w:r>
    </w:p>
    <w:p w:rsidR="00B602AA" w:rsidRPr="005019FA" w:rsidRDefault="005C5300">
      <w:pPr>
        <w:pStyle w:val="Point0number"/>
        <w:rPr>
          <w:rFonts w:eastAsia="Times New Roman"/>
          <w:szCs w:val="24"/>
        </w:rPr>
      </w:pPr>
      <w:r w:rsidRPr="005019FA">
        <w:t>Intensitatea emisiilor de dioxid de carbon la nivelul economiei în ansamblu [tCO</w:t>
      </w:r>
      <w:r w:rsidRPr="005019FA">
        <w:rPr>
          <w:vertAlign w:val="subscript"/>
        </w:rPr>
        <w:t>2</w:t>
      </w:r>
      <w:r w:rsidRPr="005019FA">
        <w:t>eq/PIB]</w:t>
      </w:r>
    </w:p>
    <w:p w:rsidR="00B602AA" w:rsidRPr="005019FA" w:rsidRDefault="005C5300">
      <w:pPr>
        <w:pStyle w:val="Point0number"/>
        <w:rPr>
          <w:rFonts w:eastAsia="Times New Roman"/>
          <w:szCs w:val="24"/>
        </w:rPr>
      </w:pPr>
      <w:r w:rsidRPr="005019FA">
        <w:t>Indicatori privind emisiile de CO</w:t>
      </w:r>
      <w:r w:rsidRPr="005019FA">
        <w:rPr>
          <w:vertAlign w:val="subscript"/>
        </w:rPr>
        <w:t>2</w:t>
      </w:r>
    </w:p>
    <w:p w:rsidR="00B602AA" w:rsidRPr="005019FA" w:rsidRDefault="005C5300">
      <w:pPr>
        <w:pStyle w:val="Point1letter"/>
        <w:rPr>
          <w:rFonts w:eastAsia="Times New Roman"/>
          <w:szCs w:val="24"/>
        </w:rPr>
      </w:pPr>
      <w:r w:rsidRPr="005019FA">
        <w:t>Intensitatea emisiilor de dioxid de carbon la nivelul producției de energie electrică și de abur [tCO</w:t>
      </w:r>
      <w:r w:rsidRPr="005019FA">
        <w:rPr>
          <w:vertAlign w:val="subscript"/>
        </w:rPr>
        <w:t>2</w:t>
      </w:r>
      <w:r w:rsidRPr="005019FA">
        <w:t>eq/MWh]</w:t>
      </w:r>
    </w:p>
    <w:p w:rsidR="00B602AA" w:rsidRPr="005019FA" w:rsidRDefault="005C5300">
      <w:pPr>
        <w:pStyle w:val="Point1letter"/>
        <w:rPr>
          <w:rFonts w:eastAsia="Times New Roman"/>
          <w:szCs w:val="24"/>
        </w:rPr>
      </w:pPr>
      <w:r w:rsidRPr="005019FA">
        <w:t>Intensitatea emisiilor de dioxid de carbon la nivelul cererii finale de energie per sector (inclusiv industrial, rezidențial, terțiar, al transporturilor de călători și al transporturilor de marfă) [tCO</w:t>
      </w:r>
      <w:r w:rsidRPr="005019FA">
        <w:rPr>
          <w:vertAlign w:val="subscript"/>
        </w:rPr>
        <w:t>2</w:t>
      </w:r>
      <w:r w:rsidRPr="005019FA">
        <w:t xml:space="preserve">eq/tep] </w:t>
      </w:r>
    </w:p>
    <w:p w:rsidR="00B602AA" w:rsidRPr="005019FA" w:rsidRDefault="005C5300">
      <w:pPr>
        <w:pStyle w:val="Point0number"/>
        <w:rPr>
          <w:rFonts w:eastAsia="Times New Roman"/>
          <w:szCs w:val="24"/>
        </w:rPr>
      </w:pPr>
      <w:r w:rsidRPr="005019FA">
        <w:t>Parametri privind alte emisii decât cele de CO</w:t>
      </w:r>
      <w:r w:rsidRPr="005019FA">
        <w:rPr>
          <w:vertAlign w:val="subscript"/>
        </w:rPr>
        <w:t>2</w:t>
      </w:r>
    </w:p>
    <w:p w:rsidR="00B602AA" w:rsidRPr="005019FA" w:rsidRDefault="005C5300">
      <w:pPr>
        <w:pStyle w:val="Point1letter"/>
        <w:rPr>
          <w:rFonts w:eastAsia="Times New Roman"/>
          <w:szCs w:val="24"/>
        </w:rPr>
      </w:pPr>
      <w:r w:rsidRPr="005019FA">
        <w:t>Zootehnie: vaci de lapte [1 000 de capete], alte bovine în afara vacilor de lapte [1 000 de capete], ovine [1 000 de capete], porcine [1 000 de capete], păsări de curte [1 000 de capete]</w:t>
      </w:r>
    </w:p>
    <w:p w:rsidR="00B602AA" w:rsidRPr="005019FA" w:rsidRDefault="005C5300">
      <w:pPr>
        <w:pStyle w:val="Point1letter"/>
        <w:rPr>
          <w:rFonts w:eastAsia="Times New Roman"/>
          <w:szCs w:val="24"/>
        </w:rPr>
      </w:pPr>
      <w:r w:rsidRPr="005019FA">
        <w:t>Aportul de azot rezultat din aplicarea de îngrășăminte sintetice [kt azot]</w:t>
      </w:r>
    </w:p>
    <w:p w:rsidR="00B602AA" w:rsidRPr="005019FA" w:rsidRDefault="005C5300">
      <w:pPr>
        <w:pStyle w:val="Point1letter"/>
        <w:rPr>
          <w:rFonts w:eastAsia="Times New Roman"/>
          <w:szCs w:val="24"/>
        </w:rPr>
      </w:pPr>
      <w:r w:rsidRPr="005019FA">
        <w:t>Aportul de azot rezultat din aplicarea de dejecții animaliere [kt azot]</w:t>
      </w:r>
    </w:p>
    <w:p w:rsidR="00B602AA" w:rsidRPr="005019FA" w:rsidRDefault="005C5300">
      <w:pPr>
        <w:pStyle w:val="Point1letter"/>
        <w:rPr>
          <w:rFonts w:eastAsia="Times New Roman"/>
          <w:szCs w:val="24"/>
        </w:rPr>
      </w:pPr>
      <w:r w:rsidRPr="005019FA">
        <w:t>Azotul fixat prin culturi fixatoare de azot [kt azot]</w:t>
      </w:r>
    </w:p>
    <w:p w:rsidR="00B602AA" w:rsidRPr="005019FA" w:rsidRDefault="005C5300">
      <w:pPr>
        <w:pStyle w:val="Point1letter"/>
        <w:rPr>
          <w:rFonts w:eastAsia="Times New Roman"/>
          <w:szCs w:val="24"/>
        </w:rPr>
      </w:pPr>
      <w:r w:rsidRPr="005019FA">
        <w:t>Azotul din reziduurile de culturi agricole care rămân în sol [kt azot]</w:t>
      </w:r>
    </w:p>
    <w:p w:rsidR="00B602AA" w:rsidRPr="005019FA" w:rsidRDefault="005C5300">
      <w:pPr>
        <w:pStyle w:val="Point1letter"/>
        <w:rPr>
          <w:rFonts w:eastAsia="Times New Roman"/>
          <w:szCs w:val="24"/>
        </w:rPr>
      </w:pPr>
      <w:r w:rsidRPr="005019FA">
        <w:t>Suprafața de soluri organice cultivate [hectare]</w:t>
      </w:r>
    </w:p>
    <w:p w:rsidR="00B602AA" w:rsidRPr="005019FA" w:rsidRDefault="005C5300">
      <w:pPr>
        <w:pStyle w:val="Point1letter"/>
        <w:rPr>
          <w:rFonts w:eastAsia="Times New Roman"/>
          <w:szCs w:val="24"/>
        </w:rPr>
      </w:pPr>
      <w:r w:rsidRPr="005019FA">
        <w:lastRenderedPageBreak/>
        <w:t>Generarea de deșeuri municipale solide (DMS)</w:t>
      </w:r>
    </w:p>
    <w:p w:rsidR="00B602AA" w:rsidRPr="005019FA" w:rsidRDefault="005C5300">
      <w:pPr>
        <w:pStyle w:val="Point1letter"/>
        <w:rPr>
          <w:rFonts w:eastAsia="Times New Roman"/>
          <w:szCs w:val="24"/>
        </w:rPr>
      </w:pPr>
      <w:r w:rsidRPr="005019FA">
        <w:t>Deșeurile municipale solide (DMS) care ajung în depozitele de deșeuri</w:t>
      </w:r>
    </w:p>
    <w:p w:rsidR="00B602AA" w:rsidRPr="005019FA" w:rsidRDefault="005C5300">
      <w:pPr>
        <w:pStyle w:val="Point1letter"/>
        <w:rPr>
          <w:rFonts w:eastAsia="Times New Roman"/>
          <w:szCs w:val="24"/>
        </w:rPr>
      </w:pPr>
      <w:r w:rsidRPr="005019FA">
        <w:t>Procentul de CH</w:t>
      </w:r>
      <w:r w:rsidRPr="005019FA">
        <w:rPr>
          <w:vertAlign w:val="subscript"/>
        </w:rPr>
        <w:t>4</w:t>
      </w:r>
      <w:r w:rsidRPr="005019FA">
        <w:t xml:space="preserve"> recuperat din cantitatea totală de CH</w:t>
      </w:r>
      <w:r w:rsidRPr="005019FA">
        <w:rPr>
          <w:vertAlign w:val="subscript"/>
        </w:rPr>
        <w:t>4</w:t>
      </w:r>
      <w:r w:rsidRPr="005019FA">
        <w:t xml:space="preserve"> generată de depozitele de deșeuri [%]</w:t>
      </w:r>
    </w:p>
    <w:p w:rsidR="00B602AA" w:rsidRPr="005019FA" w:rsidRDefault="005C5300">
      <w:pPr>
        <w:rPr>
          <w:b/>
          <w:szCs w:val="24"/>
        </w:rPr>
      </w:pPr>
      <w:r w:rsidRPr="005019FA">
        <w:br w:type="page"/>
      </w:r>
    </w:p>
    <w:p w:rsidR="0056435C" w:rsidRPr="005019FA" w:rsidRDefault="005C5300" w:rsidP="00056BCA">
      <w:pPr>
        <w:pStyle w:val="Annexetitre"/>
        <w:rPr>
          <w:b w:val="0"/>
          <w:i/>
          <w:szCs w:val="24"/>
          <w:u w:val="none"/>
        </w:rPr>
      </w:pPr>
      <w:r w:rsidRPr="005019FA">
        <w:rPr>
          <w:b w:val="0"/>
          <w:i/>
          <w:u w:val="none"/>
        </w:rPr>
        <w:lastRenderedPageBreak/>
        <w:t>ANEXA II</w:t>
      </w:r>
    </w:p>
    <w:p w:rsidR="00B602AA" w:rsidRPr="005019FA" w:rsidRDefault="0056435C" w:rsidP="00056BCA">
      <w:pPr>
        <w:jc w:val="center"/>
      </w:pPr>
      <w:r w:rsidRPr="005019FA">
        <w:rPr>
          <w:b/>
        </w:rPr>
        <w:t>NOTIFICAREA MĂSURILOR ȘI A METODOLOGIILOR STATELOR MEMBRE PENTRU PUNEREA ÎN APLICARE A ARTICOLULUI 7 DIN DIRECTIVA 2012/27/UE [VERSIUNEA MODIFICATĂ ÎN CONFORMITATE CU PROPUNEREA COM(2016)761]</w:t>
      </w:r>
    </w:p>
    <w:p w:rsidR="00B602AA" w:rsidRPr="005019FA" w:rsidRDefault="005C5300">
      <w:pPr>
        <w:pStyle w:val="Text2"/>
        <w:ind w:left="0"/>
        <w:rPr>
          <w:szCs w:val="24"/>
        </w:rPr>
      </w:pPr>
      <w:r w:rsidRPr="005019FA">
        <w:t xml:space="preserve">Statele membre notifică Comisiei metodologia lor detaliată propusă în conformitate cu anexa V punctul 5 la Directiva 2012/27/UE pentru operarea schemelor de obligații și a măsurilor alternative în materie de eficiență energetică menționate la articolele 7a și 7b și la articolul 20 alineatul (6) din directiva respectivă. </w:t>
      </w:r>
    </w:p>
    <w:p w:rsidR="00B602AA" w:rsidRPr="005019FA" w:rsidRDefault="005C5300">
      <w:pPr>
        <w:pStyle w:val="NumPar1"/>
        <w:numPr>
          <w:ilvl w:val="0"/>
          <w:numId w:val="21"/>
        </w:numPr>
        <w:rPr>
          <w:szCs w:val="24"/>
        </w:rPr>
      </w:pPr>
      <w:r w:rsidRPr="005019FA">
        <w:t>Calcularea nivelului cerinței de economisire a energiei care trebuie îndeplinită pe întreaga perioadă cuprinsă între 1 ianuarie 2021 și 31 decembrie 2030, arătând modul în care sunt luate în considerare următoarele elemente:</w:t>
      </w:r>
    </w:p>
    <w:p w:rsidR="00B602AA" w:rsidRPr="005019FA" w:rsidRDefault="005C5300">
      <w:pPr>
        <w:pStyle w:val="Point1letter"/>
        <w:numPr>
          <w:ilvl w:val="3"/>
          <w:numId w:val="28"/>
        </w:numPr>
      </w:pPr>
      <w:r w:rsidRPr="005019FA">
        <w:t>vânzările anuale de energie, ca volum, către clienții finali ai tuturor distribuitorilor de energie sau ai tuturor societăților de vânzare cu amănuntul a energiei, pe cei trei ani (2016, 2017 și 2018) care precedă data de 1 ianuarie 2019 [în ktep];</w:t>
      </w:r>
    </w:p>
    <w:p w:rsidR="00B602AA" w:rsidRPr="005019FA" w:rsidRDefault="005C5300">
      <w:pPr>
        <w:pStyle w:val="Point1letter"/>
        <w:rPr>
          <w:szCs w:val="24"/>
        </w:rPr>
      </w:pPr>
      <w:r w:rsidRPr="005019FA">
        <w:t>volumul vânzărilor de energie utilizată în transporturi care a fost exclus din calcul [în ktep];</w:t>
      </w:r>
    </w:p>
    <w:p w:rsidR="00B602AA" w:rsidRPr="005019FA" w:rsidRDefault="005C5300">
      <w:pPr>
        <w:pStyle w:val="Point1letter"/>
        <w:rPr>
          <w:szCs w:val="24"/>
        </w:rPr>
      </w:pPr>
      <w:r w:rsidRPr="005019FA">
        <w:t>cantitatea de energie produsă pentru uzul propriu care a fost exclusă din calcul [în ktep];</w:t>
      </w:r>
    </w:p>
    <w:p w:rsidR="00B602AA" w:rsidRPr="005019FA" w:rsidRDefault="005C5300">
      <w:pPr>
        <w:pStyle w:val="Point1letter"/>
        <w:rPr>
          <w:szCs w:val="24"/>
        </w:rPr>
      </w:pPr>
      <w:r w:rsidRPr="005019FA">
        <w:t>sursele utilizate la calculul datelor privind vânzările de energie, inclusiv justificarea utilizării surselor statistice alternative și a oricăror diferențe dintre cantitățile rezultate (dacă se folosesc alte surse decât Eurostat);</w:t>
      </w:r>
    </w:p>
    <w:p w:rsidR="00B602AA" w:rsidRPr="005019FA" w:rsidRDefault="005C5300">
      <w:pPr>
        <w:pStyle w:val="Point1letter"/>
        <w:rPr>
          <w:szCs w:val="24"/>
        </w:rPr>
      </w:pPr>
      <w:r w:rsidRPr="005019FA">
        <w:t>cantitatea cumulată de economii de energie care trebuie realizate pe întreaga perioadă cuprinsă între 1 ianuarie 2021 și 31 decembrie 2030 [(înainte de exceptările de la alineatul (2)] [în ktep];</w:t>
      </w:r>
    </w:p>
    <w:p w:rsidR="00B602AA" w:rsidRPr="005019FA" w:rsidRDefault="005C5300">
      <w:pPr>
        <w:pStyle w:val="Point1letter"/>
        <w:rPr>
          <w:szCs w:val="24"/>
        </w:rPr>
      </w:pPr>
      <w:r w:rsidRPr="005019FA">
        <w:t>aplicarea exceptărilor (b), (c), (d) și (e) menționate la articolul 7 alineatele (2) și (3) din Directiva 2012/27/UE:</w:t>
      </w:r>
    </w:p>
    <w:p w:rsidR="00B602AA" w:rsidRPr="005019FA" w:rsidRDefault="005C5300">
      <w:pPr>
        <w:pStyle w:val="Text2"/>
        <w:rPr>
          <w:szCs w:val="24"/>
        </w:rPr>
      </w:pPr>
      <w:r w:rsidRPr="005019FA">
        <w:t>(i) volumul vânzărilor de energie utilizată în activitățile industriale [în ktep] enumerate în anexa I la Directiva 2003/87/CE, care a fost exclus din calcul în conformitate cu litera (b);</w:t>
      </w:r>
    </w:p>
    <w:p w:rsidR="00B602AA" w:rsidRPr="005019FA" w:rsidRDefault="005C5300">
      <w:pPr>
        <w:pStyle w:val="Text2"/>
        <w:rPr>
          <w:szCs w:val="24"/>
        </w:rPr>
      </w:pPr>
      <w:r w:rsidRPr="005019FA">
        <w:t>(ii) cantitatea economiilor de energie [în ktep] realizate în sectoarele transformării, distribuției și transportului de energie în conformitate cu litera (c);</w:t>
      </w:r>
    </w:p>
    <w:p w:rsidR="00B602AA" w:rsidRPr="005019FA" w:rsidRDefault="005C5300">
      <w:pPr>
        <w:pStyle w:val="Text2"/>
        <w:rPr>
          <w:szCs w:val="24"/>
        </w:rPr>
      </w:pPr>
      <w:r w:rsidRPr="005019FA">
        <w:t>(iii) cantitatea economiilor de energie [în ktep] rezultate din acțiuni individuale nou implementate începând de la 31 decembrie 2008, care continuă să aibă impact în 2020 și după aceea,</w:t>
      </w:r>
      <w:r w:rsidRPr="005019FA">
        <w:rPr>
          <w:rStyle w:val="CommentReference"/>
          <w:sz w:val="24"/>
        </w:rPr>
        <w:t xml:space="preserve"> </w:t>
      </w:r>
      <w:r w:rsidRPr="005019FA">
        <w:t>în conformitate cu litera (d);</w:t>
      </w:r>
      <w:r w:rsidR="005019FA" w:rsidRPr="005019FA">
        <w:t xml:space="preserve"> </w:t>
      </w:r>
    </w:p>
    <w:p w:rsidR="00B602AA" w:rsidRPr="005019FA" w:rsidRDefault="005C5300">
      <w:pPr>
        <w:pStyle w:val="Text2"/>
        <w:rPr>
          <w:szCs w:val="24"/>
        </w:rPr>
      </w:pPr>
      <w:r w:rsidRPr="005019FA">
        <w:t>(iv) cantitatea de energie produsă pe sau în clădiri pentru uz propriu ca urmare a măsurilor de politică vizând promovarea instalării de noi tehnologii de obținere a energiei din surse regenerabile, în conformitate cu litera (e) [în ktep];</w:t>
      </w:r>
    </w:p>
    <w:p w:rsidR="00B602AA" w:rsidRPr="005019FA" w:rsidRDefault="005C5300">
      <w:pPr>
        <w:pStyle w:val="Point1letter"/>
        <w:rPr>
          <w:szCs w:val="24"/>
        </w:rPr>
      </w:pPr>
      <w:r w:rsidRPr="005019FA">
        <w:t>cantitatea cumulată totală de economii de energie [după aplicarea exceptărilor de la alineatul (2)] [în ktep].</w:t>
      </w:r>
    </w:p>
    <w:p w:rsidR="00B602AA" w:rsidRPr="005019FA" w:rsidRDefault="005C5300">
      <w:pPr>
        <w:pStyle w:val="NumPar1"/>
        <w:rPr>
          <w:b/>
          <w:szCs w:val="24"/>
        </w:rPr>
      </w:pPr>
      <w:r w:rsidRPr="005019FA">
        <w:rPr>
          <w:b/>
        </w:rPr>
        <w:lastRenderedPageBreak/>
        <w:t>Măsuri de politică în vederea îndeplinirii cerinței de economisire prevăzute la articolul 7 alineatul (1) din Directiva 2012/27/UE:</w:t>
      </w:r>
    </w:p>
    <w:p w:rsidR="00B602AA" w:rsidRPr="005019FA" w:rsidRDefault="005C5300">
      <w:pPr>
        <w:pStyle w:val="NumPar2"/>
        <w:rPr>
          <w:b/>
          <w:szCs w:val="24"/>
        </w:rPr>
      </w:pPr>
      <w:r w:rsidRPr="005019FA">
        <w:rPr>
          <w:b/>
        </w:rPr>
        <w:t>Schemele de obligații în materie de eficiență energetică menționate la articolul 7a din Directiva 2012/27/UE:</w:t>
      </w:r>
    </w:p>
    <w:p w:rsidR="00B602AA" w:rsidRPr="005019FA" w:rsidRDefault="005C5300">
      <w:pPr>
        <w:pStyle w:val="Point1letter"/>
        <w:numPr>
          <w:ilvl w:val="3"/>
          <w:numId w:val="29"/>
        </w:numPr>
      </w:pPr>
      <w:r w:rsidRPr="005019FA">
        <w:t>descrierea schemei de obligații în materie de eficiență energetică;</w:t>
      </w:r>
    </w:p>
    <w:p w:rsidR="00B602AA" w:rsidRPr="005019FA" w:rsidRDefault="005C5300">
      <w:pPr>
        <w:pStyle w:val="Point1letter"/>
        <w:rPr>
          <w:szCs w:val="24"/>
        </w:rPr>
      </w:pPr>
      <w:r w:rsidRPr="005019FA">
        <w:t>cantitatea cumulată și anuală preconizată a economiilor și durata perioadei (perioadelor) de obligație;</w:t>
      </w:r>
    </w:p>
    <w:p w:rsidR="00B602AA" w:rsidRPr="005019FA" w:rsidRDefault="005C5300">
      <w:pPr>
        <w:pStyle w:val="Point1letter"/>
        <w:rPr>
          <w:szCs w:val="24"/>
        </w:rPr>
      </w:pPr>
      <w:r w:rsidRPr="005019FA">
        <w:t>părțile obligate și responsabilitățile acestora;</w:t>
      </w:r>
    </w:p>
    <w:p w:rsidR="00B602AA" w:rsidRPr="005019FA" w:rsidRDefault="005C5300">
      <w:pPr>
        <w:pStyle w:val="Point1letter"/>
        <w:rPr>
          <w:szCs w:val="24"/>
        </w:rPr>
      </w:pPr>
      <w:r w:rsidRPr="005019FA">
        <w:t>sectoarele țintă;</w:t>
      </w:r>
    </w:p>
    <w:p w:rsidR="00B602AA" w:rsidRPr="005019FA" w:rsidRDefault="005C5300">
      <w:pPr>
        <w:pStyle w:val="Point1letter"/>
        <w:rPr>
          <w:szCs w:val="24"/>
        </w:rPr>
      </w:pPr>
      <w:r w:rsidRPr="005019FA">
        <w:t>acțiunile eligibile prevăzute în cadrul măsurii;</w:t>
      </w:r>
    </w:p>
    <w:p w:rsidR="00B602AA" w:rsidRPr="005019FA" w:rsidRDefault="005C5300">
      <w:pPr>
        <w:pStyle w:val="Point1letter"/>
        <w:rPr>
          <w:szCs w:val="24"/>
        </w:rPr>
      </w:pPr>
      <w:r w:rsidRPr="005019FA">
        <w:t>informații cu privire la aplicarea dispozițiilor prevăzute la articolul 7a alineatul (5) din Directiva 2012/27/UE:</w:t>
      </w:r>
    </w:p>
    <w:p w:rsidR="00B602AA" w:rsidRPr="005019FA" w:rsidRDefault="005C5300">
      <w:pPr>
        <w:pStyle w:val="Text2"/>
        <w:rPr>
          <w:szCs w:val="24"/>
        </w:rPr>
      </w:pPr>
      <w:r w:rsidRPr="005019FA">
        <w:t>(i) acțiuni specifice, ponderea economiilor care trebuie realizate în gospodăriile afectate de sărăcia energetică și în locuințele sociale în conformitate cu articolul 7a alineatul (5) litera (a);</w:t>
      </w:r>
    </w:p>
    <w:p w:rsidR="00B602AA" w:rsidRPr="005019FA" w:rsidRDefault="005C5300">
      <w:pPr>
        <w:pStyle w:val="Text2"/>
        <w:rPr>
          <w:szCs w:val="24"/>
        </w:rPr>
      </w:pPr>
      <w:r w:rsidRPr="005019FA">
        <w:t>(ii) economiile realizate de furnizorii de servicii energetice sau de alte părți terțe în conformitate cu articolul 7a alineatul (5) litera (b);</w:t>
      </w:r>
    </w:p>
    <w:p w:rsidR="00B602AA" w:rsidRPr="005019FA" w:rsidRDefault="005C5300">
      <w:pPr>
        <w:pStyle w:val="Text2"/>
        <w:rPr>
          <w:szCs w:val="24"/>
        </w:rPr>
      </w:pPr>
      <w:r w:rsidRPr="005019FA">
        <w:t>(iii) constituirea de rezerve și împrumuturile în conformitate cu articolul 7a alineatul (5) litera (c);</w:t>
      </w:r>
    </w:p>
    <w:p w:rsidR="00B602AA" w:rsidRPr="005019FA" w:rsidRDefault="005C5300">
      <w:pPr>
        <w:pStyle w:val="Point1letter"/>
        <w:rPr>
          <w:szCs w:val="24"/>
        </w:rPr>
      </w:pPr>
      <w:r w:rsidRPr="005019FA">
        <w:t>informații privind tranzacționarea economiilor de energie (dacă este cazul).</w:t>
      </w:r>
    </w:p>
    <w:p w:rsidR="00B602AA" w:rsidRPr="005019FA" w:rsidRDefault="005C5300">
      <w:pPr>
        <w:pStyle w:val="NumPar2"/>
        <w:rPr>
          <w:b/>
          <w:szCs w:val="24"/>
        </w:rPr>
      </w:pPr>
      <w:r w:rsidRPr="005019FA">
        <w:rPr>
          <w:b/>
        </w:rPr>
        <w:t>Măsurile alternative menționate la articolul 7b și la articolul 20 alineatul (6) din Directiva 2012/27/UE (cu excepția impozitării):</w:t>
      </w:r>
    </w:p>
    <w:p w:rsidR="00B602AA" w:rsidRPr="005019FA" w:rsidRDefault="005C5300">
      <w:pPr>
        <w:pStyle w:val="Point1letter"/>
        <w:numPr>
          <w:ilvl w:val="3"/>
          <w:numId w:val="30"/>
        </w:numPr>
        <w:rPr>
          <w:szCs w:val="24"/>
        </w:rPr>
      </w:pPr>
      <w:r w:rsidRPr="005019FA">
        <w:t>tipul de măsură de politică;</w:t>
      </w:r>
    </w:p>
    <w:p w:rsidR="00B602AA" w:rsidRPr="005019FA" w:rsidRDefault="005C5300">
      <w:pPr>
        <w:pStyle w:val="Point1letter"/>
        <w:rPr>
          <w:szCs w:val="24"/>
        </w:rPr>
      </w:pPr>
      <w:r w:rsidRPr="005019FA">
        <w:t>scurtă descriere a măsurii de politică, inclusiv caracteristicile de concepție, pentru fiecare măsură de politică notificată;</w:t>
      </w:r>
    </w:p>
    <w:p w:rsidR="00B602AA" w:rsidRPr="005019FA" w:rsidRDefault="005C5300">
      <w:pPr>
        <w:pStyle w:val="Point1letter"/>
        <w:rPr>
          <w:szCs w:val="24"/>
        </w:rPr>
      </w:pPr>
      <w:r w:rsidRPr="005019FA">
        <w:t>cantitatea cumulată și anuală preconizată a economiilor pentru fiecare măsură și/sau cantitatea de economii de energie în raport cu orice perioade intermediare;</w:t>
      </w:r>
    </w:p>
    <w:p w:rsidR="00B602AA" w:rsidRPr="005019FA" w:rsidRDefault="005C5300">
      <w:pPr>
        <w:pStyle w:val="Point1letter"/>
        <w:rPr>
          <w:szCs w:val="24"/>
        </w:rPr>
      </w:pPr>
      <w:r w:rsidRPr="005019FA">
        <w:t>părțile responsabile cu punerea în aplicare, părțile participante, părțile mandatate și responsabilitățile acestora în ceea ce privește punerea în aplicare a măsurii (măsurilor) de politică;</w:t>
      </w:r>
    </w:p>
    <w:p w:rsidR="00B602AA" w:rsidRPr="005019FA" w:rsidRDefault="005C5300">
      <w:pPr>
        <w:pStyle w:val="Point1letter"/>
        <w:rPr>
          <w:szCs w:val="24"/>
        </w:rPr>
      </w:pPr>
      <w:r w:rsidRPr="005019FA">
        <w:t>sectoarele țintă;</w:t>
      </w:r>
    </w:p>
    <w:p w:rsidR="00B602AA" w:rsidRPr="005019FA" w:rsidRDefault="005C5300">
      <w:pPr>
        <w:pStyle w:val="Point1letter"/>
        <w:rPr>
          <w:szCs w:val="24"/>
        </w:rPr>
      </w:pPr>
      <w:r w:rsidRPr="005019FA">
        <w:t>acțiunile eligibile prevăzute în cadrul măsurii;</w:t>
      </w:r>
    </w:p>
    <w:p w:rsidR="00B602AA" w:rsidRPr="005019FA" w:rsidRDefault="005C5300">
      <w:pPr>
        <w:pStyle w:val="Point1letter"/>
        <w:rPr>
          <w:szCs w:val="24"/>
        </w:rPr>
      </w:pPr>
      <w:r w:rsidRPr="005019FA">
        <w:t>măsuri de politică sau acțiuni individuale specifice care vizează sărăcia energetică.</w:t>
      </w:r>
    </w:p>
    <w:p w:rsidR="00B602AA" w:rsidRPr="005019FA" w:rsidRDefault="005C5300">
      <w:pPr>
        <w:pStyle w:val="NumPar2"/>
        <w:rPr>
          <w:b/>
          <w:szCs w:val="24"/>
        </w:rPr>
      </w:pPr>
      <w:r w:rsidRPr="005019FA">
        <w:rPr>
          <w:b/>
        </w:rPr>
        <w:t>Informații cu privire la măsurile de impozitare:</w:t>
      </w:r>
    </w:p>
    <w:p w:rsidR="00B602AA" w:rsidRPr="005019FA" w:rsidRDefault="005C5300">
      <w:pPr>
        <w:pStyle w:val="Point1letter"/>
        <w:numPr>
          <w:ilvl w:val="3"/>
          <w:numId w:val="31"/>
        </w:numPr>
      </w:pPr>
      <w:r w:rsidRPr="005019FA">
        <w:t>scurtă descriere a măsurii de impozitare;</w:t>
      </w:r>
    </w:p>
    <w:p w:rsidR="00B602AA" w:rsidRPr="005019FA" w:rsidRDefault="005C5300">
      <w:pPr>
        <w:pStyle w:val="Point1letter"/>
        <w:rPr>
          <w:szCs w:val="24"/>
        </w:rPr>
      </w:pPr>
      <w:r w:rsidRPr="005019FA">
        <w:t>durata măsurii de impozitare;</w:t>
      </w:r>
    </w:p>
    <w:p w:rsidR="00B602AA" w:rsidRPr="005019FA" w:rsidRDefault="005C5300">
      <w:pPr>
        <w:pStyle w:val="Point1letter"/>
        <w:rPr>
          <w:szCs w:val="24"/>
        </w:rPr>
      </w:pPr>
      <w:r w:rsidRPr="005019FA">
        <w:t>cantitatea cumulată și anuală preconizată a economiilor pentru fiecare măsură;</w:t>
      </w:r>
    </w:p>
    <w:p w:rsidR="00B602AA" w:rsidRPr="005019FA" w:rsidRDefault="005C5300">
      <w:pPr>
        <w:pStyle w:val="Point1letter"/>
        <w:rPr>
          <w:szCs w:val="24"/>
        </w:rPr>
      </w:pPr>
      <w:r w:rsidRPr="005019FA">
        <w:t>sectoarele țintă;</w:t>
      </w:r>
    </w:p>
    <w:p w:rsidR="00B602AA" w:rsidRPr="005019FA" w:rsidRDefault="005C5300">
      <w:pPr>
        <w:pStyle w:val="Point1letter"/>
        <w:rPr>
          <w:szCs w:val="24"/>
        </w:rPr>
      </w:pPr>
      <w:r w:rsidRPr="005019FA">
        <w:lastRenderedPageBreak/>
        <w:t>adiționalitatea economiilor de energie prin descrierea abordării pentru calcularea economiilor, inclusiv elasticitățile prețurilor utilizate în conformitate cu anexa V punctul 4.</w:t>
      </w:r>
    </w:p>
    <w:p w:rsidR="00B602AA" w:rsidRPr="005019FA" w:rsidRDefault="005C5300">
      <w:pPr>
        <w:pStyle w:val="NumPar1"/>
        <w:rPr>
          <w:b/>
          <w:szCs w:val="24"/>
        </w:rPr>
      </w:pPr>
      <w:r w:rsidRPr="005019FA">
        <w:rPr>
          <w:b/>
        </w:rPr>
        <w:t>Metodologia de calcul pentru măsurile notificate în temeiul articolelor 7a, 7b și 20 alineatul (6) din Directiva 2012/27/UE (cu excepția măsurilor de impozitare):</w:t>
      </w:r>
    </w:p>
    <w:p w:rsidR="00B602AA" w:rsidRPr="005019FA" w:rsidRDefault="005C5300">
      <w:pPr>
        <w:pStyle w:val="Point1letter"/>
        <w:numPr>
          <w:ilvl w:val="3"/>
          <w:numId w:val="32"/>
        </w:numPr>
        <w:rPr>
          <w:szCs w:val="24"/>
        </w:rPr>
      </w:pPr>
      <w:r w:rsidRPr="005019FA">
        <w:t>metodele de măsurare utilizate, menționate în anexa V punctul 1 la Directiva 2012/27/UE;</w:t>
      </w:r>
    </w:p>
    <w:p w:rsidR="00B602AA" w:rsidRPr="005019FA" w:rsidRDefault="005C5300">
      <w:pPr>
        <w:pStyle w:val="Point1letter"/>
        <w:rPr>
          <w:szCs w:val="24"/>
        </w:rPr>
      </w:pPr>
      <w:r w:rsidRPr="005019FA">
        <w:t>metoda de exprimare a economiilor de energie (economiile primare sau finale de energie);</w:t>
      </w:r>
    </w:p>
    <w:p w:rsidR="00B602AA" w:rsidRPr="005019FA" w:rsidRDefault="005C5300">
      <w:pPr>
        <w:pStyle w:val="Point1letter"/>
        <w:rPr>
          <w:szCs w:val="24"/>
        </w:rPr>
      </w:pPr>
      <w:r w:rsidRPr="005019FA">
        <w:t>duratele de viață ale acțiunilor individuale și abordarea utilizată pentru a ține seama de durata de viață a economiilor;</w:t>
      </w:r>
    </w:p>
    <w:p w:rsidR="00B602AA" w:rsidRPr="005019FA" w:rsidRDefault="005C5300">
      <w:pPr>
        <w:pStyle w:val="Point1letter"/>
        <w:rPr>
          <w:szCs w:val="24"/>
        </w:rPr>
      </w:pPr>
      <w:r w:rsidRPr="005019FA">
        <w:t>scurtă descriere a metodologiei de calcul, inclusiv modul în care se asigură adiționalitatea și importanța economiilor;</w:t>
      </w:r>
    </w:p>
    <w:p w:rsidR="00B602AA" w:rsidRPr="005019FA" w:rsidRDefault="005C5300">
      <w:pPr>
        <w:pStyle w:val="Point1letter"/>
        <w:rPr>
          <w:szCs w:val="24"/>
        </w:rPr>
      </w:pPr>
      <w:r w:rsidRPr="005019FA">
        <w:t>informații cu privire la modul în care sunt abordate posibilele suprapuneri între măsuri și acțiunile individuale pentru a se evita dubla contorizare a economiilor de energie;</w:t>
      </w:r>
    </w:p>
    <w:p w:rsidR="00B602AA" w:rsidRPr="005019FA" w:rsidRDefault="005C5300">
      <w:pPr>
        <w:pStyle w:val="Point1letter"/>
        <w:rPr>
          <w:szCs w:val="24"/>
        </w:rPr>
      </w:pPr>
      <w:r w:rsidRPr="005019FA">
        <w:t>variațiile climatice și abordarea utilizată (dacă este cazul).</w:t>
      </w:r>
    </w:p>
    <w:p w:rsidR="00B602AA" w:rsidRPr="005019FA" w:rsidRDefault="005C5300">
      <w:pPr>
        <w:pStyle w:val="NumPar1"/>
        <w:rPr>
          <w:b/>
          <w:szCs w:val="24"/>
        </w:rPr>
      </w:pPr>
      <w:r w:rsidRPr="005019FA">
        <w:rPr>
          <w:b/>
        </w:rPr>
        <w:t>Monitorizare și verificare</w:t>
      </w:r>
    </w:p>
    <w:p w:rsidR="00B602AA" w:rsidRPr="005019FA" w:rsidRDefault="005C5300">
      <w:pPr>
        <w:pStyle w:val="Point1letter"/>
        <w:numPr>
          <w:ilvl w:val="3"/>
          <w:numId w:val="33"/>
        </w:numPr>
      </w:pPr>
      <w:r w:rsidRPr="005019FA">
        <w:t>scurtă descriere a sistemului de monitorizare și de verificare și a procesului de verificare;</w:t>
      </w:r>
    </w:p>
    <w:p w:rsidR="00B602AA" w:rsidRPr="005019FA" w:rsidRDefault="005C5300">
      <w:pPr>
        <w:pStyle w:val="Point1letter"/>
        <w:rPr>
          <w:szCs w:val="24"/>
        </w:rPr>
      </w:pPr>
      <w:r w:rsidRPr="005019FA">
        <w:t>autoritatea publică de punere în aplicare și principalele responsabilități ale acesteia în ceea ce privește sistemul de monitorizare și de verificare în legătură cu schema de obligații și/sau măsurile alternative în materie de eficiență energetică;</w:t>
      </w:r>
    </w:p>
    <w:p w:rsidR="00B602AA" w:rsidRPr="005019FA" w:rsidRDefault="005C5300">
      <w:pPr>
        <w:pStyle w:val="Point1letter"/>
        <w:rPr>
          <w:szCs w:val="24"/>
        </w:rPr>
      </w:pPr>
      <w:r w:rsidRPr="005019FA">
        <w:t>independența monitorizării și a verificării față de părțile obligate și de părțile participante, mandatate;</w:t>
      </w:r>
    </w:p>
    <w:p w:rsidR="00B602AA" w:rsidRPr="005019FA" w:rsidRDefault="005C5300">
      <w:pPr>
        <w:pStyle w:val="Point1letter"/>
        <w:rPr>
          <w:szCs w:val="24"/>
        </w:rPr>
      </w:pPr>
      <w:r w:rsidRPr="005019FA">
        <w:t>o parte semnificativă din punct de vedere statistic a măsurilor de îmbunătățire a eficienței energetice, precum și proporțiile și criteriile utilizate pentru a defini și a selecta un eșantion reprezentativ;</w:t>
      </w:r>
    </w:p>
    <w:p w:rsidR="00B602AA" w:rsidRPr="005019FA" w:rsidRDefault="005C5300">
      <w:pPr>
        <w:pStyle w:val="Point1letter"/>
        <w:rPr>
          <w:szCs w:val="24"/>
        </w:rPr>
      </w:pPr>
      <w:r w:rsidRPr="005019FA">
        <w:t>obligațiile de raportare ale părților obligate (economiile de energie realizate de fiecare parte obligată sau de fiecare subcategorie de părți obligate, precum și economiile totale realizate în cadrul schemei);</w:t>
      </w:r>
    </w:p>
    <w:p w:rsidR="00B602AA" w:rsidRPr="005019FA" w:rsidRDefault="005C5300">
      <w:pPr>
        <w:pStyle w:val="Point1letter"/>
        <w:rPr>
          <w:szCs w:val="24"/>
        </w:rPr>
      </w:pPr>
      <w:r w:rsidRPr="005019FA">
        <w:t>publicarea economiilor de energie realizate (în fiecare an) în cadrul schemei de obligații și al măsurilor alternative în materie de eficiență energetică;</w:t>
      </w:r>
    </w:p>
    <w:p w:rsidR="00B602AA" w:rsidRPr="005019FA" w:rsidRDefault="005C5300">
      <w:pPr>
        <w:pStyle w:val="Point1letter"/>
        <w:rPr>
          <w:szCs w:val="24"/>
        </w:rPr>
      </w:pPr>
      <w:r w:rsidRPr="005019FA">
        <w:t>informații privind sancțiunile aplicate în caz de neconformitate;</w:t>
      </w:r>
    </w:p>
    <w:p w:rsidR="00B602AA" w:rsidRPr="005019FA" w:rsidRDefault="005C5300">
      <w:pPr>
        <w:pStyle w:val="Point1letter"/>
      </w:pPr>
      <w:r w:rsidRPr="005019FA">
        <w:t>informații privind măsurile prevăzute în cazul în care progresele nu sunt satisfăcătoare.</w:t>
      </w:r>
    </w:p>
    <w:p w:rsidR="00B602AA" w:rsidRPr="005019FA" w:rsidRDefault="005C5300">
      <w:pPr>
        <w:rPr>
          <w:szCs w:val="24"/>
        </w:rPr>
      </w:pPr>
      <w:r w:rsidRPr="005019FA">
        <w:br w:type="page"/>
      </w:r>
    </w:p>
    <w:p w:rsidR="0056435C" w:rsidRPr="005019FA" w:rsidRDefault="005C5300" w:rsidP="00056BCA">
      <w:pPr>
        <w:pStyle w:val="Annexetitre"/>
        <w:rPr>
          <w:b w:val="0"/>
          <w:i/>
          <w:szCs w:val="24"/>
          <w:u w:val="none"/>
        </w:rPr>
      </w:pPr>
      <w:r w:rsidRPr="005019FA">
        <w:rPr>
          <w:b w:val="0"/>
          <w:i/>
          <w:u w:val="none"/>
        </w:rPr>
        <w:lastRenderedPageBreak/>
        <w:t>ANEXA III</w:t>
      </w:r>
    </w:p>
    <w:p w:rsidR="00B602AA" w:rsidRPr="005019FA" w:rsidRDefault="0056435C" w:rsidP="00056BCA">
      <w:pPr>
        <w:jc w:val="center"/>
      </w:pPr>
      <w:r w:rsidRPr="005019FA">
        <w:rPr>
          <w:b/>
        </w:rPr>
        <w:t>INFORMAȚII PRIVIND INVENTARELE DE GES</w:t>
      </w:r>
    </w:p>
    <w:p w:rsidR="00B602AA" w:rsidRPr="005019FA" w:rsidRDefault="005C5300" w:rsidP="00056BCA">
      <w:pPr>
        <w:jc w:val="center"/>
      </w:pPr>
      <w:r w:rsidRPr="005019FA">
        <w:rPr>
          <w:b/>
          <w:color w:val="000000"/>
        </w:rPr>
        <w:t>Partea 1</w:t>
      </w:r>
    </w:p>
    <w:p w:rsidR="00B602AA" w:rsidRPr="005019FA" w:rsidRDefault="005C5300">
      <w:pPr>
        <w:spacing w:after="0"/>
        <w:rPr>
          <w:rFonts w:eastAsia="Times New Roman"/>
          <w:szCs w:val="24"/>
        </w:rPr>
      </w:pPr>
      <w:r w:rsidRPr="005019FA">
        <w:t>Informații care trebuie incluse în rapoartele menționate la articolul 23 alineatul (2):</w:t>
      </w:r>
    </w:p>
    <w:p w:rsidR="00B602AA" w:rsidRPr="005019FA" w:rsidRDefault="005C5300">
      <w:pPr>
        <w:pStyle w:val="Point0letter"/>
        <w:numPr>
          <w:ilvl w:val="1"/>
          <w:numId w:val="11"/>
        </w:numPr>
        <w:rPr>
          <w:szCs w:val="24"/>
        </w:rPr>
      </w:pPr>
      <w:r w:rsidRPr="005019FA">
        <w:t>emisiile antropice de gaze cu efect de seră enumerate în partea 2 din prezenta anexă și emisiile antropice de gaze cu efect de seră menționate la articolul 2 alineatul (1) din Regulamentul [ ] [ESR] pentru anul X-2;</w:t>
      </w:r>
    </w:p>
    <w:p w:rsidR="00B602AA" w:rsidRPr="005019FA" w:rsidRDefault="005C5300">
      <w:pPr>
        <w:pStyle w:val="Point0letter"/>
        <w:rPr>
          <w:szCs w:val="24"/>
        </w:rPr>
      </w:pPr>
      <w:r w:rsidRPr="005019FA">
        <w:t>datele cu privire la emisiile antropice de monoxid de carbon (CO), de dioxid de sulf (SO</w:t>
      </w:r>
      <w:r w:rsidRPr="005019FA">
        <w:rPr>
          <w:vertAlign w:val="subscript"/>
        </w:rPr>
        <w:t>2</w:t>
      </w:r>
      <w:r w:rsidRPr="005019FA">
        <w:t>), de oxizi de azot (NOx) și de compuși organici volatili, consecvente cu datele raportate deja în temeiul articolului 7 din Directiva 2001/81/CE pentru anul X-2;</w:t>
      </w:r>
    </w:p>
    <w:p w:rsidR="00B602AA" w:rsidRPr="005019FA" w:rsidRDefault="005C5300">
      <w:pPr>
        <w:pStyle w:val="Point0letter"/>
        <w:rPr>
          <w:szCs w:val="24"/>
        </w:rPr>
      </w:pPr>
      <w:r w:rsidRPr="005019FA">
        <w:t>emisiile antropice de gaze cu efect de seră de către surse și absorbția de către absorbanți a CO</w:t>
      </w:r>
      <w:r w:rsidRPr="005019FA">
        <w:rPr>
          <w:vertAlign w:val="subscript"/>
        </w:rPr>
        <w:t>2</w:t>
      </w:r>
      <w:r w:rsidRPr="005019FA">
        <w:t xml:space="preserve"> rezultat din LULUCF, pentru anul X-2, în conformitate cu metodologiile specificate în partea 3 din prezenta anexă. Aceste date trebuie să fie de asemenea relevante pentru raportul de conformitate în temeiul articolului 12 din Regulamentul [ ] [LULUCF];</w:t>
      </w:r>
    </w:p>
    <w:p w:rsidR="00B602AA" w:rsidRPr="005019FA" w:rsidRDefault="005C5300">
      <w:pPr>
        <w:pStyle w:val="Point0letter"/>
        <w:rPr>
          <w:szCs w:val="24"/>
        </w:rPr>
      </w:pPr>
      <w:r w:rsidRPr="005019FA">
        <w:t xml:space="preserve">orice modificări ale informațiilor menționate la literele (a)-(c) referitoare la perioada cuprinsă între anul sau perioada de referință relevantă și anul X-3, indicând motivele acestor modificări; </w:t>
      </w:r>
    </w:p>
    <w:p w:rsidR="00B602AA" w:rsidRPr="005019FA" w:rsidRDefault="005C5300">
      <w:pPr>
        <w:pStyle w:val="Point0letter"/>
        <w:rPr>
          <w:szCs w:val="24"/>
        </w:rPr>
      </w:pPr>
      <w:r w:rsidRPr="005019FA">
        <w:t xml:space="preserve">informații privind indicatorii, conform celor stabilite în partea 4 din prezenta anexă, pentru anul X-2; </w:t>
      </w:r>
    </w:p>
    <w:p w:rsidR="00B602AA" w:rsidRPr="005019FA" w:rsidRDefault="005C5300">
      <w:pPr>
        <w:pStyle w:val="Point0letter"/>
        <w:rPr>
          <w:szCs w:val="24"/>
        </w:rPr>
      </w:pPr>
      <w:r w:rsidRPr="005019FA">
        <w:t xml:space="preserve">informații sintetizate privind transferurile încheiate în temeiul articolului 5 din Regulamentul [ ] [ESR] și al articolului 11 din Regulamentul [ ] [LULUCF], pentru anul X-1; </w:t>
      </w:r>
    </w:p>
    <w:p w:rsidR="00B602AA" w:rsidRPr="005019FA" w:rsidRDefault="005C5300">
      <w:pPr>
        <w:pStyle w:val="Point0letter"/>
        <w:rPr>
          <w:szCs w:val="24"/>
        </w:rPr>
      </w:pPr>
      <w:r w:rsidRPr="005019FA">
        <w:t xml:space="preserve">informații cu privire la măsurile luate în vederea îmbunătățirii estimărilor referitoare la inventare, în special în domenii de inventar care au făcut obiectul unor modificări sau recomandări în urma expertizelor; </w:t>
      </w:r>
    </w:p>
    <w:p w:rsidR="00B602AA" w:rsidRPr="005019FA" w:rsidRDefault="005C5300">
      <w:pPr>
        <w:pStyle w:val="Point0letter"/>
        <w:rPr>
          <w:szCs w:val="24"/>
        </w:rPr>
      </w:pPr>
      <w:r w:rsidRPr="005019FA">
        <w:t xml:space="preserve">alocarea reală sau estimată a emisiilor verificate raportate de operatorii de instalații în temeiul Directivei 2003/87/CE către categoriile de surse din inventarul național de gaze cu efect de seră și raportul dintre aceste emisii verificate și totalul emisiilor de gaze cu efect de seră raportate în cadrul respectivelor categorii de surse, pentru anul X-2; </w:t>
      </w:r>
    </w:p>
    <w:p w:rsidR="00B602AA" w:rsidRPr="005019FA" w:rsidRDefault="005C5300">
      <w:pPr>
        <w:pStyle w:val="Point0letter"/>
        <w:rPr>
          <w:szCs w:val="24"/>
        </w:rPr>
      </w:pPr>
      <w:r w:rsidRPr="005019FA">
        <w:t xml:space="preserve">rezultatele verificărilor efectuate în ceea ce privește consecvența emisiilor raportate în inventarele de gaze cu efect de seră, pentru anul X-2, cu emisiile verificate raportate în temeiul Directivei 2003/87/CE; </w:t>
      </w:r>
    </w:p>
    <w:p w:rsidR="00B602AA" w:rsidRPr="005019FA" w:rsidRDefault="005C5300">
      <w:pPr>
        <w:pStyle w:val="Point0letter"/>
        <w:rPr>
          <w:szCs w:val="24"/>
        </w:rPr>
      </w:pPr>
      <w:r w:rsidRPr="005019FA">
        <w:t>rezultatele verificărilor efectuate în ceea ce privește consecvența datelor folosite pentru estimarea emisiilor la întocmirea inventarelor de gaze cu efect de seră, pentru anul X-2, cu:</w:t>
      </w:r>
    </w:p>
    <w:p w:rsidR="00B602AA" w:rsidRPr="005019FA" w:rsidRDefault="005C5300">
      <w:pPr>
        <w:pStyle w:val="Point1"/>
        <w:rPr>
          <w:szCs w:val="24"/>
        </w:rPr>
      </w:pPr>
      <w:r w:rsidRPr="005019FA">
        <w:t>(i)</w:t>
      </w:r>
      <w:r w:rsidRPr="005019FA">
        <w:tab/>
        <w:t xml:space="preserve">datele folosite la întocmirea inventarelor de poluanți atmosferici în temeiul Directivei 2001/81/CE; </w:t>
      </w:r>
    </w:p>
    <w:p w:rsidR="00B602AA" w:rsidRPr="005019FA" w:rsidRDefault="005C5300">
      <w:pPr>
        <w:pStyle w:val="Point1"/>
        <w:rPr>
          <w:szCs w:val="24"/>
        </w:rPr>
      </w:pPr>
      <w:r w:rsidRPr="005019FA">
        <w:t>(ii)</w:t>
      </w:r>
      <w:r w:rsidRPr="005019FA">
        <w:tab/>
        <w:t xml:space="preserve">datele raportate în temeiul articolului 19 alineatul (1) din Regulamentul (UE) nr. 517/2014 și al anexei VII la respectivul regulament; </w:t>
      </w:r>
    </w:p>
    <w:p w:rsidR="00B602AA" w:rsidRPr="005019FA" w:rsidRDefault="005C5300">
      <w:pPr>
        <w:pStyle w:val="Point1"/>
        <w:rPr>
          <w:szCs w:val="24"/>
        </w:rPr>
      </w:pPr>
      <w:r w:rsidRPr="005019FA">
        <w:t>(iii)</w:t>
      </w:r>
      <w:r w:rsidRPr="005019FA">
        <w:tab/>
        <w:t xml:space="preserve">datele privind energia raportate în temeiul articolului 4 din Regulamentul (CE) nr. 1099/2008 și al anexei B la respectivul regulament; </w:t>
      </w:r>
    </w:p>
    <w:p w:rsidR="00B602AA" w:rsidRPr="005019FA" w:rsidRDefault="005C5300">
      <w:pPr>
        <w:pStyle w:val="Point0letter"/>
        <w:rPr>
          <w:szCs w:val="24"/>
        </w:rPr>
      </w:pPr>
      <w:r w:rsidRPr="005019FA">
        <w:lastRenderedPageBreak/>
        <w:t xml:space="preserve">o descriere a modificărilor aduse sistemului național de inventariere; </w:t>
      </w:r>
    </w:p>
    <w:p w:rsidR="00B602AA" w:rsidRPr="005019FA" w:rsidRDefault="005C5300">
      <w:pPr>
        <w:pStyle w:val="Point0letter"/>
        <w:rPr>
          <w:szCs w:val="24"/>
        </w:rPr>
      </w:pPr>
      <w:r w:rsidRPr="005019FA">
        <w:t xml:space="preserve">o descriere a modificărilor aduse registrului național; </w:t>
      </w:r>
    </w:p>
    <w:p w:rsidR="00B602AA" w:rsidRPr="005019FA" w:rsidRDefault="005C5300">
      <w:pPr>
        <w:pStyle w:val="Point0letter"/>
        <w:rPr>
          <w:szCs w:val="24"/>
        </w:rPr>
      </w:pPr>
      <w:r w:rsidRPr="005019FA">
        <w:t>informații cu privire la planurile de asigurare a calității și de control al calității, o evaluare generală a gradului de incertitudine, o evaluare generală a gradului de exhaustivitate și orice alte elemente ale raportului privind inventarul național de gaze cu efect de seră necesare pentru pregătirea raportului privind inventarul gazelor cu efect de seră la nivelul Uniunii;</w:t>
      </w:r>
    </w:p>
    <w:p w:rsidR="00B602AA" w:rsidRPr="005019FA" w:rsidRDefault="005C5300">
      <w:pPr>
        <w:pStyle w:val="Point0letter"/>
        <w:rPr>
          <w:szCs w:val="24"/>
        </w:rPr>
      </w:pPr>
      <w:r w:rsidRPr="005019FA">
        <w:t>informații cu privire la intențiile statelor membre de a utiliza flexibilitățile prevăzute la articolul 5 alineatele (4) și (5) din Regulamentul [ ] [ESR].</w:t>
      </w:r>
    </w:p>
    <w:p w:rsidR="00B602AA" w:rsidRPr="005019FA" w:rsidRDefault="005C5300">
      <w:pPr>
        <w:spacing w:after="0"/>
        <w:rPr>
          <w:szCs w:val="24"/>
        </w:rPr>
      </w:pPr>
      <w:r w:rsidRPr="005019FA">
        <w:t xml:space="preserve">Un stat membru poate solicita o derogare de la litera (c) pentru a aplica o metodologie diferită decât cea specificată în partea 3 din prezenta anexă, dacă îmbunătățirea necesară a metodologiei nu a putut fi realizată în timp util pentru a fi luată în considerare la inventarele gazelor cu efect de seră din perioada 2021-2030 sau dacă îmbunătățirea metodologiei ar costa disproporționat de mult în raport cu beneficiile aplicării acestei metodologii în vederea îmbunătățirii contabilizării emisiilor și absorbțiilor din cauza importanței reduse a emisiilor și absorbțiilor din rezervoarele de carbon în cauză. Statele membre care doresc să beneficieze de derogare trebuie să transmită Comisiei o cerere motivată până la 31 decembrie 2020, indicând termenul până la care ar putea fi implementată îmbunătățirea metodologiei și/sau ar putea fi propusă metodologia alternativă, precum și o evaluare a impactului potențial asupra exactității contabilizării. Comisia poate solicita transmiterea de informații suplimentare într-un termen rezonabil specificat. În cazul în care Comisia consideră că cererea este justificată, ea acordă derogarea. Dacă cererea este respinsă, Comisia își motivează decizia. </w:t>
      </w:r>
    </w:p>
    <w:p w:rsidR="00B602AA" w:rsidRPr="005019FA" w:rsidRDefault="005C5300" w:rsidP="00056BCA">
      <w:pPr>
        <w:spacing w:after="0"/>
        <w:jc w:val="center"/>
        <w:rPr>
          <w:rFonts w:eastAsia="Times New Roman"/>
          <w:b/>
          <w:color w:val="000000"/>
          <w:szCs w:val="24"/>
        </w:rPr>
      </w:pPr>
      <w:r w:rsidRPr="005019FA">
        <w:rPr>
          <w:b/>
          <w:color w:val="000000"/>
        </w:rPr>
        <w:t>Partea 2</w:t>
      </w:r>
    </w:p>
    <w:p w:rsidR="00B602AA" w:rsidRPr="005019FA" w:rsidRDefault="005C5300">
      <w:pPr>
        <w:spacing w:after="0"/>
        <w:rPr>
          <w:color w:val="000000"/>
          <w:szCs w:val="24"/>
        </w:rPr>
      </w:pPr>
      <w:r w:rsidRPr="005019FA">
        <w:rPr>
          <w:color w:val="000000"/>
        </w:rPr>
        <w:t xml:space="preserve">Gazele cu efect de seră vizate sunt: </w:t>
      </w:r>
    </w:p>
    <w:p w:rsidR="00B602AA" w:rsidRPr="005019FA" w:rsidRDefault="005C5300">
      <w:pPr>
        <w:spacing w:after="0"/>
        <w:rPr>
          <w:rFonts w:eastAsia="Times New Roman"/>
          <w:color w:val="000000"/>
          <w:szCs w:val="24"/>
        </w:rPr>
      </w:pPr>
      <w:r w:rsidRPr="005019FA">
        <w:rPr>
          <w:color w:val="000000"/>
        </w:rPr>
        <w:t>Dioxidul de carbon (CO</w:t>
      </w:r>
      <w:r w:rsidRPr="005019FA">
        <w:rPr>
          <w:color w:val="000000"/>
          <w:vertAlign w:val="subscript"/>
        </w:rPr>
        <w:t>2</w:t>
      </w:r>
      <w:r w:rsidRPr="005019FA">
        <w:rPr>
          <w:color w:val="000000"/>
        </w:rPr>
        <w:t>)</w:t>
      </w:r>
    </w:p>
    <w:p w:rsidR="00B602AA" w:rsidRPr="005019FA" w:rsidRDefault="005C5300">
      <w:pPr>
        <w:spacing w:after="0"/>
        <w:rPr>
          <w:rFonts w:eastAsia="Times New Roman"/>
          <w:color w:val="000000"/>
          <w:szCs w:val="24"/>
        </w:rPr>
      </w:pPr>
      <w:r w:rsidRPr="005019FA">
        <w:rPr>
          <w:color w:val="000000"/>
        </w:rPr>
        <w:t>Metanul (CH</w:t>
      </w:r>
      <w:r w:rsidRPr="005019FA">
        <w:rPr>
          <w:color w:val="000000"/>
          <w:vertAlign w:val="subscript"/>
        </w:rPr>
        <w:t>4</w:t>
      </w:r>
      <w:r w:rsidRPr="005019FA">
        <w:rPr>
          <w:color w:val="000000"/>
        </w:rPr>
        <w:t>)</w:t>
      </w:r>
    </w:p>
    <w:p w:rsidR="00B602AA" w:rsidRPr="005019FA" w:rsidRDefault="005C5300">
      <w:pPr>
        <w:spacing w:after="0"/>
        <w:rPr>
          <w:rFonts w:eastAsia="Times New Roman"/>
          <w:color w:val="000000"/>
          <w:szCs w:val="24"/>
        </w:rPr>
      </w:pPr>
      <w:r w:rsidRPr="005019FA">
        <w:rPr>
          <w:color w:val="000000"/>
        </w:rPr>
        <w:t>Oxidul de azot (N</w:t>
      </w:r>
      <w:r w:rsidRPr="005019FA">
        <w:rPr>
          <w:color w:val="000000"/>
          <w:vertAlign w:val="subscript"/>
        </w:rPr>
        <w:t>2</w:t>
      </w:r>
      <w:r w:rsidRPr="005019FA">
        <w:rPr>
          <w:color w:val="000000"/>
        </w:rPr>
        <w:t>O)</w:t>
      </w:r>
    </w:p>
    <w:p w:rsidR="00B602AA" w:rsidRPr="005019FA" w:rsidRDefault="005C5300">
      <w:pPr>
        <w:spacing w:after="0"/>
        <w:rPr>
          <w:rFonts w:eastAsia="Times New Roman"/>
          <w:color w:val="000000"/>
          <w:szCs w:val="24"/>
        </w:rPr>
      </w:pPr>
      <w:r w:rsidRPr="005019FA">
        <w:rPr>
          <w:color w:val="000000"/>
        </w:rPr>
        <w:t>Hexafluorura de sulf (SF</w:t>
      </w:r>
      <w:r w:rsidRPr="005019FA">
        <w:rPr>
          <w:color w:val="000000"/>
          <w:vertAlign w:val="subscript"/>
        </w:rPr>
        <w:t>6</w:t>
      </w:r>
      <w:r w:rsidRPr="005019FA">
        <w:rPr>
          <w:color w:val="000000"/>
        </w:rPr>
        <w:t>)</w:t>
      </w:r>
    </w:p>
    <w:p w:rsidR="00B602AA" w:rsidRPr="005019FA" w:rsidRDefault="005C5300">
      <w:pPr>
        <w:spacing w:after="0"/>
        <w:rPr>
          <w:rFonts w:eastAsia="Times New Roman"/>
          <w:color w:val="000000"/>
          <w:szCs w:val="24"/>
        </w:rPr>
      </w:pPr>
      <w:r w:rsidRPr="005019FA">
        <w:rPr>
          <w:color w:val="000000"/>
        </w:rPr>
        <w:t>Trifluorura de azot (NF</w:t>
      </w:r>
      <w:r w:rsidRPr="005019FA">
        <w:rPr>
          <w:color w:val="000000"/>
          <w:vertAlign w:val="subscript"/>
        </w:rPr>
        <w:t>3</w:t>
      </w:r>
      <w:r w:rsidRPr="005019FA">
        <w:rPr>
          <w:color w:val="000000"/>
        </w:rPr>
        <w:t>)</w:t>
      </w:r>
    </w:p>
    <w:p w:rsidR="00B602AA" w:rsidRPr="005019FA" w:rsidRDefault="005C5300">
      <w:pPr>
        <w:spacing w:after="0"/>
        <w:rPr>
          <w:rFonts w:eastAsia="Times New Roman"/>
          <w:color w:val="000000"/>
          <w:szCs w:val="24"/>
        </w:rPr>
      </w:pPr>
      <w:r w:rsidRPr="005019FA">
        <w:rPr>
          <w:color w:val="000000"/>
        </w:rPr>
        <w:t>Hidrofluorocarburi</w:t>
      </w:r>
      <w:r w:rsidR="005019FA" w:rsidRPr="005019FA">
        <w:rPr>
          <w:color w:val="000000"/>
        </w:rPr>
        <w:t xml:space="preserve"> </w:t>
      </w:r>
      <w:r w:rsidRPr="005019FA">
        <w:rPr>
          <w:color w:val="000000"/>
        </w:rPr>
        <w:t>(HFC-uri):</w:t>
      </w:r>
    </w:p>
    <w:tbl>
      <w:tblPr>
        <w:tblW w:w="5000" w:type="pct"/>
        <w:tblCellSpacing w:w="0" w:type="dxa"/>
        <w:tblCellMar>
          <w:left w:w="0" w:type="dxa"/>
          <w:right w:w="0" w:type="dxa"/>
        </w:tblCellMar>
        <w:tblLook w:val="04A0" w:firstRow="1" w:lastRow="0" w:firstColumn="1" w:lastColumn="0" w:noHBand="0" w:noVBand="1"/>
      </w:tblPr>
      <w:tblGrid>
        <w:gridCol w:w="415"/>
        <w:gridCol w:w="8658"/>
      </w:tblGrid>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HFC-23 CHF</w:t>
            </w:r>
            <w:r w:rsidRPr="005019FA">
              <w:rPr>
                <w:color w:val="000000"/>
                <w:vertAlign w:val="subscript"/>
              </w:rPr>
              <w:t>3</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HFC-32 CH</w:t>
            </w:r>
            <w:r w:rsidRPr="005019FA">
              <w:rPr>
                <w:color w:val="000000"/>
                <w:vertAlign w:val="subscript"/>
              </w:rPr>
              <w:t>2</w:t>
            </w:r>
            <w:r w:rsidRPr="005019FA">
              <w:rPr>
                <w:color w:val="000000"/>
              </w:rPr>
              <w:t>F</w:t>
            </w:r>
            <w:r w:rsidRPr="005019FA">
              <w:rPr>
                <w:color w:val="000000"/>
                <w:vertAlign w:val="subscript"/>
              </w:rPr>
              <w:t>2</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HFC-41 CH</w:t>
            </w:r>
            <w:r w:rsidRPr="005019FA">
              <w:rPr>
                <w:color w:val="000000"/>
                <w:vertAlign w:val="subscript"/>
              </w:rPr>
              <w:t>3</w:t>
            </w:r>
            <w:r w:rsidRPr="005019FA">
              <w:rPr>
                <w:color w:val="000000"/>
              </w:rPr>
              <w:t>F</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HFC-125 CHF</w:t>
            </w:r>
            <w:r w:rsidRPr="005019FA">
              <w:rPr>
                <w:color w:val="000000"/>
                <w:vertAlign w:val="subscript"/>
              </w:rPr>
              <w:t>2</w:t>
            </w:r>
            <w:r w:rsidRPr="005019FA">
              <w:rPr>
                <w:color w:val="000000"/>
              </w:rPr>
              <w:t>CF</w:t>
            </w:r>
            <w:r w:rsidRPr="005019FA">
              <w:rPr>
                <w:color w:val="000000"/>
                <w:vertAlign w:val="subscript"/>
              </w:rPr>
              <w:t>3</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HFC-134 CHF</w:t>
            </w:r>
            <w:r w:rsidRPr="005019FA">
              <w:rPr>
                <w:color w:val="000000"/>
                <w:vertAlign w:val="subscript"/>
              </w:rPr>
              <w:t>2</w:t>
            </w:r>
            <w:r w:rsidRPr="005019FA">
              <w:rPr>
                <w:color w:val="000000"/>
              </w:rPr>
              <w:t>CHF</w:t>
            </w:r>
            <w:r w:rsidRPr="005019FA">
              <w:rPr>
                <w:color w:val="000000"/>
                <w:vertAlign w:val="subscript"/>
              </w:rPr>
              <w:t>2</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HFC-134a CH</w:t>
            </w:r>
            <w:r w:rsidRPr="005019FA">
              <w:rPr>
                <w:color w:val="000000"/>
                <w:vertAlign w:val="subscript"/>
              </w:rPr>
              <w:t>2</w:t>
            </w:r>
            <w:r w:rsidRPr="005019FA">
              <w:rPr>
                <w:color w:val="000000"/>
              </w:rPr>
              <w:t>FCF</w:t>
            </w:r>
            <w:r w:rsidRPr="005019FA">
              <w:rPr>
                <w:color w:val="000000"/>
                <w:vertAlign w:val="subscript"/>
              </w:rPr>
              <w:t>3</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HFC-143 CH</w:t>
            </w:r>
            <w:r w:rsidRPr="005019FA">
              <w:rPr>
                <w:color w:val="000000"/>
                <w:vertAlign w:val="subscript"/>
              </w:rPr>
              <w:t>2</w:t>
            </w:r>
            <w:r w:rsidRPr="005019FA">
              <w:rPr>
                <w:color w:val="000000"/>
              </w:rPr>
              <w:t>FCHF</w:t>
            </w:r>
            <w:r w:rsidRPr="005019FA">
              <w:rPr>
                <w:color w:val="000000"/>
                <w:vertAlign w:val="subscript"/>
              </w:rPr>
              <w:t>2</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HFC-143a CH</w:t>
            </w:r>
            <w:r w:rsidRPr="005019FA">
              <w:rPr>
                <w:color w:val="000000"/>
                <w:vertAlign w:val="subscript"/>
              </w:rPr>
              <w:t>3</w:t>
            </w:r>
            <w:r w:rsidRPr="005019FA">
              <w:rPr>
                <w:color w:val="000000"/>
              </w:rPr>
              <w:t>CF</w:t>
            </w:r>
            <w:r w:rsidRPr="005019FA">
              <w:rPr>
                <w:color w:val="000000"/>
                <w:vertAlign w:val="subscript"/>
              </w:rPr>
              <w:t>3</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HFC-152 CH</w:t>
            </w:r>
            <w:r w:rsidRPr="005019FA">
              <w:rPr>
                <w:color w:val="000000"/>
                <w:vertAlign w:val="subscript"/>
              </w:rPr>
              <w:t>2</w:t>
            </w:r>
            <w:r w:rsidRPr="005019FA">
              <w:rPr>
                <w:color w:val="000000"/>
              </w:rPr>
              <w:t>FCH</w:t>
            </w:r>
            <w:r w:rsidRPr="005019FA">
              <w:rPr>
                <w:color w:val="000000"/>
                <w:vertAlign w:val="subscript"/>
              </w:rPr>
              <w:t>2</w:t>
            </w:r>
            <w:r w:rsidRPr="005019FA">
              <w:rPr>
                <w:color w:val="000000"/>
              </w:rPr>
              <w:t>F</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HFC-152a CH</w:t>
            </w:r>
            <w:r w:rsidRPr="005019FA">
              <w:rPr>
                <w:color w:val="000000"/>
                <w:vertAlign w:val="subscript"/>
              </w:rPr>
              <w:t>3</w:t>
            </w:r>
            <w:r w:rsidRPr="005019FA">
              <w:rPr>
                <w:color w:val="000000"/>
              </w:rPr>
              <w:t>CHF</w:t>
            </w:r>
            <w:r w:rsidRPr="005019FA">
              <w:rPr>
                <w:color w:val="000000"/>
                <w:vertAlign w:val="subscript"/>
              </w:rPr>
              <w:t>2</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HFC-161 CH</w:t>
            </w:r>
            <w:r w:rsidRPr="005019FA">
              <w:rPr>
                <w:color w:val="000000"/>
                <w:vertAlign w:val="subscript"/>
              </w:rPr>
              <w:t>3</w:t>
            </w:r>
            <w:r w:rsidRPr="005019FA">
              <w:rPr>
                <w:color w:val="000000"/>
              </w:rPr>
              <w:t>CH</w:t>
            </w:r>
            <w:r w:rsidRPr="005019FA">
              <w:rPr>
                <w:color w:val="000000"/>
                <w:vertAlign w:val="subscript"/>
              </w:rPr>
              <w:t>2</w:t>
            </w:r>
            <w:r w:rsidRPr="005019FA">
              <w:rPr>
                <w:color w:val="000000"/>
              </w:rPr>
              <w:t>F</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lastRenderedPageBreak/>
              <w:t>—</w:t>
            </w:r>
          </w:p>
        </w:tc>
        <w:tc>
          <w:tcPr>
            <w:tcW w:w="0" w:type="auto"/>
            <w:hideMark/>
          </w:tcPr>
          <w:p w:rsidR="00B602AA" w:rsidRPr="005019FA" w:rsidRDefault="005C5300">
            <w:pPr>
              <w:spacing w:after="0"/>
              <w:rPr>
                <w:rFonts w:eastAsia="Times New Roman"/>
                <w:color w:val="000000"/>
                <w:szCs w:val="24"/>
              </w:rPr>
            </w:pPr>
            <w:r w:rsidRPr="005019FA">
              <w:rPr>
                <w:color w:val="000000"/>
              </w:rPr>
              <w:t>HFC-227ea CF</w:t>
            </w:r>
            <w:r w:rsidRPr="005019FA">
              <w:rPr>
                <w:color w:val="000000"/>
                <w:vertAlign w:val="subscript"/>
              </w:rPr>
              <w:t>3</w:t>
            </w:r>
            <w:r w:rsidRPr="005019FA">
              <w:rPr>
                <w:color w:val="000000"/>
              </w:rPr>
              <w:t>CHFCF</w:t>
            </w:r>
            <w:r w:rsidRPr="005019FA">
              <w:rPr>
                <w:color w:val="000000"/>
                <w:vertAlign w:val="subscript"/>
              </w:rPr>
              <w:t>3</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HFC-236cb CF</w:t>
            </w:r>
            <w:r w:rsidRPr="005019FA">
              <w:rPr>
                <w:color w:val="000000"/>
                <w:vertAlign w:val="subscript"/>
              </w:rPr>
              <w:t>3</w:t>
            </w:r>
            <w:r w:rsidRPr="005019FA">
              <w:rPr>
                <w:color w:val="000000"/>
              </w:rPr>
              <w:t>CF</w:t>
            </w:r>
            <w:r w:rsidRPr="005019FA">
              <w:rPr>
                <w:color w:val="000000"/>
                <w:vertAlign w:val="subscript"/>
              </w:rPr>
              <w:t>2</w:t>
            </w:r>
            <w:r w:rsidRPr="005019FA">
              <w:rPr>
                <w:color w:val="000000"/>
              </w:rPr>
              <w:t>CH</w:t>
            </w:r>
            <w:r w:rsidRPr="005019FA">
              <w:rPr>
                <w:color w:val="000000"/>
                <w:vertAlign w:val="subscript"/>
              </w:rPr>
              <w:t>2</w:t>
            </w:r>
            <w:r w:rsidRPr="005019FA">
              <w:rPr>
                <w:color w:val="000000"/>
              </w:rPr>
              <w:t>F</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HFC-236ea CF</w:t>
            </w:r>
            <w:r w:rsidRPr="005019FA">
              <w:rPr>
                <w:color w:val="000000"/>
                <w:vertAlign w:val="subscript"/>
              </w:rPr>
              <w:t>3</w:t>
            </w:r>
            <w:r w:rsidRPr="005019FA">
              <w:rPr>
                <w:color w:val="000000"/>
              </w:rPr>
              <w:t>CHFCHF</w:t>
            </w:r>
            <w:r w:rsidRPr="005019FA">
              <w:rPr>
                <w:color w:val="000000"/>
                <w:vertAlign w:val="subscript"/>
              </w:rPr>
              <w:t>2</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HFC-236fa CF</w:t>
            </w:r>
            <w:r w:rsidRPr="005019FA">
              <w:rPr>
                <w:color w:val="000000"/>
                <w:vertAlign w:val="subscript"/>
              </w:rPr>
              <w:t>3</w:t>
            </w:r>
            <w:r w:rsidRPr="005019FA">
              <w:rPr>
                <w:color w:val="000000"/>
              </w:rPr>
              <w:t>CH</w:t>
            </w:r>
            <w:r w:rsidRPr="005019FA">
              <w:rPr>
                <w:color w:val="000000"/>
                <w:vertAlign w:val="subscript"/>
              </w:rPr>
              <w:t>2</w:t>
            </w:r>
            <w:r w:rsidRPr="005019FA">
              <w:rPr>
                <w:color w:val="000000"/>
              </w:rPr>
              <w:t>CF</w:t>
            </w:r>
            <w:r w:rsidRPr="005019FA">
              <w:rPr>
                <w:color w:val="000000"/>
                <w:vertAlign w:val="subscript"/>
              </w:rPr>
              <w:t>3</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HFC-245fa CHF</w:t>
            </w:r>
            <w:r w:rsidRPr="005019FA">
              <w:rPr>
                <w:color w:val="000000"/>
                <w:vertAlign w:val="subscript"/>
              </w:rPr>
              <w:t>2</w:t>
            </w:r>
            <w:r w:rsidRPr="005019FA">
              <w:rPr>
                <w:color w:val="000000"/>
              </w:rPr>
              <w:t>CH</w:t>
            </w:r>
            <w:r w:rsidRPr="005019FA">
              <w:rPr>
                <w:color w:val="000000"/>
                <w:vertAlign w:val="subscript"/>
              </w:rPr>
              <w:t>2</w:t>
            </w:r>
            <w:r w:rsidRPr="005019FA">
              <w:rPr>
                <w:color w:val="000000"/>
              </w:rPr>
              <w:t>CF</w:t>
            </w:r>
            <w:r w:rsidRPr="005019FA">
              <w:rPr>
                <w:color w:val="000000"/>
                <w:vertAlign w:val="subscript"/>
              </w:rPr>
              <w:t>3</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HFC-245ca CH</w:t>
            </w:r>
            <w:r w:rsidRPr="005019FA">
              <w:rPr>
                <w:color w:val="000000"/>
                <w:vertAlign w:val="subscript"/>
              </w:rPr>
              <w:t>2</w:t>
            </w:r>
            <w:r w:rsidRPr="005019FA">
              <w:rPr>
                <w:color w:val="000000"/>
              </w:rPr>
              <w:t>FCF</w:t>
            </w:r>
            <w:r w:rsidRPr="005019FA">
              <w:rPr>
                <w:color w:val="000000"/>
                <w:vertAlign w:val="subscript"/>
              </w:rPr>
              <w:t>2</w:t>
            </w:r>
            <w:r w:rsidRPr="005019FA">
              <w:rPr>
                <w:color w:val="000000"/>
              </w:rPr>
              <w:t>CHF</w:t>
            </w:r>
            <w:r w:rsidRPr="005019FA">
              <w:rPr>
                <w:color w:val="000000"/>
                <w:vertAlign w:val="subscript"/>
              </w:rPr>
              <w:t>2</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HFC-365mfc CH</w:t>
            </w:r>
            <w:r w:rsidRPr="005019FA">
              <w:rPr>
                <w:color w:val="000000"/>
                <w:vertAlign w:val="subscript"/>
              </w:rPr>
              <w:t>3</w:t>
            </w:r>
            <w:r w:rsidRPr="005019FA">
              <w:rPr>
                <w:color w:val="000000"/>
              </w:rPr>
              <w:t>CF</w:t>
            </w:r>
            <w:r w:rsidRPr="005019FA">
              <w:rPr>
                <w:color w:val="000000"/>
                <w:vertAlign w:val="subscript"/>
              </w:rPr>
              <w:t>2</w:t>
            </w:r>
            <w:r w:rsidRPr="005019FA">
              <w:rPr>
                <w:color w:val="000000"/>
              </w:rPr>
              <w:t>CH</w:t>
            </w:r>
            <w:r w:rsidRPr="005019FA">
              <w:rPr>
                <w:color w:val="000000"/>
                <w:vertAlign w:val="subscript"/>
              </w:rPr>
              <w:t>2</w:t>
            </w:r>
            <w:r w:rsidRPr="005019FA">
              <w:rPr>
                <w:color w:val="000000"/>
              </w:rPr>
              <w:t>CF</w:t>
            </w:r>
            <w:r w:rsidRPr="005019FA">
              <w:rPr>
                <w:color w:val="000000"/>
                <w:vertAlign w:val="subscript"/>
              </w:rPr>
              <w:t>3</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HFC-43-10mee CF</w:t>
            </w:r>
            <w:r w:rsidRPr="005019FA">
              <w:rPr>
                <w:color w:val="000000"/>
                <w:vertAlign w:val="subscript"/>
              </w:rPr>
              <w:t>3</w:t>
            </w:r>
            <w:r w:rsidRPr="005019FA">
              <w:rPr>
                <w:color w:val="000000"/>
              </w:rPr>
              <w:t>CHFCHFCF</w:t>
            </w:r>
            <w:r w:rsidRPr="005019FA">
              <w:rPr>
                <w:color w:val="000000"/>
                <w:vertAlign w:val="subscript"/>
              </w:rPr>
              <w:t>2</w:t>
            </w:r>
            <w:r w:rsidRPr="005019FA">
              <w:rPr>
                <w:color w:val="000000"/>
              </w:rPr>
              <w:t>CF</w:t>
            </w:r>
            <w:r w:rsidRPr="005019FA">
              <w:rPr>
                <w:color w:val="000000"/>
                <w:vertAlign w:val="subscript"/>
              </w:rPr>
              <w:t>3</w:t>
            </w:r>
            <w:r w:rsidRPr="005019FA">
              <w:rPr>
                <w:color w:val="000000"/>
              </w:rPr>
              <w:t xml:space="preserve"> sau (C</w:t>
            </w:r>
            <w:r w:rsidRPr="005019FA">
              <w:rPr>
                <w:color w:val="000000"/>
                <w:vertAlign w:val="subscript"/>
              </w:rPr>
              <w:t>5</w:t>
            </w:r>
            <w:r w:rsidRPr="005019FA">
              <w:rPr>
                <w:color w:val="000000"/>
              </w:rPr>
              <w:t>H</w:t>
            </w:r>
            <w:r w:rsidRPr="005019FA">
              <w:rPr>
                <w:color w:val="000000"/>
                <w:vertAlign w:val="subscript"/>
              </w:rPr>
              <w:t>2</w:t>
            </w:r>
            <w:r w:rsidRPr="005019FA">
              <w:rPr>
                <w:color w:val="000000"/>
              </w:rPr>
              <w:t>F</w:t>
            </w:r>
            <w:r w:rsidRPr="005019FA">
              <w:rPr>
                <w:color w:val="000000"/>
                <w:vertAlign w:val="subscript"/>
              </w:rPr>
              <w:t>10</w:t>
            </w:r>
            <w:r w:rsidRPr="005019FA">
              <w:rPr>
                <w:color w:val="000000"/>
              </w:rPr>
              <w:t>)</w:t>
            </w:r>
          </w:p>
        </w:tc>
      </w:tr>
    </w:tbl>
    <w:p w:rsidR="00B602AA" w:rsidRPr="005019FA" w:rsidRDefault="005C5300">
      <w:pPr>
        <w:spacing w:after="0"/>
        <w:rPr>
          <w:rFonts w:eastAsia="Times New Roman"/>
          <w:color w:val="000000"/>
          <w:szCs w:val="24"/>
        </w:rPr>
      </w:pPr>
      <w:r w:rsidRPr="005019FA">
        <w:rPr>
          <w:color w:val="000000"/>
        </w:rPr>
        <w:t>Perfluorocarburi (PFC-uri):</w:t>
      </w:r>
    </w:p>
    <w:tbl>
      <w:tblPr>
        <w:tblW w:w="5000" w:type="pct"/>
        <w:tblCellSpacing w:w="0" w:type="dxa"/>
        <w:tblCellMar>
          <w:left w:w="0" w:type="dxa"/>
          <w:right w:w="0" w:type="dxa"/>
        </w:tblCellMar>
        <w:tblLook w:val="04A0" w:firstRow="1" w:lastRow="0" w:firstColumn="1" w:lastColumn="0" w:noHBand="0" w:noVBand="1"/>
      </w:tblPr>
      <w:tblGrid>
        <w:gridCol w:w="559"/>
        <w:gridCol w:w="8514"/>
      </w:tblGrid>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PFC-14, Perfluorometan, CF</w:t>
            </w:r>
            <w:r w:rsidRPr="005019FA">
              <w:rPr>
                <w:color w:val="000000"/>
                <w:vertAlign w:val="subscript"/>
              </w:rPr>
              <w:t>4</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PFC-116, Perfluoroetan, C</w:t>
            </w:r>
            <w:r w:rsidRPr="005019FA">
              <w:rPr>
                <w:color w:val="000000"/>
                <w:vertAlign w:val="subscript"/>
              </w:rPr>
              <w:t>2</w:t>
            </w:r>
            <w:r w:rsidRPr="005019FA">
              <w:rPr>
                <w:color w:val="000000"/>
              </w:rPr>
              <w:t>F</w:t>
            </w:r>
            <w:r w:rsidRPr="005019FA">
              <w:rPr>
                <w:color w:val="000000"/>
                <w:vertAlign w:val="subscript"/>
              </w:rPr>
              <w:t>6</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PFC-218, Perfluoropropan, C</w:t>
            </w:r>
            <w:r w:rsidRPr="005019FA">
              <w:rPr>
                <w:color w:val="000000"/>
                <w:vertAlign w:val="subscript"/>
              </w:rPr>
              <w:t>3</w:t>
            </w:r>
            <w:r w:rsidRPr="005019FA">
              <w:rPr>
                <w:color w:val="000000"/>
              </w:rPr>
              <w:t>F</w:t>
            </w:r>
            <w:r w:rsidRPr="005019FA">
              <w:rPr>
                <w:color w:val="000000"/>
                <w:vertAlign w:val="subscript"/>
              </w:rPr>
              <w:t>8</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PFC-318, Perfluorociclobutan, c-C</w:t>
            </w:r>
            <w:r w:rsidRPr="005019FA">
              <w:rPr>
                <w:color w:val="000000"/>
                <w:vertAlign w:val="subscript"/>
              </w:rPr>
              <w:t>4</w:t>
            </w:r>
            <w:r w:rsidRPr="005019FA">
              <w:rPr>
                <w:color w:val="000000"/>
              </w:rPr>
              <w:t>F</w:t>
            </w:r>
            <w:r w:rsidRPr="005019FA">
              <w:rPr>
                <w:color w:val="000000"/>
                <w:vertAlign w:val="subscript"/>
              </w:rPr>
              <w:t>8</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Perfluorociclopropan c-C</w:t>
            </w:r>
            <w:r w:rsidRPr="005019FA">
              <w:rPr>
                <w:color w:val="000000"/>
                <w:vertAlign w:val="subscript"/>
              </w:rPr>
              <w:t>3</w:t>
            </w:r>
            <w:r w:rsidRPr="005019FA">
              <w:rPr>
                <w:color w:val="000000"/>
              </w:rPr>
              <w:t>F</w:t>
            </w:r>
            <w:r w:rsidRPr="005019FA">
              <w:rPr>
                <w:color w:val="000000"/>
                <w:vertAlign w:val="subscript"/>
              </w:rPr>
              <w:t>6</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PFC-3-1-10, Perfluorobutan, C</w:t>
            </w:r>
            <w:r w:rsidRPr="005019FA">
              <w:rPr>
                <w:color w:val="000000"/>
                <w:vertAlign w:val="subscript"/>
              </w:rPr>
              <w:t>4</w:t>
            </w:r>
            <w:r w:rsidRPr="005019FA">
              <w:rPr>
                <w:color w:val="000000"/>
              </w:rPr>
              <w:t>F</w:t>
            </w:r>
            <w:r w:rsidRPr="005019FA">
              <w:rPr>
                <w:color w:val="000000"/>
                <w:vertAlign w:val="subscript"/>
              </w:rPr>
              <w:t>10</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PFC-4-1-12, Perfluoropentan, C</w:t>
            </w:r>
            <w:r w:rsidRPr="005019FA">
              <w:rPr>
                <w:color w:val="000000"/>
                <w:vertAlign w:val="subscript"/>
              </w:rPr>
              <w:t>5</w:t>
            </w:r>
            <w:r w:rsidRPr="005019FA">
              <w:rPr>
                <w:color w:val="000000"/>
              </w:rPr>
              <w:t>F</w:t>
            </w:r>
            <w:r w:rsidRPr="005019FA">
              <w:rPr>
                <w:color w:val="000000"/>
                <w:vertAlign w:val="subscript"/>
              </w:rPr>
              <w:t>12</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PFC-5-1-14, Perfluorohexan, C</w:t>
            </w:r>
            <w:r w:rsidRPr="005019FA">
              <w:rPr>
                <w:color w:val="000000"/>
                <w:vertAlign w:val="subscript"/>
              </w:rPr>
              <w:t>6</w:t>
            </w:r>
            <w:r w:rsidRPr="005019FA">
              <w:rPr>
                <w:color w:val="000000"/>
              </w:rPr>
              <w:t>F</w:t>
            </w:r>
            <w:r w:rsidRPr="005019FA">
              <w:rPr>
                <w:color w:val="000000"/>
                <w:vertAlign w:val="subscript"/>
              </w:rPr>
              <w:t>14</w:t>
            </w:r>
            <w:r w:rsidRPr="005019FA">
              <w:rPr>
                <w:color w:val="000000"/>
              </w:rPr>
              <w:t xml:space="preserve"> </w:t>
            </w:r>
          </w:p>
        </w:tc>
      </w:tr>
      <w:tr w:rsidR="00B602AA" w:rsidRPr="005019FA">
        <w:trPr>
          <w:tblCellSpacing w:w="0" w:type="dxa"/>
        </w:trPr>
        <w:tc>
          <w:tcPr>
            <w:tcW w:w="0" w:type="auto"/>
            <w:hideMark/>
          </w:tcPr>
          <w:p w:rsidR="00B602AA" w:rsidRPr="005019FA" w:rsidRDefault="005C5300">
            <w:pPr>
              <w:spacing w:after="0"/>
              <w:rPr>
                <w:rFonts w:eastAsia="Times New Roman"/>
                <w:color w:val="000000"/>
                <w:szCs w:val="24"/>
              </w:rPr>
            </w:pPr>
            <w:r w:rsidRPr="005019FA">
              <w:rPr>
                <w:color w:val="000000"/>
              </w:rPr>
              <w:t>—</w:t>
            </w:r>
          </w:p>
        </w:tc>
        <w:tc>
          <w:tcPr>
            <w:tcW w:w="0" w:type="auto"/>
            <w:hideMark/>
          </w:tcPr>
          <w:p w:rsidR="00B602AA" w:rsidRPr="005019FA" w:rsidRDefault="005C5300">
            <w:pPr>
              <w:spacing w:after="0"/>
              <w:rPr>
                <w:rFonts w:eastAsia="Times New Roman"/>
                <w:color w:val="000000"/>
                <w:szCs w:val="24"/>
              </w:rPr>
            </w:pPr>
            <w:r w:rsidRPr="005019FA">
              <w:rPr>
                <w:color w:val="000000"/>
              </w:rPr>
              <w:t>PFC-9-1-18, C</w:t>
            </w:r>
            <w:r w:rsidRPr="005019FA">
              <w:rPr>
                <w:color w:val="000000"/>
                <w:vertAlign w:val="subscript"/>
              </w:rPr>
              <w:t>10</w:t>
            </w:r>
            <w:r w:rsidRPr="005019FA">
              <w:rPr>
                <w:color w:val="000000"/>
              </w:rPr>
              <w:t>F</w:t>
            </w:r>
            <w:r w:rsidRPr="005019FA">
              <w:rPr>
                <w:color w:val="000000"/>
                <w:vertAlign w:val="subscript"/>
              </w:rPr>
              <w:t>18</w:t>
            </w:r>
            <w:r w:rsidRPr="005019FA">
              <w:rPr>
                <w:color w:val="000000"/>
              </w:rPr>
              <w:t xml:space="preserve"> </w:t>
            </w:r>
          </w:p>
        </w:tc>
      </w:tr>
    </w:tbl>
    <w:p w:rsidR="00B602AA" w:rsidRPr="005019FA" w:rsidRDefault="00B602AA">
      <w:pPr>
        <w:rPr>
          <w:rFonts w:eastAsia="Times New Roman"/>
          <w:color w:val="000000"/>
          <w:szCs w:val="24"/>
        </w:rPr>
      </w:pPr>
    </w:p>
    <w:p w:rsidR="00B602AA" w:rsidRPr="005019FA" w:rsidRDefault="005C5300" w:rsidP="00056BCA">
      <w:pPr>
        <w:spacing w:after="0"/>
        <w:jc w:val="center"/>
        <w:rPr>
          <w:rFonts w:eastAsia="Times New Roman"/>
          <w:b/>
          <w:color w:val="000000"/>
          <w:szCs w:val="24"/>
        </w:rPr>
      </w:pPr>
      <w:r w:rsidRPr="005019FA">
        <w:rPr>
          <w:b/>
          <w:color w:val="000000"/>
        </w:rPr>
        <w:t>Partea 3 - Metodologii pentru monitorizarea și raportarea în sectorul LULUCF</w:t>
      </w:r>
    </w:p>
    <w:p w:rsidR="00B602AA" w:rsidRPr="005019FA" w:rsidRDefault="005C5300">
      <w:r w:rsidRPr="005019FA">
        <w:t xml:space="preserve">Date explicite la nivel spațial privind schimbarea destinației terenurilor, pentru identificarea și urmărirea categoriilor de destinație a terenurilor și a schimbărilor între categoriile de destinație a terenurilor. </w:t>
      </w:r>
    </w:p>
    <w:p w:rsidR="00B602AA" w:rsidRPr="005019FA" w:rsidRDefault="005C5300">
      <w:r w:rsidRPr="005019FA">
        <w:t xml:space="preserve">Metodologia de nivelul 1 care folosește factori de emisie standard calibrați la nivel global și valori ale parametrilor în conformitate cu Orientările IPCC din 2006 pentru inventarele naționale ale gazelor cu efect de seră. </w:t>
      </w:r>
    </w:p>
    <w:p w:rsidR="00B602AA" w:rsidRPr="005019FA" w:rsidRDefault="005C5300">
      <w:r w:rsidRPr="005019FA">
        <w:t xml:space="preserve">În cazul emisiilor și al absorbțiilor pentru un rezervor de carbon care reprezintă cel puțin 25-30 % din emisiile sau absorbțiile dintr-o categorie de surse sau de absorbanți ce constituie o prioritate în sistemul național de inventariere al unui stat membru deoarece estimarea sa are o influență semnificativă asupra inventarului total de gaze cu efect de seră al unei țări în ceea ce privește nivelul absolut al emisiilor și al absorbțiilor, tendința înregistrată la nivelul emisiilor și al absorbțiilor sau incertitudinea emisiilor și a absorbțiilor din categoriile de destinație a terenurilor, cel puțin metodologia de nivelul 2 care utilizează factori de emisie stabiliți la nivel național și valori ale parametrilor calibrate în funcție de circumstanțele naționale în conformitate cu Orientările IPCC din 2006 pentru inventarele naționale ale gazelor cu efect de seră. </w:t>
      </w:r>
    </w:p>
    <w:p w:rsidR="00B602AA" w:rsidRPr="005019FA" w:rsidRDefault="005C5300">
      <w:r w:rsidRPr="005019FA">
        <w:t>Statele membre sunt încurajate să aplice metodologia de nivelul 3 care folosește modelarea fără parametri calibrată la circumstanțele naționale și care descrie interacțiunea fizică a sistemului biofizic, în conformitate cu Orientările IPCC din 2006 pentru inventarele naționale ale gazelor cu efect de seră.</w:t>
      </w:r>
    </w:p>
    <w:p w:rsidR="00B602AA" w:rsidRPr="005019FA" w:rsidRDefault="005C5300" w:rsidP="00056BCA">
      <w:pPr>
        <w:jc w:val="center"/>
        <w:rPr>
          <w:b/>
        </w:rPr>
      </w:pPr>
      <w:r w:rsidRPr="005019FA">
        <w:rPr>
          <w:b/>
        </w:rPr>
        <w:lastRenderedPageBreak/>
        <w:t>Partea 4 - Indicatori de inventar</w:t>
      </w:r>
    </w:p>
    <w:tbl>
      <w:tblPr>
        <w:tblW w:w="4516" w:type="pct"/>
        <w:tblLook w:val="04A0" w:firstRow="1" w:lastRow="0" w:firstColumn="1" w:lastColumn="0" w:noHBand="0" w:noVBand="1"/>
      </w:tblPr>
      <w:tblGrid>
        <w:gridCol w:w="2022"/>
        <w:gridCol w:w="6368"/>
      </w:tblGrid>
      <w:tr w:rsidR="00B602AA" w:rsidRPr="005019FA">
        <w:trPr>
          <w:tblHeader/>
        </w:trPr>
        <w:tc>
          <w:tcPr>
            <w:tcW w:w="1205" w:type="pct"/>
          </w:tcPr>
          <w:p w:rsidR="00B602AA" w:rsidRPr="005019FA" w:rsidRDefault="005C5300">
            <w:pPr>
              <w:pStyle w:val="AFWTable"/>
              <w:rPr>
                <w:rFonts w:ascii="Times New Roman" w:hAnsi="Times New Roman" w:cs="Times New Roman"/>
              </w:rPr>
            </w:pPr>
            <w:r w:rsidRPr="005019FA">
              <w:rPr>
                <w:rFonts w:ascii="Times New Roman" w:hAnsi="Times New Roman"/>
              </w:rPr>
              <w:t>Denumirea indicatorului</w:t>
            </w: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Indicator</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TRANSFORMARE B0</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Emisii specifice de CO</w:t>
            </w:r>
            <w:r w:rsidRPr="005019FA">
              <w:rPr>
                <w:rFonts w:ascii="Times New Roman" w:hAnsi="Times New Roman"/>
                <w:vertAlign w:val="subscript"/>
              </w:rPr>
              <w:t>2</w:t>
            </w:r>
            <w:r w:rsidRPr="005019FA">
              <w:rPr>
                <w:rFonts w:ascii="Times New Roman" w:hAnsi="Times New Roman"/>
              </w:rPr>
              <w:t xml:space="preserve"> ale centralelor electrice publice și ale autoproducătorilor, t/TJ</w:t>
            </w:r>
          </w:p>
          <w:p w:rsidR="00B602AA" w:rsidRPr="005019FA" w:rsidRDefault="005C5300">
            <w:pPr>
              <w:pStyle w:val="AFWTable"/>
              <w:rPr>
                <w:rFonts w:ascii="Times New Roman" w:hAnsi="Times New Roman" w:cs="Times New Roman"/>
              </w:rPr>
            </w:pPr>
            <w:r w:rsidRPr="005019FA">
              <w:rPr>
                <w:rFonts w:ascii="Times New Roman" w:hAnsi="Times New Roman"/>
              </w:rPr>
              <w:t>Emisiile de CO</w:t>
            </w:r>
            <w:r w:rsidRPr="005019FA">
              <w:rPr>
                <w:rFonts w:ascii="Times New Roman" w:hAnsi="Times New Roman"/>
                <w:vertAlign w:val="subscript"/>
              </w:rPr>
              <w:t>2</w:t>
            </w:r>
            <w:r w:rsidRPr="005019FA">
              <w:rPr>
                <w:rFonts w:ascii="Times New Roman" w:hAnsi="Times New Roman"/>
              </w:rPr>
              <w:t xml:space="preserve"> generate de centralele termice publice și ale autoproducătorilor, kt împărțite la toate produsele — producția centralelor termice publice și ale autoproducătorilor, PJ</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TRANSFORMARE E0</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Emisii specifice de CO</w:t>
            </w:r>
            <w:r w:rsidRPr="005019FA">
              <w:rPr>
                <w:rFonts w:ascii="Times New Roman" w:hAnsi="Times New Roman"/>
                <w:vertAlign w:val="subscript"/>
              </w:rPr>
              <w:t>2</w:t>
            </w:r>
            <w:r w:rsidRPr="005019FA">
              <w:rPr>
                <w:rFonts w:ascii="Times New Roman" w:hAnsi="Times New Roman"/>
              </w:rPr>
              <w:t xml:space="preserve"> ale centralelor autoproducătorilor, t/TJ</w:t>
            </w:r>
          </w:p>
          <w:p w:rsidR="00B602AA" w:rsidRPr="005019FA" w:rsidRDefault="005C5300">
            <w:pPr>
              <w:pStyle w:val="AFWTable"/>
              <w:rPr>
                <w:rFonts w:ascii="Times New Roman" w:hAnsi="Times New Roman" w:cs="Times New Roman"/>
              </w:rPr>
            </w:pPr>
            <w:r w:rsidRPr="005019FA">
              <w:rPr>
                <w:rFonts w:ascii="Times New Roman" w:hAnsi="Times New Roman"/>
              </w:rPr>
              <w:t>Emisiile de CO</w:t>
            </w:r>
            <w:r w:rsidRPr="005019FA">
              <w:rPr>
                <w:rFonts w:ascii="Times New Roman" w:hAnsi="Times New Roman"/>
                <w:vertAlign w:val="subscript"/>
              </w:rPr>
              <w:t>2</w:t>
            </w:r>
            <w:r w:rsidRPr="005019FA">
              <w:rPr>
                <w:rFonts w:ascii="Times New Roman" w:hAnsi="Times New Roman"/>
              </w:rPr>
              <w:t xml:space="preserve"> generate de autoproducători, kt împărțite la toate produsele, producția centralelor termice ale autoproducătorilor, PJ</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INDUSTRIE A1.1</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Intensitatea totală a emisiilor de CO</w:t>
            </w:r>
            <w:r w:rsidRPr="005019FA">
              <w:rPr>
                <w:rFonts w:ascii="Times New Roman" w:hAnsi="Times New Roman"/>
                <w:vertAlign w:val="subscript"/>
              </w:rPr>
              <w:t>2</w:t>
            </w:r>
            <w:r w:rsidRPr="005019FA">
              <w:rPr>
                <w:rFonts w:ascii="Times New Roman" w:hAnsi="Times New Roman"/>
              </w:rPr>
              <w:t xml:space="preserve"> – industria siderurgică, t/milioane EUR</w:t>
            </w:r>
          </w:p>
          <w:p w:rsidR="00B602AA" w:rsidRPr="005019FA" w:rsidRDefault="005C5300">
            <w:pPr>
              <w:pStyle w:val="AFWTable"/>
              <w:rPr>
                <w:rFonts w:ascii="Times New Roman" w:hAnsi="Times New Roman" w:cs="Times New Roman"/>
              </w:rPr>
            </w:pPr>
            <w:r w:rsidRPr="005019FA">
              <w:rPr>
                <w:rFonts w:ascii="Times New Roman" w:hAnsi="Times New Roman"/>
              </w:rPr>
              <w:t>Emisiile totale de CO</w:t>
            </w:r>
            <w:r w:rsidRPr="005019FA">
              <w:rPr>
                <w:rFonts w:ascii="Times New Roman" w:hAnsi="Times New Roman"/>
                <w:vertAlign w:val="subscript"/>
              </w:rPr>
              <w:t>2</w:t>
            </w:r>
            <w:r w:rsidRPr="005019FA">
              <w:rPr>
                <w:rFonts w:ascii="Times New Roman" w:hAnsi="Times New Roman"/>
              </w:rPr>
              <w:t xml:space="preserve"> din industria siderurgică, kt împărțite la valoarea adăugată brută – industria siderurgică</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INDUSTRIE A1.2</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Intensitatea emisiilor de CO</w:t>
            </w:r>
            <w:r w:rsidRPr="005019FA">
              <w:rPr>
                <w:rFonts w:ascii="Times New Roman" w:hAnsi="Times New Roman"/>
                <w:vertAlign w:val="subscript"/>
              </w:rPr>
              <w:t>2</w:t>
            </w:r>
            <w:r w:rsidRPr="005019FA">
              <w:rPr>
                <w:rFonts w:ascii="Times New Roman" w:hAnsi="Times New Roman"/>
              </w:rPr>
              <w:t xml:space="preserve"> legate de energie — industria chimică, t/milioane EUR</w:t>
            </w:r>
          </w:p>
          <w:p w:rsidR="00B602AA" w:rsidRPr="005019FA" w:rsidRDefault="005C5300">
            <w:pPr>
              <w:pStyle w:val="AFWTable"/>
              <w:rPr>
                <w:rFonts w:ascii="Times New Roman" w:hAnsi="Times New Roman" w:cs="Times New Roman"/>
              </w:rPr>
            </w:pPr>
            <w:r w:rsidRPr="005019FA">
              <w:rPr>
                <w:rFonts w:ascii="Times New Roman" w:hAnsi="Times New Roman"/>
              </w:rPr>
              <w:t>Emisiile de CO</w:t>
            </w:r>
            <w:r w:rsidRPr="005019FA">
              <w:rPr>
                <w:rFonts w:ascii="Times New Roman" w:hAnsi="Times New Roman"/>
                <w:vertAlign w:val="subscript"/>
              </w:rPr>
              <w:t>2</w:t>
            </w:r>
            <w:r w:rsidRPr="005019FA">
              <w:rPr>
                <w:rFonts w:ascii="Times New Roman" w:hAnsi="Times New Roman"/>
              </w:rPr>
              <w:t xml:space="preserve"> legate de energie din industria chimică, kt împărțite la valoarea adăugată brută – industria chimică</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INDUSTRIE A1.3</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Intensitatea emisiilor de CO</w:t>
            </w:r>
            <w:r w:rsidRPr="005019FA">
              <w:rPr>
                <w:rFonts w:ascii="Times New Roman" w:hAnsi="Times New Roman"/>
                <w:vertAlign w:val="subscript"/>
              </w:rPr>
              <w:t>2</w:t>
            </w:r>
            <w:r w:rsidRPr="005019FA">
              <w:rPr>
                <w:rFonts w:ascii="Times New Roman" w:hAnsi="Times New Roman"/>
              </w:rPr>
              <w:t xml:space="preserve"> legate de energie — industria sticlei, a ceramicii și a materialelor de construcții, t/milioane EUR</w:t>
            </w:r>
          </w:p>
          <w:p w:rsidR="00B602AA" w:rsidRPr="005019FA" w:rsidRDefault="005C5300">
            <w:pPr>
              <w:pStyle w:val="AFWTable"/>
              <w:rPr>
                <w:rFonts w:ascii="Times New Roman" w:hAnsi="Times New Roman" w:cs="Times New Roman"/>
              </w:rPr>
            </w:pPr>
            <w:r w:rsidRPr="005019FA">
              <w:rPr>
                <w:rFonts w:ascii="Times New Roman" w:hAnsi="Times New Roman"/>
              </w:rPr>
              <w:t>Emisiile de CO</w:t>
            </w:r>
            <w:r w:rsidRPr="005019FA">
              <w:rPr>
                <w:rFonts w:ascii="Times New Roman" w:hAnsi="Times New Roman"/>
                <w:vertAlign w:val="subscript"/>
              </w:rPr>
              <w:t>2</w:t>
            </w:r>
            <w:r w:rsidRPr="005019FA">
              <w:rPr>
                <w:rFonts w:ascii="Times New Roman" w:hAnsi="Times New Roman"/>
              </w:rPr>
              <w:t xml:space="preserve"> legate de energie din industria sticlei, a ceramicii și a materialelor de construcții, kt împărțite la valoarea adăugată brută – industria sticlei, a ceramicii și a materialelor de construcții</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INDUSTRIE A1.4</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Intensitatea emisiilor de CO</w:t>
            </w:r>
            <w:r w:rsidRPr="005019FA">
              <w:rPr>
                <w:rFonts w:ascii="Times New Roman" w:hAnsi="Times New Roman"/>
                <w:vertAlign w:val="subscript"/>
              </w:rPr>
              <w:t>2</w:t>
            </w:r>
            <w:r w:rsidRPr="005019FA">
              <w:rPr>
                <w:rFonts w:ascii="Times New Roman" w:hAnsi="Times New Roman"/>
              </w:rPr>
              <w:t xml:space="preserve"> legate de energie — industria alimentară, a băuturilor și a tutunului, t/milioane EUR</w:t>
            </w:r>
          </w:p>
          <w:p w:rsidR="00B602AA" w:rsidRPr="005019FA" w:rsidRDefault="005C5300">
            <w:pPr>
              <w:pStyle w:val="AFWTable"/>
              <w:rPr>
                <w:rFonts w:ascii="Times New Roman" w:hAnsi="Times New Roman" w:cs="Times New Roman"/>
              </w:rPr>
            </w:pPr>
            <w:r w:rsidRPr="005019FA">
              <w:rPr>
                <w:rFonts w:ascii="Times New Roman" w:hAnsi="Times New Roman"/>
              </w:rPr>
              <w:t>Emisiile de CO</w:t>
            </w:r>
            <w:r w:rsidRPr="005019FA">
              <w:rPr>
                <w:rFonts w:ascii="Times New Roman" w:hAnsi="Times New Roman"/>
                <w:vertAlign w:val="subscript"/>
              </w:rPr>
              <w:t>2</w:t>
            </w:r>
            <w:r w:rsidRPr="005019FA">
              <w:rPr>
                <w:rFonts w:ascii="Times New Roman" w:hAnsi="Times New Roman"/>
              </w:rPr>
              <w:t xml:space="preserve"> legate de energie din industria alimentară, a băuturilor și a tutunului, kt împărțite la valoarea adăugată brută – industria alimentară, a băuturilor și a tutunului, milioane EUR (EC95)</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INDUSTRIE A1.5</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Intensitatea emisiilor de CO</w:t>
            </w:r>
            <w:r w:rsidRPr="005019FA">
              <w:rPr>
                <w:rFonts w:ascii="Times New Roman" w:hAnsi="Times New Roman"/>
                <w:vertAlign w:val="subscript"/>
              </w:rPr>
              <w:t>2</w:t>
            </w:r>
            <w:r w:rsidRPr="005019FA">
              <w:rPr>
                <w:rFonts w:ascii="Times New Roman" w:hAnsi="Times New Roman"/>
              </w:rPr>
              <w:t xml:space="preserve"> legate de energie — industria hârtiei și industria poligrafică, t/milioane EUR, Emisiile de CO</w:t>
            </w:r>
            <w:r w:rsidRPr="005019FA">
              <w:rPr>
                <w:rFonts w:ascii="Times New Roman" w:hAnsi="Times New Roman"/>
                <w:vertAlign w:val="subscript"/>
              </w:rPr>
              <w:t>2</w:t>
            </w:r>
            <w:r w:rsidRPr="005019FA">
              <w:rPr>
                <w:rFonts w:ascii="Times New Roman" w:hAnsi="Times New Roman"/>
              </w:rPr>
              <w:t xml:space="preserve"> legate de energie din industria hârtiei și din industria poligrafică, kt - valoare adăugată brută — industria hârtiei și industria poligrafică, milioane EUR (EC95)</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GOSPODĂRII A0</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Emisiile specifice de CO</w:t>
            </w:r>
            <w:r w:rsidRPr="005019FA">
              <w:rPr>
                <w:rFonts w:ascii="Times New Roman" w:hAnsi="Times New Roman"/>
                <w:vertAlign w:val="subscript"/>
              </w:rPr>
              <w:t>2</w:t>
            </w:r>
            <w:r w:rsidRPr="005019FA">
              <w:rPr>
                <w:rFonts w:ascii="Times New Roman" w:hAnsi="Times New Roman"/>
              </w:rPr>
              <w:t xml:space="preserve"> ale gospodăriilor provenite din încălzirea spațiilor, t/m2</w:t>
            </w:r>
          </w:p>
          <w:p w:rsidR="00B602AA" w:rsidRPr="005019FA" w:rsidRDefault="005C5300">
            <w:pPr>
              <w:pStyle w:val="AFWTable"/>
              <w:rPr>
                <w:rFonts w:ascii="Times New Roman" w:hAnsi="Times New Roman" w:cs="Times New Roman"/>
              </w:rPr>
            </w:pPr>
            <w:r w:rsidRPr="005019FA">
              <w:rPr>
                <w:rFonts w:ascii="Times New Roman" w:hAnsi="Times New Roman"/>
              </w:rPr>
              <w:t>Emisiile de CO</w:t>
            </w:r>
            <w:r w:rsidRPr="005019FA">
              <w:rPr>
                <w:rFonts w:ascii="Times New Roman" w:hAnsi="Times New Roman"/>
                <w:vertAlign w:val="subscript"/>
              </w:rPr>
              <w:t>2</w:t>
            </w:r>
            <w:r w:rsidRPr="005019FA">
              <w:rPr>
                <w:rFonts w:ascii="Times New Roman" w:hAnsi="Times New Roman"/>
              </w:rPr>
              <w:t xml:space="preserve"> ale gospodăriilor provenite din încălzirea spațiilor, împărțite la suprafața locuințelor ocupate permanent, milioane m2</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SERVICII B0</w:t>
            </w:r>
          </w:p>
          <w:p w:rsidR="00B602AA" w:rsidRPr="005019FA" w:rsidRDefault="00B602AA">
            <w:pPr>
              <w:pStyle w:val="AFWTable"/>
              <w:rPr>
                <w:rFonts w:ascii="Times New Roman" w:hAnsi="Times New Roman" w:cs="Times New Roman"/>
                <w:b/>
              </w:rPr>
            </w:pP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Emisiile specifice de CO</w:t>
            </w:r>
            <w:r w:rsidRPr="005019FA">
              <w:rPr>
                <w:rFonts w:ascii="Times New Roman" w:hAnsi="Times New Roman"/>
                <w:vertAlign w:val="subscript"/>
              </w:rPr>
              <w:t>2</w:t>
            </w:r>
            <w:r w:rsidRPr="005019FA">
              <w:rPr>
                <w:rFonts w:ascii="Times New Roman" w:hAnsi="Times New Roman"/>
              </w:rPr>
              <w:t xml:space="preserve"> ale sectorului comercial și instituțional provenite din încălzirea spațiilor, kg/m2</w:t>
            </w:r>
          </w:p>
          <w:p w:rsidR="00B602AA" w:rsidRPr="005019FA" w:rsidRDefault="005C5300">
            <w:pPr>
              <w:pStyle w:val="AFWTable"/>
              <w:rPr>
                <w:rFonts w:ascii="Times New Roman" w:hAnsi="Times New Roman" w:cs="Times New Roman"/>
              </w:rPr>
            </w:pPr>
            <w:r w:rsidRPr="005019FA">
              <w:rPr>
                <w:rFonts w:ascii="Times New Roman" w:hAnsi="Times New Roman"/>
              </w:rPr>
              <w:t>Emisiile de CO2 provenite din încălzirea spațiilor în sectorul comercial și instituțional, kt împărțite la suprafața clădirilor de servicii, milioane m2</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TRANSPORTURI B0</w:t>
            </w: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Emisiile specifice de CO</w:t>
            </w:r>
            <w:r w:rsidRPr="005019FA">
              <w:rPr>
                <w:rFonts w:ascii="Times New Roman" w:hAnsi="Times New Roman"/>
                <w:vertAlign w:val="subscript"/>
              </w:rPr>
              <w:t>2</w:t>
            </w:r>
            <w:r w:rsidRPr="005019FA">
              <w:rPr>
                <w:rFonts w:ascii="Times New Roman" w:hAnsi="Times New Roman"/>
              </w:rPr>
              <w:t xml:space="preserve"> legate de consumul de motorină al autoturismelor, g/100 km</w:t>
            </w:r>
          </w:p>
        </w:tc>
      </w:tr>
      <w:tr w:rsidR="00B602AA" w:rsidRPr="005019FA">
        <w:tc>
          <w:tcPr>
            <w:tcW w:w="1205" w:type="pct"/>
          </w:tcPr>
          <w:p w:rsidR="00B602AA" w:rsidRPr="005019FA" w:rsidRDefault="005C5300">
            <w:pPr>
              <w:pStyle w:val="AFWTable"/>
              <w:rPr>
                <w:rFonts w:ascii="Times New Roman" w:hAnsi="Times New Roman" w:cs="Times New Roman"/>
                <w:b/>
              </w:rPr>
            </w:pPr>
            <w:r w:rsidRPr="005019FA">
              <w:rPr>
                <w:rFonts w:ascii="Times New Roman" w:hAnsi="Times New Roman"/>
              </w:rPr>
              <w:t>TRANSPORTURI B0</w:t>
            </w:r>
          </w:p>
        </w:tc>
        <w:tc>
          <w:tcPr>
            <w:tcW w:w="3795" w:type="pct"/>
          </w:tcPr>
          <w:p w:rsidR="00B602AA" w:rsidRPr="005019FA" w:rsidRDefault="005C5300">
            <w:pPr>
              <w:pStyle w:val="AFWTable"/>
              <w:rPr>
                <w:rFonts w:ascii="Times New Roman" w:hAnsi="Times New Roman" w:cs="Times New Roman"/>
              </w:rPr>
            </w:pPr>
            <w:r w:rsidRPr="005019FA">
              <w:rPr>
                <w:rFonts w:ascii="Times New Roman" w:hAnsi="Times New Roman"/>
              </w:rPr>
              <w:t>Emisiile specifice de CO</w:t>
            </w:r>
            <w:r w:rsidRPr="005019FA">
              <w:rPr>
                <w:rFonts w:ascii="Times New Roman" w:hAnsi="Times New Roman"/>
                <w:vertAlign w:val="subscript"/>
              </w:rPr>
              <w:t>2</w:t>
            </w:r>
            <w:r w:rsidRPr="005019FA">
              <w:rPr>
                <w:rFonts w:ascii="Times New Roman" w:hAnsi="Times New Roman"/>
              </w:rPr>
              <w:t xml:space="preserve"> legate de consumul de benzină al autoturismelor, g/100 km</w:t>
            </w:r>
          </w:p>
        </w:tc>
      </w:tr>
    </w:tbl>
    <w:p w:rsidR="00B602AA" w:rsidRPr="005019FA" w:rsidRDefault="00B602AA">
      <w:pPr>
        <w:rPr>
          <w:rFonts w:eastAsia="Times New Roman"/>
          <w:color w:val="000000"/>
          <w:szCs w:val="24"/>
        </w:rPr>
      </w:pPr>
    </w:p>
    <w:p w:rsidR="0056435C" w:rsidRPr="005019FA" w:rsidRDefault="005C5300" w:rsidP="00056BCA">
      <w:pPr>
        <w:pStyle w:val="Annexetitre"/>
        <w:rPr>
          <w:b w:val="0"/>
          <w:i/>
          <w:u w:val="none"/>
        </w:rPr>
      </w:pPr>
      <w:r w:rsidRPr="005019FA">
        <w:rPr>
          <w:b w:val="0"/>
          <w:i/>
          <w:u w:val="none"/>
        </w:rPr>
        <w:t>ANEXA IV</w:t>
      </w:r>
    </w:p>
    <w:p w:rsidR="00B602AA" w:rsidRPr="005019FA" w:rsidRDefault="0056435C" w:rsidP="00056BCA">
      <w:pPr>
        <w:jc w:val="center"/>
      </w:pPr>
      <w:r w:rsidRPr="005019FA">
        <w:rPr>
          <w:b/>
        </w:rPr>
        <w:t>INFORMAȚII PRIVIND POLITICILE ȘI MĂSURILE ÎN DOMENIUL EMISIILOR DE GAZE CU EFECT DE SERĂ</w:t>
      </w:r>
    </w:p>
    <w:p w:rsidR="00B602AA" w:rsidRPr="005019FA" w:rsidRDefault="005C5300">
      <w:r w:rsidRPr="005019FA">
        <w:t>Informații care trebuie incluse în rapoartele menționate la articolul 16:</w:t>
      </w:r>
    </w:p>
    <w:p w:rsidR="00B602AA" w:rsidRPr="005019FA" w:rsidRDefault="005C5300">
      <w:pPr>
        <w:pStyle w:val="Point0letter"/>
        <w:numPr>
          <w:ilvl w:val="1"/>
          <w:numId w:val="4"/>
        </w:numPr>
      </w:pPr>
      <w:r w:rsidRPr="005019FA">
        <w:t xml:space="preserve">o descriere a sistemului național de raportare privind politicile și măsurile, precum și de raportare a previziunilor referitoare la emisiile antropice de către surse și la absorbțiile de către absorbanți ale gazelor cu efect de seră în temeiul articolului 32 alineatul (1) sau informații cu privire la orice modificare adusă sistemului respectiv dacă a fost deja prezentată o astfel de descriere; </w:t>
      </w:r>
    </w:p>
    <w:p w:rsidR="00B602AA" w:rsidRPr="005019FA" w:rsidRDefault="005C5300">
      <w:pPr>
        <w:pStyle w:val="Point0letter"/>
      </w:pPr>
      <w:r w:rsidRPr="005019FA">
        <w:t>actualizări relevante pentru strategiile de reducere a emisiilor pe termen lung menționate la articolul 14 și progresele înregistrate în punerea în aplicare a strategiilor respective;</w:t>
      </w:r>
    </w:p>
    <w:p w:rsidR="00B602AA" w:rsidRPr="005019FA" w:rsidRDefault="005C5300">
      <w:pPr>
        <w:pStyle w:val="Point0letter"/>
      </w:pPr>
      <w:r w:rsidRPr="005019FA">
        <w:t xml:space="preserve">informații cu privire la politicile și la măsurile sau grupurile de măsuri naționale, precum și cu privire la punerea în aplicare a politicilor și a măsurilor sau grupurilor de măsuri ale Uniunii care limitează sau reduc emisiile de gaze cu efect de seră ale surselor ori sporesc gradul de absorbție de către absorbanți, prezentate sectorial și organizate pe gazele sau grupurile de gaze (HFC-uri și PFC-uri) enumerate în partea 2 din anexa III. Informațiile respective fac trimitere la politicile naționale și ale Uniunii aplicabile și relevante și includ: </w:t>
      </w:r>
    </w:p>
    <w:p w:rsidR="00B602AA" w:rsidRPr="005019FA" w:rsidRDefault="005C5300">
      <w:pPr>
        <w:pStyle w:val="Point1"/>
      </w:pPr>
      <w:r w:rsidRPr="005019FA">
        <w:t>(i)</w:t>
      </w:r>
      <w:r w:rsidRPr="005019FA">
        <w:tab/>
        <w:t>obiectivul politicii sau al măsurii și o scurtă descriere a politicii sau a măsurii;</w:t>
      </w:r>
    </w:p>
    <w:p w:rsidR="00B602AA" w:rsidRPr="005019FA" w:rsidRDefault="005C5300">
      <w:pPr>
        <w:pStyle w:val="Point1"/>
      </w:pPr>
      <w:r w:rsidRPr="005019FA">
        <w:lastRenderedPageBreak/>
        <w:t>(ii)</w:t>
      </w:r>
      <w:r w:rsidRPr="005019FA">
        <w:tab/>
        <w:t>tipul de instrument de politică;</w:t>
      </w:r>
    </w:p>
    <w:p w:rsidR="00B602AA" w:rsidRPr="005019FA" w:rsidRDefault="005C5300">
      <w:pPr>
        <w:pStyle w:val="Point1"/>
      </w:pPr>
      <w:r w:rsidRPr="005019FA">
        <w:t>(iii)</w:t>
      </w:r>
      <w:r w:rsidRPr="005019FA">
        <w:tab/>
        <w:t>stadiul punerii în aplicare a politicii sau a măsurii ori grupului de măsuri;</w:t>
      </w:r>
    </w:p>
    <w:p w:rsidR="00B602AA" w:rsidRPr="005019FA" w:rsidRDefault="005C5300">
      <w:pPr>
        <w:pStyle w:val="Point1"/>
      </w:pPr>
      <w:r w:rsidRPr="005019FA">
        <w:t>(iv)</w:t>
      </w:r>
      <w:r w:rsidRPr="005019FA">
        <w:tab/>
        <w:t>indicatori pentru monitorizarea și evaluarea progreselor în timp;</w:t>
      </w:r>
    </w:p>
    <w:p w:rsidR="00B602AA" w:rsidRPr="005019FA" w:rsidRDefault="005C5300">
      <w:pPr>
        <w:pStyle w:val="Point1"/>
      </w:pPr>
      <w:r w:rsidRPr="005019FA">
        <w:t>(v)</w:t>
      </w:r>
      <w:r w:rsidRPr="005019FA">
        <w:tab/>
        <w:t xml:space="preserve">estimări cantitative privind efectele asupra emisiilor de către surse și absorbțiilor de către absorbanți ale gazelor cu efect de seră, defalcate în: </w:t>
      </w:r>
    </w:p>
    <w:p w:rsidR="00B602AA" w:rsidRPr="005019FA" w:rsidRDefault="005C5300">
      <w:pPr>
        <w:pStyle w:val="Tiret2"/>
        <w:numPr>
          <w:ilvl w:val="0"/>
          <w:numId w:val="12"/>
        </w:numPr>
      </w:pPr>
      <w:r w:rsidRPr="005019FA">
        <w:t xml:space="preserve">rezultatele evaluărilor </w:t>
      </w:r>
      <w:r w:rsidRPr="005019FA">
        <w:rPr>
          <w:i/>
        </w:rPr>
        <w:t>ex ante</w:t>
      </w:r>
      <w:r w:rsidRPr="005019FA">
        <w:t xml:space="preserve"> ale efectelor fiecărei politici și măsuri sau ale grupurilor de politici și măsuri în ceea ce privește atenuarea schimbărilor climatice. Se furnizează estimări pentru o succesiune de patru ani viitori care se termină cu 0 sau cu 5, imediat următori anului de raportare, făcând distincție între emisiile de gaze cu efect de seră reglementate de Directiva 2003/87/CE, cele reglementate de Regulamentul [ ] [ESR] și cele reglementate de Regulamentul [ ] [LULUCF];</w:t>
      </w:r>
    </w:p>
    <w:p w:rsidR="00B602AA" w:rsidRPr="005019FA" w:rsidRDefault="005C5300">
      <w:pPr>
        <w:pStyle w:val="Tiret2"/>
      </w:pPr>
      <w:r w:rsidRPr="005019FA">
        <w:t xml:space="preserve">rezultatele evaluărilor </w:t>
      </w:r>
      <w:r w:rsidRPr="005019FA">
        <w:rPr>
          <w:i/>
        </w:rPr>
        <w:t>ex post</w:t>
      </w:r>
      <w:r w:rsidRPr="005019FA">
        <w:t xml:space="preserve"> ale efectelor fiecărei politici și măsuri sau ale grupurilor de politici și măsuri în ceea ce privește atenuarea schimbărilor climatice, dacă sunt disponibile, făcând distincție între emisiile de gaze cu efect de seră reglementate de Directiva 2003/87/CE, cele reglementate de Regulamentul [ ] [ESR] și cele reglementate de Regulamentul [ ] [LULUCF];</w:t>
      </w:r>
    </w:p>
    <w:p w:rsidR="00B602AA" w:rsidRPr="005019FA" w:rsidRDefault="005C5300">
      <w:pPr>
        <w:pStyle w:val="Point1"/>
      </w:pPr>
      <w:r w:rsidRPr="005019FA">
        <w:t>(vi)</w:t>
      </w:r>
      <w:r w:rsidRPr="005019FA">
        <w:tab/>
        <w:t>estimări privind costurile și beneficiile preconizate ale politicilor și măsurilor, precum și estimări privind costurile și beneficiile realizate ale politicilor și măsurilor;</w:t>
      </w:r>
    </w:p>
    <w:p w:rsidR="00B602AA" w:rsidRPr="005019FA" w:rsidRDefault="005C5300">
      <w:pPr>
        <w:pStyle w:val="Point1"/>
      </w:pPr>
      <w:r w:rsidRPr="005019FA">
        <w:t>(vii)</w:t>
      </w:r>
      <w:r w:rsidRPr="005019FA">
        <w:tab/>
        <w:t xml:space="preserve">toate trimiterile la evaluările costurilor și efectelor politicilor și măsurilor naționale, la informațiile privind punerea în aplicare a politicilor și a măsurilor Uniunii care limitează sau reduc emisiile de gaze cu efect de seră ale surselor sau sporesc gradul de absorbție de către absorbanți, precum și la rapoartele tehnice care stau la baza acestora; </w:t>
      </w:r>
    </w:p>
    <w:p w:rsidR="00B602AA" w:rsidRPr="005019FA" w:rsidRDefault="005C5300">
      <w:pPr>
        <w:pStyle w:val="Point1"/>
      </w:pPr>
      <w:r w:rsidRPr="005019FA">
        <w:t>(viii)</w:t>
      </w:r>
      <w:r w:rsidRPr="005019FA">
        <w:tab/>
        <w:t>o evaluare a contribuției politicii sau măsurii la realizarea strategiei de reducere a emisiilor pe termen lung menționată la articolul 14;</w:t>
      </w:r>
    </w:p>
    <w:p w:rsidR="00B602AA" w:rsidRPr="005019FA" w:rsidRDefault="005C5300">
      <w:pPr>
        <w:pStyle w:val="Point0letter"/>
      </w:pPr>
      <w:r w:rsidRPr="005019FA">
        <w:t>informații cu privire la politicile și măsurile naționale suplimentare planificate care sunt avute în vedere pentru limitarea emisiilor de gaze cu efect de seră dincolo de angajamentele statelor membre în temeiul Regulamentului [ ] [ESR] și al Regulamentului [ ] [LULUCF];</w:t>
      </w:r>
    </w:p>
    <w:p w:rsidR="00B602AA" w:rsidRPr="005019FA" w:rsidRDefault="005C5300">
      <w:pPr>
        <w:pStyle w:val="Point0letter"/>
      </w:pPr>
      <w:r w:rsidRPr="005019FA">
        <w:t>informații privind legăturile dintre diferitele politici și măsuri raportate în conformitate cu litera (c) și modul în care aceste politici și măsuri contribuie la diferite scenarii de previziuni.</w:t>
      </w:r>
    </w:p>
    <w:p w:rsidR="0056435C" w:rsidRPr="005019FA" w:rsidRDefault="0056435C" w:rsidP="00056BCA">
      <w:pPr>
        <w:pStyle w:val="Annexetitre"/>
        <w:rPr>
          <w:b w:val="0"/>
          <w:i/>
          <w:u w:val="none"/>
        </w:rPr>
      </w:pPr>
      <w:r w:rsidRPr="005019FA">
        <w:rPr>
          <w:b w:val="0"/>
          <w:i/>
          <w:u w:val="none"/>
        </w:rPr>
        <w:t>ANEXA V</w:t>
      </w:r>
    </w:p>
    <w:p w:rsidR="00B602AA" w:rsidRPr="005019FA" w:rsidRDefault="0056435C" w:rsidP="00056BCA">
      <w:pPr>
        <w:jc w:val="center"/>
      </w:pPr>
      <w:r w:rsidRPr="005019FA">
        <w:rPr>
          <w:b/>
        </w:rPr>
        <w:t>INFORMAȚII REFERITOARE LA PREVIZIUNILE ÎN DOMENIUL EMISIILOR DE GAZE CU EFECT DE SERĂ</w:t>
      </w:r>
    </w:p>
    <w:p w:rsidR="00B602AA" w:rsidRPr="005019FA" w:rsidRDefault="005C5300">
      <w:pPr>
        <w:rPr>
          <w:rFonts w:eastAsia="Times New Roman"/>
          <w:color w:val="000000"/>
          <w:sz w:val="19"/>
          <w:szCs w:val="19"/>
        </w:rPr>
      </w:pPr>
      <w:r w:rsidRPr="005019FA">
        <w:t>Informații care trebuie incluse în rapoartele menționate la articolul 16:</w:t>
      </w:r>
    </w:p>
    <w:p w:rsidR="00B602AA" w:rsidRPr="005019FA" w:rsidRDefault="005C5300">
      <w:pPr>
        <w:pStyle w:val="Point0letter"/>
        <w:numPr>
          <w:ilvl w:val="1"/>
          <w:numId w:val="3"/>
        </w:numPr>
      </w:pPr>
      <w:r w:rsidRPr="005019FA">
        <w:t xml:space="preserve">previziunile fără măsuri, în cazul în care sunt disponibile, previziunile cu măsuri și previziunile cu măsuri suplimentare; </w:t>
      </w:r>
    </w:p>
    <w:p w:rsidR="00B602AA" w:rsidRPr="005019FA" w:rsidRDefault="005C5300">
      <w:pPr>
        <w:pStyle w:val="Point0letter"/>
      </w:pPr>
      <w:r w:rsidRPr="005019FA">
        <w:t xml:space="preserve">previziunile totale referitoare la gazele cu efect de seră și estimări separate privind emisiile de gaze cu efect de seră previzionate pentru sursele de emisii reglementate </w:t>
      </w:r>
      <w:r w:rsidRPr="005019FA">
        <w:lastRenderedPageBreak/>
        <w:t xml:space="preserve">de Directiva 2003/87/CE și de Regulamentul [ ] [ESR] și previziunile referitoare la emisiile de către surse și la absorbțiile de către absorbanți în temeiul Regulamentului [ ] [LULUCF]; </w:t>
      </w:r>
    </w:p>
    <w:p w:rsidR="00B602AA" w:rsidRPr="005019FA" w:rsidRDefault="005C5300">
      <w:pPr>
        <w:pStyle w:val="Point0letter"/>
      </w:pPr>
      <w:r w:rsidRPr="005019FA">
        <w:t xml:space="preserve">impactul politicilor și al măsurilor identificate în temeiul articolului 16 alineatul (1) litera (a). În cazul în care astfel de politici și măsuri nu sunt incluse, acest fapt trebuie menționat și explicat în mod clar; </w:t>
      </w:r>
    </w:p>
    <w:p w:rsidR="00B602AA" w:rsidRPr="005019FA" w:rsidRDefault="005C5300">
      <w:pPr>
        <w:pStyle w:val="Point0letter"/>
      </w:pPr>
      <w:r w:rsidRPr="005019FA">
        <w:t xml:space="preserve">rezultatele analizei de sensibilitate realizate pentru previziuni și informații cu privire la modelele și la parametrii utilizați; </w:t>
      </w:r>
    </w:p>
    <w:p w:rsidR="00B602AA" w:rsidRPr="005019FA" w:rsidRDefault="005C5300">
      <w:pPr>
        <w:pStyle w:val="Point0letter"/>
      </w:pPr>
      <w:r w:rsidRPr="005019FA">
        <w:t xml:space="preserve">toate trimiterile relevante la evaluarea și la rapoartele tehnice care stau la baza previziunilor menționate la articolul 16 alineatul (4). </w:t>
      </w:r>
    </w:p>
    <w:p w:rsidR="0056435C" w:rsidRPr="005019FA" w:rsidRDefault="0056435C" w:rsidP="00056BCA">
      <w:pPr>
        <w:pStyle w:val="Annexetitre"/>
        <w:rPr>
          <w:b w:val="0"/>
          <w:i/>
          <w:u w:val="none"/>
        </w:rPr>
      </w:pPr>
      <w:r w:rsidRPr="005019FA">
        <w:rPr>
          <w:b w:val="0"/>
          <w:i/>
          <w:u w:val="none"/>
        </w:rPr>
        <w:t>ANEXA VI</w:t>
      </w:r>
    </w:p>
    <w:p w:rsidR="00B602AA" w:rsidRPr="005019FA" w:rsidRDefault="0056435C" w:rsidP="00056BCA">
      <w:pPr>
        <w:jc w:val="center"/>
      </w:pPr>
      <w:r w:rsidRPr="005019FA">
        <w:rPr>
          <w:b/>
        </w:rPr>
        <w:t>INFORMAȚII PRIVIND ACȚIUNILE NAȚIONALE DE ADAPTARE, SPRIJINUL FINANCIAR ȘI TEHNOLOGIC ACORDAT ȚĂRILOR ÎN CURS DE DEZVOLTARE, VENITURILE DIN LICITAȚII</w:t>
      </w:r>
    </w:p>
    <w:p w:rsidR="0056435C" w:rsidRPr="005019FA" w:rsidRDefault="005C5300" w:rsidP="00056BCA">
      <w:pPr>
        <w:jc w:val="center"/>
        <w:rPr>
          <w:b/>
        </w:rPr>
      </w:pPr>
      <w:r w:rsidRPr="005019FA">
        <w:rPr>
          <w:b/>
        </w:rPr>
        <w:t>Partea 1</w:t>
      </w:r>
    </w:p>
    <w:p w:rsidR="00B602AA" w:rsidRPr="005019FA" w:rsidRDefault="005C5300" w:rsidP="00056BCA">
      <w:pPr>
        <w:jc w:val="center"/>
        <w:rPr>
          <w:i/>
        </w:rPr>
      </w:pPr>
      <w:r w:rsidRPr="005019FA">
        <w:rPr>
          <w:i/>
        </w:rPr>
        <w:t>Raportarea cu privire la adaptare</w:t>
      </w:r>
    </w:p>
    <w:p w:rsidR="00B602AA" w:rsidRPr="005019FA" w:rsidRDefault="005C5300">
      <w:pPr>
        <w:pStyle w:val="NormalWeb"/>
      </w:pPr>
      <w:r w:rsidRPr="005019FA">
        <w:t>Informații care trebuie incluse în rapoartele menționate la articolul 17 alineatul (1):</w:t>
      </w:r>
    </w:p>
    <w:p w:rsidR="00B602AA" w:rsidRPr="005019FA" w:rsidRDefault="005C5300">
      <w:pPr>
        <w:pStyle w:val="Point0letter"/>
        <w:numPr>
          <w:ilvl w:val="1"/>
          <w:numId w:val="34"/>
        </w:numPr>
      </w:pPr>
      <w:r w:rsidRPr="005019FA">
        <w:t>principalele obiective și cadrul instituțional pentru adaptare;</w:t>
      </w:r>
    </w:p>
    <w:p w:rsidR="00B602AA" w:rsidRPr="005019FA" w:rsidRDefault="005C5300">
      <w:pPr>
        <w:pStyle w:val="Point0letter"/>
      </w:pPr>
      <w:r w:rsidRPr="005019FA">
        <w:t xml:space="preserve">previziunile referitoare la schimbările climatice, inclusiv condițiile meteorologice extreme, efectele schimbărilor climatice, evaluarea vulnerabilității și a riscurilor legate de schimbările climatice și principalele pericole asociate schimbărilor climatice; </w:t>
      </w:r>
    </w:p>
    <w:p w:rsidR="00B602AA" w:rsidRPr="005019FA" w:rsidRDefault="005C5300">
      <w:pPr>
        <w:pStyle w:val="Point0letter"/>
      </w:pPr>
      <w:r w:rsidRPr="005019FA">
        <w:t>capacitatea de adaptare;</w:t>
      </w:r>
    </w:p>
    <w:p w:rsidR="00B602AA" w:rsidRPr="005019FA" w:rsidRDefault="005C5300">
      <w:pPr>
        <w:pStyle w:val="Point0letter"/>
      </w:pPr>
      <w:r w:rsidRPr="005019FA">
        <w:t>planurile și strategiile de adaptare;</w:t>
      </w:r>
    </w:p>
    <w:p w:rsidR="00B602AA" w:rsidRPr="005019FA" w:rsidRDefault="005C5300">
      <w:pPr>
        <w:pStyle w:val="Point0letter"/>
      </w:pPr>
      <w:r w:rsidRPr="005019FA">
        <w:t>configurația instituțională, inclusiv guvernanța verticală și orizontală și sistemele de coordonare, de monitorizare și de evaluare;</w:t>
      </w:r>
    </w:p>
    <w:p w:rsidR="00B602AA" w:rsidRPr="005019FA" w:rsidRDefault="005C5300">
      <w:pPr>
        <w:pStyle w:val="Point0letter"/>
      </w:pPr>
      <w:r w:rsidRPr="005019FA">
        <w:t>progresele realizate în ceea ce privește punerea în aplicare, inclusiv bunele practici și schimbările în materie de guvernanță.</w:t>
      </w:r>
    </w:p>
    <w:p w:rsidR="0056435C" w:rsidRPr="005019FA" w:rsidRDefault="005C5300" w:rsidP="00056BCA">
      <w:pPr>
        <w:jc w:val="center"/>
        <w:rPr>
          <w:b/>
        </w:rPr>
      </w:pPr>
      <w:r w:rsidRPr="005019FA">
        <w:rPr>
          <w:b/>
        </w:rPr>
        <w:t>Partea 2</w:t>
      </w:r>
    </w:p>
    <w:p w:rsidR="00B602AA" w:rsidRPr="005019FA" w:rsidRDefault="005C5300" w:rsidP="00056BCA">
      <w:pPr>
        <w:jc w:val="center"/>
        <w:rPr>
          <w:i/>
        </w:rPr>
      </w:pPr>
      <w:r w:rsidRPr="005019FA">
        <w:rPr>
          <w:i/>
        </w:rPr>
        <w:t>Raportarea cu privire la sprijinul acordat țărilor în curs de dezvoltare</w:t>
      </w:r>
    </w:p>
    <w:p w:rsidR="00B602AA" w:rsidRPr="005019FA" w:rsidRDefault="005C5300">
      <w:r w:rsidRPr="005019FA">
        <w:t>Informații care trebuie incluse în rapoartele menționate la articolul 17 alineatul (2) litera (a):</w:t>
      </w:r>
    </w:p>
    <w:p w:rsidR="00B602AA" w:rsidRPr="005019FA" w:rsidRDefault="005C5300">
      <w:pPr>
        <w:pStyle w:val="Point0letter"/>
        <w:numPr>
          <w:ilvl w:val="1"/>
          <w:numId w:val="5"/>
        </w:numPr>
      </w:pPr>
      <w:r w:rsidRPr="005019FA">
        <w:t>informații privind sprijinul financiar angajat și acordat țărilor în curs de dezvoltare pentru anul X-1, inclusiv:</w:t>
      </w:r>
    </w:p>
    <w:p w:rsidR="00B602AA" w:rsidRPr="005019FA" w:rsidRDefault="005C5300">
      <w:pPr>
        <w:pStyle w:val="Point1"/>
      </w:pPr>
      <w:r w:rsidRPr="005019FA">
        <w:t>(i)</w:t>
      </w:r>
      <w:r w:rsidRPr="005019FA">
        <w:tab/>
        <w:t>informații cantitative privind resursele financiare publice și mobilizate de statul membru. Informațiile privind fluxurile financiare trebuie să fie bazate pe așa-numiții „markeri Rio” privind sprijinul pentru atenuarea schimbărilor climatice și sprijinul pentru adaptarea la schimbările climatice, precum și alte sisteme de urmărire introduse de Comitetul de asistență pentru dezvoltare al OCDE;</w:t>
      </w:r>
    </w:p>
    <w:p w:rsidR="00B602AA" w:rsidRPr="005019FA" w:rsidRDefault="005C5300">
      <w:pPr>
        <w:pStyle w:val="Point1"/>
      </w:pPr>
      <w:r w:rsidRPr="005019FA">
        <w:t>(ii)</w:t>
      </w:r>
      <w:r w:rsidRPr="005019FA">
        <w:tab/>
        <w:t xml:space="preserve">informații metodologice calitative care explică metoda folosită pentru a calcula informațiile cantitative, inclusiv o explicație a metodologiei de cuantificare a datelor și, acolo unde este cazul, și alte informații privind definițiile și </w:t>
      </w:r>
      <w:r w:rsidRPr="005019FA">
        <w:lastRenderedPageBreak/>
        <w:t>metodologiile folosite pentru determinarea cifrelor, în special pentru informațiile raportate cu privire la fluxurile financiare;</w:t>
      </w:r>
    </w:p>
    <w:p w:rsidR="00B602AA" w:rsidRPr="005019FA" w:rsidRDefault="005C5300">
      <w:pPr>
        <w:pStyle w:val="Point1"/>
      </w:pPr>
      <w:r w:rsidRPr="005019FA">
        <w:t>(iii)</w:t>
      </w:r>
      <w:r w:rsidRPr="005019FA">
        <w:tab/>
        <w:t>informațiile disponibile cu privire la activitățile statelor membre legate de proiectele de transfer tehnologic și de proiectele de consolidare a capacităților, finanțate din fonduri publice, pentru țările în curs de dezvoltare, în temeiul CCONUSC, inclusiv dacă tehnologia transferată sau proiectul de consolidare a capacităților a fost folosit(ă) pentru atenuarea efectelor schimbărilor climatice sau pentru adaptarea la acestea, țara beneficiară, cuantumul sprijinului acordat și tipul de tehnologie transferată sau de proiect de consolidare a capacităților;</w:t>
      </w:r>
    </w:p>
    <w:p w:rsidR="00B602AA" w:rsidRPr="005019FA" w:rsidRDefault="005C5300">
      <w:pPr>
        <w:pStyle w:val="Point0letter"/>
        <w:numPr>
          <w:ilvl w:val="1"/>
          <w:numId w:val="5"/>
        </w:numPr>
      </w:pPr>
      <w:r w:rsidRPr="005019FA">
        <w:t>informații pentru anul X și pentru anii următorii cu privire la activitățile de furnizare a sprijinului planificate, inclusiv informații cu privire la activitățile planificate legate de proiecte de transfer tehnologic și de proiecte de consolidare a capacităților, finanțate din fonduri publice, pentru țările în curs de dezvoltare, în temeiul CCONUSC, și cu privire la tehnologiile care urmează să fie transferate și la proiectele de consolidare a capacităților, inclusiv dacă tehnologia transferată sau proiectul de consolidare a capacităților este destinat(ă) pentru atenuarea efectelor schimbărilor climatice sau pentru adaptarea la acestea, țara beneficiară, cuantumul sprijinului acordat și tipul de tehnologie transferată sau de proiect de consolidare a capacităților;</w:t>
      </w:r>
    </w:p>
    <w:p w:rsidR="0056435C" w:rsidRPr="005019FA" w:rsidRDefault="005C5300" w:rsidP="00056BCA">
      <w:pPr>
        <w:jc w:val="center"/>
        <w:rPr>
          <w:b/>
        </w:rPr>
      </w:pPr>
      <w:r w:rsidRPr="005019FA">
        <w:rPr>
          <w:b/>
        </w:rPr>
        <w:t>Partea 3</w:t>
      </w:r>
    </w:p>
    <w:p w:rsidR="00B602AA" w:rsidRPr="005019FA" w:rsidRDefault="005C5300" w:rsidP="00056BCA">
      <w:pPr>
        <w:jc w:val="center"/>
        <w:rPr>
          <w:i/>
        </w:rPr>
      </w:pPr>
      <w:r w:rsidRPr="005019FA">
        <w:rPr>
          <w:i/>
        </w:rPr>
        <w:t>Raportarea cu privire la veniturile obținute din licitații</w:t>
      </w:r>
    </w:p>
    <w:p w:rsidR="00B602AA" w:rsidRPr="005019FA" w:rsidRDefault="005C5300">
      <w:r w:rsidRPr="005019FA">
        <w:t>Informații care trebuie incluse în rapoartele menționate la articolul 17 alineatul (2) litera (b):</w:t>
      </w:r>
    </w:p>
    <w:p w:rsidR="00B602AA" w:rsidRPr="005019FA" w:rsidRDefault="005C5300">
      <w:pPr>
        <w:pStyle w:val="Point0letter"/>
        <w:numPr>
          <w:ilvl w:val="1"/>
          <w:numId w:val="6"/>
        </w:numPr>
      </w:pPr>
      <w:r w:rsidRPr="005019FA">
        <w:t xml:space="preserve">informații cu privire la folosirea, în decursul anului X-1, a veniturilor generate de statul membru prin licitarea certificatelor în temeiul articolului 10 alineatul (1) din Directiva 2003/87/CE, inclusiv informații privind veniturile de acest gen care au fost folosite pentru unul sau mai multe dintre scopurile specificate la articolul 10 alineatul (3) din directiva respectivă sau echivalentul în valoare financiară al acestor venituri, precum și măsurile luate în temeiul articolului respectiv; </w:t>
      </w:r>
    </w:p>
    <w:p w:rsidR="00B602AA" w:rsidRPr="005019FA" w:rsidRDefault="005C5300">
      <w:pPr>
        <w:pStyle w:val="Point0letter"/>
        <w:numPr>
          <w:ilvl w:val="1"/>
          <w:numId w:val="5"/>
        </w:numPr>
      </w:pPr>
      <w:r w:rsidRPr="005019FA">
        <w:t xml:space="preserve">informații cu privire la folosirea, conform deciziei statului membru, a tuturor veniturilor generate de statul membru prin licitarea certificatelor pentru aviație în temeiul articolului 3d alineatul (1) sau (2) din Directiva 2003/87/CE; aceste informații trebuie furnizate în conformitate cu articolul 3d alineatul (4) din directiva respectivă; </w:t>
      </w:r>
    </w:p>
    <w:p w:rsidR="00B602AA" w:rsidRPr="005019FA" w:rsidRDefault="005C5300">
      <w:r w:rsidRPr="005019FA">
        <w:t>Veniturile generate din licitații și neplătite la momentul în care un stat membru prezintă Comisiei un raport în temeiul articolului 17 alineatul (2) litera (b) sunt cuantificate și raportate în rapoartele pentru anii următori.</w:t>
      </w:r>
    </w:p>
    <w:p w:rsidR="0056435C" w:rsidRPr="005019FA" w:rsidRDefault="005C5300" w:rsidP="00056BCA">
      <w:pPr>
        <w:pStyle w:val="Annexetitre"/>
        <w:rPr>
          <w:b w:val="0"/>
          <w:i/>
          <w:u w:val="none"/>
        </w:rPr>
      </w:pPr>
      <w:r w:rsidRPr="005019FA">
        <w:rPr>
          <w:b w:val="0"/>
          <w:i/>
          <w:u w:val="none"/>
        </w:rPr>
        <w:t>ANEXA VII</w:t>
      </w:r>
    </w:p>
    <w:p w:rsidR="00B602AA" w:rsidRPr="005019FA" w:rsidRDefault="005C5300" w:rsidP="00056BCA">
      <w:pPr>
        <w:jc w:val="center"/>
      </w:pPr>
      <w:r w:rsidRPr="005019FA">
        <w:rPr>
          <w:b/>
        </w:rPr>
        <w:t>OBLIGAȚII DE RAPORTARE SUPLIMENTARE</w:t>
      </w:r>
    </w:p>
    <w:p w:rsidR="0056435C" w:rsidRPr="005019FA" w:rsidRDefault="005C5300" w:rsidP="00056BCA">
      <w:pPr>
        <w:jc w:val="center"/>
        <w:rPr>
          <w:b/>
        </w:rPr>
      </w:pPr>
      <w:r w:rsidRPr="005019FA">
        <w:rPr>
          <w:b/>
        </w:rPr>
        <w:t>Partea 1</w:t>
      </w:r>
    </w:p>
    <w:p w:rsidR="00B602AA" w:rsidRPr="005019FA" w:rsidRDefault="005C5300" w:rsidP="00056BCA">
      <w:pPr>
        <w:jc w:val="center"/>
        <w:rPr>
          <w:i/>
        </w:rPr>
      </w:pPr>
      <w:r w:rsidRPr="005019FA">
        <w:rPr>
          <w:i/>
        </w:rPr>
        <w:t>Obligații de raportare suplimentare în domeniul energiei din surse regenerabile</w:t>
      </w:r>
    </w:p>
    <w:p w:rsidR="00B602AA" w:rsidRPr="005019FA" w:rsidRDefault="005C5300">
      <w:pPr>
        <w:rPr>
          <w:b/>
          <w:sz w:val="28"/>
          <w:szCs w:val="28"/>
        </w:rPr>
      </w:pPr>
      <w:r w:rsidRPr="005019FA">
        <w:t>Trebuie incluse următoarele informații suplimentare, cu excepția cazului în care se prevede altfel, în conformitate cu articolul 18 litera (c):</w:t>
      </w:r>
    </w:p>
    <w:p w:rsidR="00B602AA" w:rsidRPr="005019FA" w:rsidRDefault="005C5300">
      <w:pPr>
        <w:pStyle w:val="Point0letter"/>
        <w:numPr>
          <w:ilvl w:val="1"/>
          <w:numId w:val="7"/>
        </w:numPr>
      </w:pPr>
      <w:r w:rsidRPr="005019FA">
        <w:t xml:space="preserve">funcționarea sistemului de garanții de origine pentru energie electrică, gaz și încălzire și răcire din surse regenerabile de energie, nivelurile de eliberare și de anulare a </w:t>
      </w:r>
      <w:r w:rsidRPr="005019FA">
        <w:lastRenderedPageBreak/>
        <w:t>garanțiilor de origine și consumul anual național de energie din surse regenerabile rezultat, precum și măsurile luate pentru a se asigura fiabilitatea sistemului și protecția sa împotriva fraudelor;</w:t>
      </w:r>
    </w:p>
    <w:p w:rsidR="00B602AA" w:rsidRPr="005019FA" w:rsidRDefault="005C5300">
      <w:pPr>
        <w:pStyle w:val="Point0letter"/>
      </w:pPr>
      <w:r w:rsidRPr="005019FA">
        <w:t>informații agregate din bazele de date naționale menționate la articolul 25 alineatul (4) din [Directiva 2009/28/CE reformată propusă prin COM(2016) 767] cu privire la biocombustibili, la biogazul produs din materiile prime enumerate în anexa IX la [Directiva 2009/28/CE reformată propusă prin COM(2016) 767], la carburanții de origine nebiologică obținuți din surse regenerabile, la combustibilii fosili pe bază de deșeuri și la energia electrică introdusă pe piață de furnizorii de combustibili, inclusiv informații privind tipul de combustibil, conținutul lor energetic și, dacă este cazul, baza lor de materii prime și, dacă este relevant, performanța lor din punctul de vedere al economisirii gazelor cu efect de seră; în cazul în care baza de date națională nu conține valori reale, statele membre pot utiliza valori tipice sau, acolo unde este cazul, valorile implicite cuprinse în partea A și în partea B din anexa V și în partea A din anexa VI la [Directiva 2009/28/CE reformată propusă prin COM(2016) 767];</w:t>
      </w:r>
    </w:p>
    <w:p w:rsidR="00B602AA" w:rsidRPr="005019FA" w:rsidRDefault="005C5300">
      <w:pPr>
        <w:pStyle w:val="Point0letter"/>
      </w:pPr>
      <w:r w:rsidRPr="005019FA">
        <w:t>evoluțiile în ceea ce privește disponibilitatea, originea și utilizarea resurselor de biomasă în scopuri energetice;</w:t>
      </w:r>
    </w:p>
    <w:p w:rsidR="00B602AA" w:rsidRPr="005019FA" w:rsidRDefault="005C5300">
      <w:pPr>
        <w:pStyle w:val="Point0letter"/>
      </w:pPr>
      <w:r w:rsidRPr="005019FA">
        <w:t>modificările survenite în ceea ce privește prețurile materiilor prime și destinația terenurilor din cadrul statului membru asociate cu intensificarea utilizării biomasei și a altor forme de energie din surse regenerabile pe teritoriul său;</w:t>
      </w:r>
    </w:p>
    <w:p w:rsidR="00B602AA" w:rsidRPr="005019FA" w:rsidRDefault="005C5300">
      <w:pPr>
        <w:pStyle w:val="Point0letter"/>
      </w:pPr>
      <w:r w:rsidRPr="005019FA">
        <w:t>excedentul de producție de energie din surse regenerabile estimat care ar putea fi transferat către alte state membre astfel încât acestea să fie în conformitate cu articolul 3 alineatul (3) din [Directiva 2009/28/CE reformată propusă prin COM(2016) 767] și să realizeze contribuțiile și traiectoriile naționale menționate la articolul 4 litera (a) punctul 2 subpunctul (i);</w:t>
      </w:r>
    </w:p>
    <w:p w:rsidR="00B602AA" w:rsidRPr="005019FA" w:rsidRDefault="005C5300">
      <w:pPr>
        <w:pStyle w:val="Point0letter"/>
      </w:pPr>
      <w:r w:rsidRPr="005019FA">
        <w:t>cererea estimată de energie din surse regenerabile care trebuie satisfăcută altfel decât prin producție internă până în 2030, inclusiv materia primă de biomasă importată;</w:t>
      </w:r>
    </w:p>
    <w:p w:rsidR="00B602AA" w:rsidRPr="005019FA" w:rsidRDefault="005C5300">
      <w:pPr>
        <w:pStyle w:val="Point0letter"/>
      </w:pPr>
      <w:r w:rsidRPr="005019FA">
        <w:t>evoluția și ponderea biocombustibililor produși din materiile prime enumerate în anexa IX la [Directiva 2009/28/CE reformată propusă prin COM(2016) 767], inclusiv evaluarea resurselor cu accent pe aspectele de durabilitate legate de efectul înlocuirii produselor alimentare și a furajelor cu producția de biocombustibili, ținând seama în mod adecvat de principiile ierarhiei deșeurilor stabilite în Directiva 2008/98/CE și de principiul utilizării în cascadă a biomasei, ținând cont de circumstanțele economice și tehnologice de la nivel regional și local, de menținerea stocului necesar de carbon în sol și de calitatea solului și a ecosistemelor;</w:t>
      </w:r>
    </w:p>
    <w:p w:rsidR="00B602AA" w:rsidRPr="005019FA" w:rsidRDefault="005C5300">
      <w:pPr>
        <w:pStyle w:val="Point0letter"/>
      </w:pPr>
      <w:r w:rsidRPr="005019FA">
        <w:t>impactul estimat al producției sau utilizării de biocombustibili, de biolichide și de combustibili din biomasă asupra biodiversității, a resurselor de apă, a disponibilității și calității apei, a calității solurilor și a aerului în cadrul statului membru;</w:t>
      </w:r>
    </w:p>
    <w:p w:rsidR="00B602AA" w:rsidRPr="005019FA" w:rsidRDefault="005C5300">
      <w:pPr>
        <w:pStyle w:val="Point0letter"/>
      </w:pPr>
      <w:r w:rsidRPr="005019FA">
        <w:t>riscurile sau cazurile observate de fraudă în lanțul de custodie al biocombustibililor, biolichidelor și combustibililor din biomasă;</w:t>
      </w:r>
    </w:p>
    <w:p w:rsidR="00B602AA" w:rsidRPr="005019FA" w:rsidRDefault="005C5300">
      <w:pPr>
        <w:pStyle w:val="Point0letter"/>
      </w:pPr>
      <w:r w:rsidRPr="005019FA">
        <w:t>informații privind modul în care s-a estimat ponderea deșeurilor biodegradabile în deșeurile utilizate la producerea de energie și ce măsuri au fost luate pentru a îmbunătăți și a verifica aceste estimări;</w:t>
      </w:r>
    </w:p>
    <w:p w:rsidR="00B602AA" w:rsidRPr="005019FA" w:rsidRDefault="005C5300">
      <w:pPr>
        <w:pStyle w:val="Point0letter"/>
      </w:pPr>
      <w:r w:rsidRPr="005019FA">
        <w:t xml:space="preserve">producția de energie electrică și de căldură din surse regenerabile de energie în clădiri (conform definiției de la articolul 2 punctul 1 din Directiva 2010/31/UE). Aceasta trebuie să includă date dezagregate cu privire la energia produsă, consumată </w:t>
      </w:r>
      <w:r w:rsidRPr="005019FA">
        <w:lastRenderedPageBreak/>
        <w:t>și introdusă în rețea de sistemele solare fotovoltaice, sistemele termice solare, biomasă, pompele de căldură, sistemele geotermale, precum și orice alte sisteme descentralizate de energie din surse regenerabile;</w:t>
      </w:r>
    </w:p>
    <w:p w:rsidR="00B602AA" w:rsidRPr="005019FA" w:rsidRDefault="005C5300">
      <w:pPr>
        <w:pStyle w:val="Point0letter"/>
      </w:pPr>
      <w:r w:rsidRPr="005019FA">
        <w:t>dacă este cazul, ponderea biocombustibililor avansați și de origine alimentară, ponderea energiei din surse regenerabile în termoficarea centralizată, precum și energia din surse regenerabile produsă de orașe și de comunități energetice conform definiției de la articolul 22 din [Directiva 2009/28/CE reformată propusă prin COM(2016) 767];</w:t>
      </w:r>
    </w:p>
    <w:p w:rsidR="00D267D3" w:rsidRPr="005019FA" w:rsidRDefault="00D267D3" w:rsidP="00D267D3">
      <w:pPr>
        <w:pStyle w:val="Point0letter"/>
      </w:pPr>
      <w:r w:rsidRPr="005019FA">
        <w:t>oferta primară de biomasă solidă [în 1 000 m3, cu excepția punctului 1 litera (b) subpunctul (iii) - în tone]</w:t>
      </w:r>
    </w:p>
    <w:p w:rsidR="00D267D3" w:rsidRPr="005019FA" w:rsidRDefault="00D267D3" w:rsidP="00D267D3">
      <w:pPr>
        <w:pStyle w:val="Point1number"/>
      </w:pPr>
      <w:r w:rsidRPr="005019FA">
        <w:t xml:space="preserve">biomasa forestieră utilizată pentru producerea de energie (producție internă, import și export) </w:t>
      </w:r>
    </w:p>
    <w:p w:rsidR="00D267D3" w:rsidRPr="005019FA" w:rsidRDefault="00D267D3" w:rsidP="00D267D3">
      <w:pPr>
        <w:pStyle w:val="Point2letter"/>
      </w:pPr>
      <w:r w:rsidRPr="005019FA">
        <w:t>biomasa primară de origine forestieră utilizată direct pentru producerea de energie</w:t>
      </w:r>
    </w:p>
    <w:p w:rsidR="00D267D3" w:rsidRPr="005019FA" w:rsidRDefault="00D267D3" w:rsidP="00D267D3">
      <w:pPr>
        <w:pStyle w:val="Point3"/>
      </w:pPr>
      <w:r w:rsidRPr="005019FA">
        <w:t>(i)</w:t>
      </w:r>
      <w:r w:rsidRPr="005019FA">
        <w:tab/>
        <w:t>crengi și vârfuri de copaci (raportarea este voluntară)</w:t>
      </w:r>
      <w:r w:rsidR="005019FA" w:rsidRPr="005019FA">
        <w:t xml:space="preserve"> </w:t>
      </w:r>
    </w:p>
    <w:p w:rsidR="00D267D3" w:rsidRPr="005019FA" w:rsidRDefault="00D267D3" w:rsidP="00D267D3">
      <w:pPr>
        <w:pStyle w:val="Point3"/>
      </w:pPr>
      <w:r w:rsidRPr="005019FA">
        <w:t>(ii)</w:t>
      </w:r>
      <w:r w:rsidRPr="005019FA">
        <w:tab/>
        <w:t>buturugi (raportarea este voluntară)</w:t>
      </w:r>
    </w:p>
    <w:p w:rsidR="00D267D3" w:rsidRPr="005019FA" w:rsidRDefault="00D267D3" w:rsidP="00D267D3">
      <w:pPr>
        <w:pStyle w:val="Point3"/>
      </w:pPr>
      <w:r w:rsidRPr="005019FA">
        <w:t>(iii)</w:t>
      </w:r>
      <w:r w:rsidRPr="005019FA">
        <w:tab/>
        <w:t xml:space="preserve">lemn rotund (împărțit în lemn rotund industrial și lemn de foc) </w:t>
      </w:r>
    </w:p>
    <w:p w:rsidR="00D267D3" w:rsidRPr="005019FA" w:rsidRDefault="00D267D3" w:rsidP="00D267D3">
      <w:pPr>
        <w:pStyle w:val="Point2letter"/>
      </w:pPr>
      <w:r w:rsidRPr="005019FA">
        <w:t xml:space="preserve">produse derivate ale industriei forestiere utilizate direct pentru energie </w:t>
      </w:r>
    </w:p>
    <w:p w:rsidR="00D267D3" w:rsidRPr="005019FA" w:rsidRDefault="00D267D3" w:rsidP="00D267D3">
      <w:pPr>
        <w:pStyle w:val="Point3"/>
      </w:pPr>
      <w:r w:rsidRPr="005019FA">
        <w:t>(i)</w:t>
      </w:r>
      <w:r w:rsidRPr="005019FA">
        <w:tab/>
        <w:t>scoarță (raportarea este voluntară)</w:t>
      </w:r>
    </w:p>
    <w:p w:rsidR="00D267D3" w:rsidRPr="005019FA" w:rsidRDefault="00D267D3" w:rsidP="00D267D3">
      <w:pPr>
        <w:pStyle w:val="Point3"/>
      </w:pPr>
      <w:r w:rsidRPr="005019FA">
        <w:t>(ii)</w:t>
      </w:r>
      <w:r w:rsidRPr="005019FA">
        <w:tab/>
        <w:t>așchii, rumeguș și alte particule de lemn</w:t>
      </w:r>
    </w:p>
    <w:p w:rsidR="00D267D3" w:rsidRPr="005019FA" w:rsidRDefault="00D267D3" w:rsidP="00D267D3">
      <w:pPr>
        <w:pStyle w:val="Point3"/>
      </w:pPr>
      <w:r w:rsidRPr="005019FA">
        <w:t>(iii)</w:t>
      </w:r>
      <w:r w:rsidRPr="005019FA">
        <w:tab/>
        <w:t>leșie neagră și ulei de tal brut</w:t>
      </w:r>
    </w:p>
    <w:p w:rsidR="00D267D3" w:rsidRPr="005019FA" w:rsidRDefault="00D267D3" w:rsidP="00D267D3">
      <w:pPr>
        <w:pStyle w:val="Point2letter"/>
      </w:pPr>
      <w:r w:rsidRPr="005019FA">
        <w:t>lemn post-consum utilizat direct pentru producerea de energie</w:t>
      </w:r>
    </w:p>
    <w:p w:rsidR="00D267D3" w:rsidRPr="005019FA" w:rsidRDefault="00D267D3" w:rsidP="00D267D3">
      <w:pPr>
        <w:pStyle w:val="Point2letter"/>
      </w:pPr>
      <w:r w:rsidRPr="005019FA">
        <w:t xml:space="preserve">combustibil pe bază de lemn prelucrat, produs din materii prime care nu se regăsesc la punctul 1 literele (a), (b) sau (c): </w:t>
      </w:r>
    </w:p>
    <w:p w:rsidR="00D267D3" w:rsidRPr="005019FA" w:rsidRDefault="00D267D3" w:rsidP="00D267D3">
      <w:pPr>
        <w:pStyle w:val="Point3"/>
      </w:pPr>
      <w:r w:rsidRPr="005019FA">
        <w:t>(i)</w:t>
      </w:r>
      <w:r w:rsidRPr="005019FA">
        <w:tab/>
        <w:t>cărbune de lemn</w:t>
      </w:r>
    </w:p>
    <w:p w:rsidR="00D267D3" w:rsidRPr="005019FA" w:rsidRDefault="00D267D3" w:rsidP="00D267D3">
      <w:pPr>
        <w:pStyle w:val="Point3"/>
      </w:pPr>
      <w:r w:rsidRPr="005019FA">
        <w:t>(ii)</w:t>
      </w:r>
      <w:r w:rsidRPr="005019FA">
        <w:tab/>
        <w:t>pelete din lemn și brichete din lemn</w:t>
      </w:r>
    </w:p>
    <w:p w:rsidR="00D267D3" w:rsidRPr="005019FA" w:rsidRDefault="00D267D3" w:rsidP="00D267D3">
      <w:pPr>
        <w:pStyle w:val="Point1number"/>
      </w:pPr>
      <w:r w:rsidRPr="005019FA">
        <w:t>biomasa agricolă utilizată pentru producerea de energie (producție internă, import și export)</w:t>
      </w:r>
    </w:p>
    <w:p w:rsidR="00D267D3" w:rsidRPr="005019FA" w:rsidRDefault="00D267D3" w:rsidP="00D267D3">
      <w:pPr>
        <w:pStyle w:val="Point2letter"/>
      </w:pPr>
      <w:r w:rsidRPr="005019FA">
        <w:t>culturi energetice pentru energie electrică sau căldură (inclusiv speciile forestiere cu ciclu scurt de producție)</w:t>
      </w:r>
    </w:p>
    <w:p w:rsidR="00D267D3" w:rsidRPr="005019FA" w:rsidRDefault="00D267D3" w:rsidP="00D267D3">
      <w:pPr>
        <w:pStyle w:val="Point2letter"/>
      </w:pPr>
      <w:r w:rsidRPr="005019FA">
        <w:t>reziduuri de culturi agricole pentru energie electrică sau căldură</w:t>
      </w:r>
    </w:p>
    <w:p w:rsidR="00D267D3" w:rsidRPr="005019FA" w:rsidRDefault="00D267D3" w:rsidP="00D267D3">
      <w:pPr>
        <w:pStyle w:val="Point1number"/>
      </w:pPr>
      <w:r w:rsidRPr="005019FA">
        <w:t xml:space="preserve">biomasa din deșeuri organice pentru producerea de energie (producție internă, import și export) </w:t>
      </w:r>
    </w:p>
    <w:p w:rsidR="00D267D3" w:rsidRPr="005019FA" w:rsidRDefault="00D267D3" w:rsidP="00D267D3">
      <w:pPr>
        <w:pStyle w:val="Point2letter"/>
      </w:pPr>
      <w:r w:rsidRPr="005019FA">
        <w:t>fracția organică din deșeurile industriale</w:t>
      </w:r>
    </w:p>
    <w:p w:rsidR="00D267D3" w:rsidRPr="005019FA" w:rsidRDefault="00D267D3" w:rsidP="00D267D3">
      <w:pPr>
        <w:pStyle w:val="Point2letter"/>
      </w:pPr>
      <w:r w:rsidRPr="005019FA">
        <w:t>fracția organică din deșeurile municipale</w:t>
      </w:r>
    </w:p>
    <w:p w:rsidR="00D267D3" w:rsidRPr="005019FA" w:rsidRDefault="00D267D3" w:rsidP="00D267D3">
      <w:pPr>
        <w:pStyle w:val="Point2letter"/>
      </w:pPr>
      <w:r w:rsidRPr="005019FA">
        <w:t>nămoluri reziduale</w:t>
      </w:r>
    </w:p>
    <w:p w:rsidR="00B602AA" w:rsidRPr="005019FA" w:rsidRDefault="00B75BF4" w:rsidP="00BD4A85">
      <w:pPr>
        <w:pStyle w:val="Point0letter"/>
      </w:pPr>
      <w:r w:rsidRPr="005019FA">
        <w:t>consumul final de energie din biomasă solidă (cantitatea de biomasă solidă utilizată pentru producerea de energie în următoarele sectoare):</w:t>
      </w:r>
    </w:p>
    <w:p w:rsidR="00B602AA" w:rsidRPr="005019FA" w:rsidRDefault="005C5300">
      <w:pPr>
        <w:pStyle w:val="Point1number"/>
        <w:numPr>
          <w:ilvl w:val="2"/>
          <w:numId w:val="38"/>
        </w:numPr>
      </w:pPr>
      <w:r w:rsidRPr="005019FA">
        <w:t>sectorul energetic</w:t>
      </w:r>
    </w:p>
    <w:p w:rsidR="00B602AA" w:rsidRPr="005019FA" w:rsidRDefault="005C5300">
      <w:pPr>
        <w:pStyle w:val="Point2letter"/>
      </w:pPr>
      <w:r w:rsidRPr="005019FA">
        <w:t>energie electrică</w:t>
      </w:r>
    </w:p>
    <w:p w:rsidR="00B602AA" w:rsidRPr="005019FA" w:rsidRDefault="005C5300">
      <w:pPr>
        <w:pStyle w:val="Point2letter"/>
      </w:pPr>
      <w:r w:rsidRPr="005019FA">
        <w:lastRenderedPageBreak/>
        <w:t>producerea combinată de energie electrică și de energie termică</w:t>
      </w:r>
    </w:p>
    <w:p w:rsidR="00B602AA" w:rsidRPr="005019FA" w:rsidRDefault="005C5300">
      <w:pPr>
        <w:pStyle w:val="Point2letter"/>
      </w:pPr>
      <w:r w:rsidRPr="005019FA">
        <w:t xml:space="preserve">căldură </w:t>
      </w:r>
    </w:p>
    <w:p w:rsidR="00B602AA" w:rsidRPr="005019FA" w:rsidRDefault="005C5300">
      <w:pPr>
        <w:pStyle w:val="Point1number"/>
      </w:pPr>
      <w:r w:rsidRPr="005019FA">
        <w:t>sectorul industrial, la nivel intern (energie electrică, CHP și căldură consumate și autoproduse)</w:t>
      </w:r>
    </w:p>
    <w:p w:rsidR="00B602AA" w:rsidRPr="005019FA" w:rsidRDefault="005C5300">
      <w:pPr>
        <w:pStyle w:val="Point1number"/>
      </w:pPr>
      <w:r w:rsidRPr="005019FA">
        <w:t>consumul final direct în sectorul rezidențial</w:t>
      </w:r>
    </w:p>
    <w:p w:rsidR="00B602AA" w:rsidRPr="005019FA" w:rsidRDefault="005C5300">
      <w:pPr>
        <w:pStyle w:val="Point1number"/>
      </w:pPr>
      <w:r w:rsidRPr="005019FA">
        <w:t>altele</w:t>
      </w:r>
    </w:p>
    <w:p w:rsidR="00B602AA" w:rsidRPr="005019FA" w:rsidRDefault="00B602AA"/>
    <w:p w:rsidR="009C29BC" w:rsidRPr="005019FA" w:rsidRDefault="005C5300" w:rsidP="00056BCA">
      <w:pPr>
        <w:jc w:val="center"/>
        <w:rPr>
          <w:b/>
          <w:szCs w:val="24"/>
        </w:rPr>
      </w:pPr>
      <w:r w:rsidRPr="005019FA">
        <w:rPr>
          <w:b/>
        </w:rPr>
        <w:t>Partea 2</w:t>
      </w:r>
    </w:p>
    <w:p w:rsidR="00B602AA" w:rsidRPr="005019FA" w:rsidRDefault="005C5300" w:rsidP="00056BCA">
      <w:pPr>
        <w:jc w:val="center"/>
        <w:rPr>
          <w:i/>
          <w:szCs w:val="24"/>
        </w:rPr>
      </w:pPr>
      <w:r w:rsidRPr="005019FA">
        <w:rPr>
          <w:i/>
        </w:rPr>
        <w:t>Obligații de raportare suplimentare în domeniul eficienței energetice</w:t>
      </w:r>
    </w:p>
    <w:p w:rsidR="00B602AA" w:rsidRPr="005019FA" w:rsidRDefault="005C5300">
      <w:pPr>
        <w:rPr>
          <w:b/>
          <w:szCs w:val="24"/>
        </w:rPr>
      </w:pPr>
      <w:r w:rsidRPr="005019FA">
        <w:t>În domeniul eficienței energetice, trebuie incluse următoarele informații suplimentare în conformitate cu articolul 19 litera (c):</w:t>
      </w:r>
    </w:p>
    <w:p w:rsidR="00B602AA" w:rsidRPr="005019FA" w:rsidRDefault="005C5300">
      <w:pPr>
        <w:pStyle w:val="Point0letter"/>
        <w:numPr>
          <w:ilvl w:val="1"/>
          <w:numId w:val="35"/>
        </w:numPr>
      </w:pPr>
      <w:r w:rsidRPr="005019FA">
        <w:t>principalele politici, măsuri, măsuri de finanțare și programe legislative și nelegislative puse în aplicare în anul X-2 și X-1 (X fiind anul în care trebuie prezentat raportul) pentru îndeplinirea obiectivelor stabilite pentru statele membre în temeiul articolului 4 litera (b), care promovează piețele de servicii energetice și îmbunătățesc performanța energetică a clădirilor, măsuri pentru utilizarea potențialului de eficiență energetică al infrastructurii de energie electrică și de gaz și al încălzirii și răcirii, pentru îmbunătățirea informării și a categorisirii, alte măsuri de promovare a eficienței energetice;</w:t>
      </w:r>
    </w:p>
    <w:p w:rsidR="00B602AA" w:rsidRPr="005019FA" w:rsidRDefault="005C5300">
      <w:pPr>
        <w:pStyle w:val="Point0letter"/>
        <w:rPr>
          <w:szCs w:val="24"/>
        </w:rPr>
      </w:pPr>
      <w:r w:rsidRPr="005019FA">
        <w:t>economiile de energie obținute prin articolul 7 din Directiva 2012/27/UE [versiunea modificată în conformitate cu propunerea COM(2016)761] în anii X-3 și X-2;</w:t>
      </w:r>
    </w:p>
    <w:p w:rsidR="00B602AA" w:rsidRPr="005019FA" w:rsidRDefault="005C5300">
      <w:pPr>
        <w:pStyle w:val="Point0letter"/>
        <w:rPr>
          <w:szCs w:val="24"/>
        </w:rPr>
      </w:pPr>
      <w:r w:rsidRPr="005019FA">
        <w:t>progresul din fiecare sector și motivele pentru care consumul de energie a rămas stabil sau a crescut în anul X-3 și X-2 în sectoarele cu consum final de energie;</w:t>
      </w:r>
    </w:p>
    <w:p w:rsidR="00B602AA" w:rsidRPr="005019FA" w:rsidRDefault="005C5300">
      <w:pPr>
        <w:pStyle w:val="Point0letter"/>
        <w:rPr>
          <w:szCs w:val="24"/>
        </w:rPr>
      </w:pPr>
      <w:r w:rsidRPr="005019FA">
        <w:t>suprafața totală a clădirilor cu o suprafață totală utilă de peste 250 m2 deținute și ocupate de administrația centrală a statului membru, care, la data de 1 ianuarie a anului X-2 și X-1, nu îndeplineau cerințele privind performanța energetică menționate la articolul 5 alineatul (1) din Directiva 2012/27/UE;</w:t>
      </w:r>
    </w:p>
    <w:p w:rsidR="00B602AA" w:rsidRPr="005019FA" w:rsidRDefault="005C5300">
      <w:pPr>
        <w:pStyle w:val="Point0letter"/>
        <w:rPr>
          <w:szCs w:val="24"/>
        </w:rPr>
      </w:pPr>
      <w:r w:rsidRPr="005019FA">
        <w:t>suprafața totală a clădirilor încălzite și/sau răcite deținute și ocupate de administrația centrală a statului membru, care a fost renovată în anul X-3 și X-2, menționată la articolul 5 alineatul (1) din Directiva 2012/27/UE, sau cantitatea de economii de energie în clădirile eligibile deținute și ocupate de administrația centrală a statului membru, menționată la articolul 5 alineatul (6) din Directiva 2012/27/UE;</w:t>
      </w:r>
    </w:p>
    <w:p w:rsidR="00B602AA" w:rsidRPr="005019FA" w:rsidRDefault="005C5300">
      <w:pPr>
        <w:pStyle w:val="Point0letter"/>
        <w:rPr>
          <w:szCs w:val="24"/>
        </w:rPr>
      </w:pPr>
      <w:r w:rsidRPr="005019FA">
        <w:t>numărul auditurilor energetice efectuate în anul X-3 și X-2. În plus, numărul total de întreprinderi mari de pe teritoriul statului membru cărora li se aplică articolul 8 alineatul (4) din Directiva 2012/27/UE și numărul auditurilor energetice efectuate în întreprinderile respective în anul X-3 și X-2;</w:t>
      </w:r>
    </w:p>
    <w:p w:rsidR="00B602AA" w:rsidRPr="005019FA" w:rsidRDefault="005C5300">
      <w:pPr>
        <w:pStyle w:val="Point0letter"/>
        <w:rPr>
          <w:szCs w:val="24"/>
        </w:rPr>
      </w:pPr>
      <w:r w:rsidRPr="005019FA">
        <w:t>factorul de energie primară național aplicat pentru energia electrică;</w:t>
      </w:r>
    </w:p>
    <w:p w:rsidR="00B602AA" w:rsidRPr="005019FA" w:rsidRDefault="005C5300">
      <w:pPr>
        <w:pStyle w:val="Point0letter"/>
        <w:rPr>
          <w:szCs w:val="24"/>
        </w:rPr>
      </w:pPr>
      <w:r w:rsidRPr="005019FA">
        <w:t>numărul și suprafața clădirilor noi și renovate al căror consum de energie este aproape egal cu zero, în anul X-2 și X-1, definite la articolul 9 din Directiva 2010/31/UE;</w:t>
      </w:r>
    </w:p>
    <w:p w:rsidR="00B602AA" w:rsidRPr="005019FA" w:rsidRDefault="005C5300">
      <w:pPr>
        <w:pStyle w:val="Point0letter"/>
      </w:pPr>
      <w:r w:rsidRPr="005019FA">
        <w:t>linkul de internet către site-ul web unde poate fi accesată lista sau interfața furnizorilor de servicii energetice menționată la articolul 18 alineatul (1) litera (c) din Directiva 2012/27/UE.</w:t>
      </w:r>
    </w:p>
    <w:p w:rsidR="009C29BC" w:rsidRPr="005019FA" w:rsidRDefault="005C5300" w:rsidP="00056BCA">
      <w:pPr>
        <w:pStyle w:val="Annexetitre"/>
        <w:rPr>
          <w:b w:val="0"/>
          <w:i/>
          <w:szCs w:val="24"/>
          <w:u w:val="none"/>
        </w:rPr>
      </w:pPr>
      <w:r w:rsidRPr="005019FA">
        <w:rPr>
          <w:b w:val="0"/>
          <w:i/>
          <w:u w:val="none"/>
        </w:rPr>
        <w:lastRenderedPageBreak/>
        <w:t>ANEXA VIII</w:t>
      </w:r>
    </w:p>
    <w:p w:rsidR="00B602AA" w:rsidRPr="005019FA" w:rsidRDefault="005C5300" w:rsidP="00056BCA">
      <w:pPr>
        <w:jc w:val="center"/>
      </w:pPr>
      <w:r w:rsidRPr="005019FA">
        <w:rPr>
          <w:b/>
        </w:rPr>
        <w:t>RAPORT PRIVIND SUSTENABILITATEA BIOENERGIEI LA NIVELUL UNIUNII</w:t>
      </w:r>
    </w:p>
    <w:p w:rsidR="00B602AA" w:rsidRPr="005019FA" w:rsidRDefault="005C5300">
      <w:pPr>
        <w:rPr>
          <w:szCs w:val="24"/>
        </w:rPr>
      </w:pPr>
      <w:r w:rsidRPr="005019FA">
        <w:t>Raportul privind sustenabilitatea bioenergiei în UE referitor la energia produsă din biomasă, care urmează să fie adoptat o dată la doi ani de către Comisie împreună cu raportul privind starea uniunii energetice în conformitate cu articolul 29 alineatul (2) litera (d), trebuie să conțină cel puțin următoarele informații:</w:t>
      </w:r>
    </w:p>
    <w:p w:rsidR="00B602AA" w:rsidRPr="005019FA" w:rsidRDefault="005C5300">
      <w:pPr>
        <w:pStyle w:val="Point0letter"/>
        <w:numPr>
          <w:ilvl w:val="1"/>
          <w:numId w:val="8"/>
        </w:numPr>
        <w:rPr>
          <w:szCs w:val="24"/>
        </w:rPr>
      </w:pPr>
      <w:r w:rsidRPr="005019FA">
        <w:t>beneficiile și costurile relative pentru mediu ale diferiților biocombustibili, biolichide și combustibili din biomasă, efectele politicilor Uniunii privind importurile asupra acestora, implicațiile în ceea ce privește securitatea aprovizionării și metodele de realizare a unei abordări echilibrate între producția internă și importuri;</w:t>
      </w:r>
    </w:p>
    <w:p w:rsidR="00B602AA" w:rsidRPr="005019FA" w:rsidRDefault="005C5300">
      <w:pPr>
        <w:pStyle w:val="Point0letter"/>
        <w:rPr>
          <w:szCs w:val="24"/>
        </w:rPr>
      </w:pPr>
      <w:r w:rsidRPr="005019FA">
        <w:t>impactul producției și al utilizării biomasei asupra sustenabilității în Uniune și în țările terțe, inclusiv impactul asupra biodiversității;</w:t>
      </w:r>
    </w:p>
    <w:p w:rsidR="007826D8" w:rsidRPr="005019FA" w:rsidRDefault="007826D8" w:rsidP="007826D8">
      <w:pPr>
        <w:pStyle w:val="Point0letter"/>
        <w:rPr>
          <w:szCs w:val="24"/>
        </w:rPr>
      </w:pPr>
      <w:r w:rsidRPr="005019FA">
        <w:t xml:space="preserve">date și analiză privind disponibilitatea și cererea de biomasă actuale și previzionate, inclusiv impactul creșterii cererii de biomasă asupra sectoarelor care utilizează biomasă; </w:t>
      </w:r>
    </w:p>
    <w:p w:rsidR="00B602AA" w:rsidRPr="005019FA" w:rsidRDefault="005C5300">
      <w:pPr>
        <w:pStyle w:val="Point0letter"/>
        <w:rPr>
          <w:szCs w:val="24"/>
        </w:rPr>
      </w:pPr>
      <w:r w:rsidRPr="005019FA">
        <w:t>evoluția tehnologică, disponibilitatea și sustenabilitatea biocombustibililor produși din materiile prime enumerate în anexa IX la [Directiva 2009/28/CE reformată propusă prin COM(2016) 767], inclusiv o evaluare a efectului înlocuirii produselor alimentare și a furajelor cu producția de biocombustibili, ținând seama în mod adecvat de principiile ierarhiei deșeurilor stabilite în Directiva 2008/98/CE și de principiul utilizării în cascadă a biomasei, ținând cont de circumstanțele economice și tehnologice de la nivel regional și local, de menținerea stocului necesar de carbon în sol și de calitatea solului și a ecosistemelor;</w:t>
      </w:r>
    </w:p>
    <w:p w:rsidR="00B602AA" w:rsidRPr="005019FA" w:rsidRDefault="005C5300">
      <w:pPr>
        <w:pStyle w:val="Point0letter"/>
        <w:rPr>
          <w:szCs w:val="24"/>
        </w:rPr>
      </w:pPr>
      <w:r w:rsidRPr="005019FA">
        <w:t>informații privind rezultatele disponibile ale cercetărilor științifice referitoare la schimbarea indirectă a destinației terenurilor în legătură cu toate căile de producție, precum și o analiză a acestor rezultate, însoțită de o evaluare privind posibilitatea îngustării intervalului de incertitudine identificat în analiza care stă la baza estimărilor privind emisiile legate de schimbarea indirectă a destinației terenurilor, precum și posibilitatea luării în calcul a eventualului impact al politicilor Uniunii, cum ar fi politicile privind mediul, clima și politica agricolă; și</w:t>
      </w:r>
    </w:p>
    <w:p w:rsidR="00B602AA" w:rsidRPr="005019FA" w:rsidRDefault="005C5300">
      <w:pPr>
        <w:pStyle w:val="Point0letter"/>
        <w:rPr>
          <w:szCs w:val="24"/>
        </w:rPr>
      </w:pPr>
      <w:r w:rsidRPr="005019FA">
        <w:t>în ceea ce privește atât țările terțe, cât și statele membre care reprezintă o sursă semnificativă de biocombustibili, biolichide și combustibili din biomasă consumați în interiorul Uniunii, informații privind măsurile naționale luate pentru a respecta criteriile de sustenabilitate și criteriile de reducere a gazelor cu efect de seră prevăzute la articolul 26 alineatele (2)-(7) din [Directiva 2009/28/CE reformată propusă prin COM(2016) 767], pentru protecția solului, a apelor și a aerului.</w:t>
      </w:r>
    </w:p>
    <w:p w:rsidR="00B602AA" w:rsidRPr="005019FA" w:rsidRDefault="005C5300">
      <w:pPr>
        <w:rPr>
          <w:szCs w:val="24"/>
        </w:rPr>
      </w:pPr>
      <w:r w:rsidRPr="005019FA">
        <w:t>În rapoartele sale cu privire la reducerea emisiilor de gaze cu efect de seră datorate utilizării biomasei, Comisia utilizează cantitățile raportate de statele membre în conformitate cu anexa VII partea 1 litera (b), inclusiv valorile medii provizorii ale emisiilor estimate legate de schimbarea indirectă a destinației terenurilor, precum și intervalul aferent derivat din analiza de sensibilitate stabilită în anexa VIII la [Directiva 2009/28/CE reformată propusă prin COM(2016) 767]. Comisia pune la dispoziția publicului datele referitoare la valorile medii provizorii ale emisiilor estimate legate de schimbarea indirectă a destinației terenurilor și intervalul aferent derivat din analiza de sensibilitate. În plus, Comisia evaluează dacă și în ce mod s-ar modifica estimarea privind reducerile directe ale emisiilor în cazul în care produsele derivate ar fi luate în calcul folosind metoda substituției.</w:t>
      </w:r>
    </w:p>
    <w:p w:rsidR="009C29BC" w:rsidRPr="005019FA" w:rsidRDefault="005C5300" w:rsidP="00056BCA">
      <w:pPr>
        <w:pStyle w:val="Annexetitre"/>
        <w:rPr>
          <w:b w:val="0"/>
          <w:i/>
          <w:szCs w:val="24"/>
          <w:u w:val="none"/>
        </w:rPr>
      </w:pPr>
      <w:r w:rsidRPr="005019FA">
        <w:rPr>
          <w:b w:val="0"/>
          <w:i/>
          <w:u w:val="none"/>
        </w:rPr>
        <w:lastRenderedPageBreak/>
        <w:t>ANEXA IX</w:t>
      </w:r>
    </w:p>
    <w:p w:rsidR="00B602AA" w:rsidRPr="005019FA" w:rsidRDefault="005C5300" w:rsidP="00056BCA">
      <w:pPr>
        <w:jc w:val="center"/>
      </w:pPr>
      <w:r w:rsidRPr="005019FA">
        <w:rPr>
          <w:b/>
        </w:rPr>
        <w:t>SCHEME VOLUNTARE PENTRU CARE COMISIA A ADOPTAT O DECIZIE ÎN CONFORMITATE CU ARTICOLUL 27 ALINEATUL (4) DIN [DIRECTIVA 2009/28/CE REFORMATĂ PROPUSĂ PRIN COM(2016) 767]</w:t>
      </w:r>
    </w:p>
    <w:p w:rsidR="00B602AA" w:rsidRPr="005019FA" w:rsidRDefault="005C5300">
      <w:pPr>
        <w:rPr>
          <w:szCs w:val="24"/>
        </w:rPr>
      </w:pPr>
      <w:r w:rsidRPr="005019FA">
        <w:t>Raportul privind schemele voluntare pentru care Comisia a adoptat o decizie în conformitate cu articolul 27 alineatul (4) din [Directiva 2009/28/CE reformată propusă prin COM(2016) 767], care urmează să fie adoptat o dată la doi ani de către Comisie împreună cu raportul privind starea uniunii energetice în conformitate cu articolul 29 alineatul (2) litera (e), trebuie să conțină evaluarea de către Comisie a cel puțin următoarelor elemente:</w:t>
      </w:r>
    </w:p>
    <w:p w:rsidR="00B602AA" w:rsidRPr="005019FA" w:rsidRDefault="005C5300">
      <w:pPr>
        <w:pStyle w:val="Point0letter"/>
        <w:numPr>
          <w:ilvl w:val="1"/>
          <w:numId w:val="9"/>
        </w:numPr>
        <w:rPr>
          <w:szCs w:val="24"/>
        </w:rPr>
      </w:pPr>
      <w:r w:rsidRPr="005019FA">
        <w:t>independența, modalitatea și frecvența auditurilor, atât în legătură cu cele exprimate în privința acestor aspecte în documentația referitoare la schemă, în momentul în care schema în cauză a fost aprobată de Comisie, cât și în legătură cu bunele practici din cadrul industriei;</w:t>
      </w:r>
    </w:p>
    <w:p w:rsidR="00B602AA" w:rsidRPr="005019FA" w:rsidRDefault="005C5300">
      <w:pPr>
        <w:pStyle w:val="Point0letter"/>
      </w:pPr>
      <w:r w:rsidRPr="005019FA">
        <w:t>disponibilitatea și transparența aplicării metodelor de identificare și de tratare a neconformității, precum și experiența în legătură cu acestea, acordând o atenție deosebită tratării situațiilor sau acuzațiilor de nereguli grave din partea membrilor schemei;</w:t>
      </w:r>
    </w:p>
    <w:p w:rsidR="00B602AA" w:rsidRPr="005019FA" w:rsidRDefault="005C5300">
      <w:pPr>
        <w:pStyle w:val="Point0letter"/>
      </w:pPr>
      <w:r w:rsidRPr="005019FA">
        <w:t>transparența, în special în legătură cu accesibilitatea schemei, disponibilitatea traducerilor în limbile aplicabile ale țărilor și regiunilor din care provin materiile prime, accesibilitatea unei liste a operatorilor certificați și a certificatelor relevante, precum și accesibilitatea rapoartelor auditorilor;</w:t>
      </w:r>
    </w:p>
    <w:p w:rsidR="00B602AA" w:rsidRPr="005019FA" w:rsidRDefault="005C5300">
      <w:pPr>
        <w:pStyle w:val="Point0letter"/>
      </w:pPr>
      <w:r w:rsidRPr="005019FA">
        <w:t>implicarea părților interesate, în special în ceea ce privește consultarea comunităților indigene și locale înainte de a lua decizii în decursul elaborării și reexaminării schemei, precum și în decursul auditurilor, și răspunsul la contribuțiile acestora;</w:t>
      </w:r>
    </w:p>
    <w:p w:rsidR="00B602AA" w:rsidRPr="005019FA" w:rsidRDefault="005C5300">
      <w:pPr>
        <w:pStyle w:val="Point0letter"/>
      </w:pPr>
      <w:r w:rsidRPr="005019FA">
        <w:t>robustețea generală a schemei, în special sub aspectul normelor privind acreditarea, calificarea și independența auditorilor, precum și organismele relevante ale schemei;</w:t>
      </w:r>
    </w:p>
    <w:p w:rsidR="00B602AA" w:rsidRPr="005019FA" w:rsidRDefault="005C5300">
      <w:pPr>
        <w:pStyle w:val="Point0letter"/>
      </w:pPr>
      <w:r w:rsidRPr="005019FA">
        <w:t>actualizările schemei în funcție de piață, cantitatea de materii prime și de biocombustibili certificată, clasificată pe țara de origine și pe tip, numărul de participanți;</w:t>
      </w:r>
    </w:p>
    <w:p w:rsidR="00B602AA" w:rsidRPr="005019FA" w:rsidRDefault="005C5300">
      <w:pPr>
        <w:pStyle w:val="Point0letter"/>
      </w:pPr>
      <w:r w:rsidRPr="005019FA">
        <w:t>ușurința și eficacitatea punerii în aplicare a unui sistem de urmărire a probelor de conformitate cu criteriile de sustenabilitate pe care le oferă schema membrilor săi, acest sistem fiind destinat să servească drept mijloc de prevenire a activităților frauduloase, în special în vederea depistării, a tratării și a urmăririi ulterioare a suspiciunilor de fraudă și de alte nereguli și, după caz, numărul cazurilor de fraudă sau de nereguli depistate;</w:t>
      </w:r>
    </w:p>
    <w:p w:rsidR="00B602AA" w:rsidRPr="005019FA" w:rsidRDefault="005C5300">
      <w:pPr>
        <w:pStyle w:val="Point0letter"/>
      </w:pPr>
      <w:r w:rsidRPr="005019FA">
        <w:t>posibilitatea autorizării unor entități pentru recunoașterea și monitorizarea organismelor de certificare;</w:t>
      </w:r>
    </w:p>
    <w:p w:rsidR="00B602AA" w:rsidRPr="005019FA" w:rsidRDefault="005C5300">
      <w:pPr>
        <w:pStyle w:val="Point0letter"/>
      </w:pPr>
      <w:r w:rsidRPr="005019FA">
        <w:t>criteriile de recunoaștere sau de acreditare a organismelor de certificare;</w:t>
      </w:r>
    </w:p>
    <w:p w:rsidR="00B602AA" w:rsidRPr="005019FA" w:rsidRDefault="005C5300">
      <w:pPr>
        <w:pStyle w:val="Point0letter"/>
      </w:pPr>
      <w:r w:rsidRPr="005019FA">
        <w:t>normele privind modul în care trebuie să se desfășoare monitorizarea organismelor de certificare;</w:t>
      </w:r>
    </w:p>
    <w:p w:rsidR="00B602AA" w:rsidRPr="005019FA" w:rsidRDefault="005C5300">
      <w:pPr>
        <w:pStyle w:val="Point0letter"/>
      </w:pPr>
      <w:r w:rsidRPr="005019FA">
        <w:t>modalități de a facilita sau de a îmbunătăți promovarea bunelor practici.</w:t>
      </w:r>
    </w:p>
    <w:p w:rsidR="009C29BC" w:rsidRPr="005019FA" w:rsidRDefault="009C29BC" w:rsidP="00056BCA">
      <w:pPr>
        <w:pStyle w:val="Annexetitre"/>
        <w:rPr>
          <w:b w:val="0"/>
          <w:i/>
          <w:u w:val="none"/>
        </w:rPr>
      </w:pPr>
      <w:r w:rsidRPr="005019FA">
        <w:rPr>
          <w:b w:val="0"/>
          <w:i/>
          <w:u w:val="none"/>
        </w:rPr>
        <w:t>ANEXA X</w:t>
      </w:r>
    </w:p>
    <w:p w:rsidR="00B602AA" w:rsidRPr="005019FA" w:rsidRDefault="009C29BC" w:rsidP="00056BCA">
      <w:pPr>
        <w:jc w:val="center"/>
      </w:pPr>
      <w:r w:rsidRPr="005019FA">
        <w:rPr>
          <w:b/>
        </w:rPr>
        <w:t>SISTEME NAȚIONALE DE INVENTARIERE</w:t>
      </w:r>
    </w:p>
    <w:p w:rsidR="00B602AA" w:rsidRPr="005019FA" w:rsidRDefault="005C5300">
      <w:r w:rsidRPr="005019FA">
        <w:t>Informațiile menționate la articolul 30 includ următoarele:</w:t>
      </w:r>
    </w:p>
    <w:p w:rsidR="00B602AA" w:rsidRPr="005019FA" w:rsidRDefault="005C5300">
      <w:pPr>
        <w:pStyle w:val="Point0letter"/>
        <w:numPr>
          <w:ilvl w:val="1"/>
          <w:numId w:val="10"/>
        </w:numPr>
      </w:pPr>
      <w:r w:rsidRPr="005019FA">
        <w:lastRenderedPageBreak/>
        <w:t xml:space="preserve">datele și metodele raportate pentru activități și instalații în temeiul Directivei 2003/87/CE în scopul întocmirii inventarelor naționale de gaze cu efect de seră, pentru a asigura coerența între emisiile de gaze cu efect de seră raportate în temeiul schemei Uniunii de comercializare a certificatelor de emisii și cele din inventarele naționale de gaze cu efect de seră; </w:t>
      </w:r>
    </w:p>
    <w:p w:rsidR="00B602AA" w:rsidRPr="005019FA" w:rsidRDefault="005C5300">
      <w:pPr>
        <w:pStyle w:val="Point0letter"/>
      </w:pPr>
      <w:r w:rsidRPr="005019FA">
        <w:t xml:space="preserve">datele colectate prin intermediul sistemelor de raportare cu privire la gazele fluorurate din diverse sectoare, instituite în temeiul articolului 20 din Regulamentul (UE) nr. 517/2014 în scopul întocmirii inventarelor naționale de gaze cu efect de seră; </w:t>
      </w:r>
    </w:p>
    <w:p w:rsidR="00B602AA" w:rsidRPr="005019FA" w:rsidRDefault="005C5300">
      <w:pPr>
        <w:pStyle w:val="Point0letter"/>
      </w:pPr>
      <w:r w:rsidRPr="005019FA">
        <w:t xml:space="preserve">emisiile, datele și metodologiile care stau la baza acestora, raportate de instalații în temeiul Regulamentului (CE) nr. 166/2006 în scopul întocmirii inventarelor naționale de gaze cu efect de seră; </w:t>
      </w:r>
    </w:p>
    <w:p w:rsidR="00B602AA" w:rsidRPr="005019FA" w:rsidRDefault="005C5300">
      <w:pPr>
        <w:pStyle w:val="Point0letter"/>
      </w:pPr>
      <w:r w:rsidRPr="005019FA">
        <w:t xml:space="preserve">datele raportate în temeiul Regulamentului (CE) nr. 1099/2008; </w:t>
      </w:r>
    </w:p>
    <w:p w:rsidR="00B602AA" w:rsidRPr="005019FA" w:rsidRDefault="005C5300">
      <w:pPr>
        <w:pStyle w:val="Point0letter"/>
      </w:pPr>
      <w:r w:rsidRPr="005019FA">
        <w:t>datele colectate prin monitorizarea geografică a terenurilor în contextul programelor și studiilor existente ale Uniunii și ale statelor membre, inclusiv LUCAS (Studiul-cadru privind utilizarea și ocuparea terenurilor) și Programul european Copernicus de observare a Pământului.</w:t>
      </w:r>
    </w:p>
    <w:p w:rsidR="009C29BC" w:rsidRPr="005019FA" w:rsidRDefault="005C5300" w:rsidP="00056BCA">
      <w:pPr>
        <w:pStyle w:val="Annexetitre"/>
        <w:rPr>
          <w:b w:val="0"/>
          <w:i/>
          <w:u w:val="none"/>
        </w:rPr>
      </w:pPr>
      <w:r w:rsidRPr="005019FA">
        <w:rPr>
          <w:b w:val="0"/>
          <w:i/>
          <w:u w:val="none"/>
        </w:rPr>
        <w:t>ANEXA XI</w:t>
      </w:r>
    </w:p>
    <w:p w:rsidR="00B602AA" w:rsidRPr="005019FA" w:rsidRDefault="005C5300" w:rsidP="00056BCA">
      <w:pPr>
        <w:jc w:val="center"/>
      </w:pPr>
      <w:r w:rsidRPr="005019FA">
        <w:rPr>
          <w:b/>
        </w:rPr>
        <w:t>TABEL DE CORESPONDENȚĂ</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66"/>
        <w:gridCol w:w="5937"/>
      </w:tblGrid>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ind w:right="195"/>
              <w:jc w:val="center"/>
              <w:rPr>
                <w:rFonts w:eastAsia="Times New Roman"/>
                <w:b/>
                <w:bCs/>
                <w:color w:val="000000"/>
              </w:rPr>
            </w:pPr>
            <w:r w:rsidRPr="005019FA">
              <w:rPr>
                <w:b/>
                <w:color w:val="000000"/>
              </w:rPr>
              <w:t>Regulamentul (UE) nr. 525/2013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ind w:right="195"/>
              <w:jc w:val="center"/>
              <w:rPr>
                <w:rFonts w:eastAsia="Times New Roman"/>
                <w:b/>
                <w:bCs/>
                <w:color w:val="000000"/>
              </w:rPr>
            </w:pPr>
            <w:r w:rsidRPr="005019FA">
              <w:rPr>
                <w:b/>
                <w:color w:val="000000"/>
              </w:rPr>
              <w:t>Prezentul regulament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 alineatul (1)</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4</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14</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5</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30 alineatele (1), (2) și (6); anexa X</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6</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30 alineatele (3) și (6)</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7</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23 alineatele (2), (3), (5) și (6); anexa III</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8</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23 alineatul (1) litera (a) și ultimul paragraf, alineatul (6)</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9</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30 alineatele (4) și (5)</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10</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33</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11</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12</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32</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16 alineatul (1) litera (a), alineatele (3) și (4); anexa IV</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14</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16 alineatul (1) litera (b), alineatele (2), (3) și (4); anexa V</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15</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17 alineatul (1); anexa VI partea 1</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lastRenderedPageBreak/>
              <w:t>Articolul 16</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17 alineatul (2) litera (a); anexa VI partea 2</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17</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17 alineatul (2) litera (b), alineatele (3) și (4); anexa VI partea 3</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18</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15 alineatul (2) litera (e) și al doilea paragraf</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19</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20</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21</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25 alineatul (1) litera (c), alineatele (4) și (7)</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22</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34 alineatul (1) literele (d), (e), (f), (g) și (h)</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24</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35</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25</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26</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37</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27</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28</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rsidP="00311B2A">
            <w:pPr>
              <w:spacing w:before="60" w:after="60"/>
              <w:rPr>
                <w:rFonts w:eastAsia="Times New Roman"/>
                <w:color w:val="000000"/>
              </w:rPr>
            </w:pPr>
            <w:r w:rsidRPr="005019FA">
              <w:rPr>
                <w:color w:val="000000"/>
              </w:rPr>
              <w:t>Articolul 50</w:t>
            </w:r>
          </w:p>
        </w:tc>
      </w:tr>
      <w:tr w:rsidR="00B602AA" w:rsidRPr="005019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Articolul 29</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5019FA" w:rsidRDefault="005C5300">
            <w:pPr>
              <w:spacing w:before="60" w:after="60"/>
              <w:rPr>
                <w:rFonts w:eastAsia="Times New Roman"/>
                <w:color w:val="000000"/>
              </w:rPr>
            </w:pPr>
            <w:r w:rsidRPr="005019FA">
              <w:rPr>
                <w:color w:val="000000"/>
              </w:rPr>
              <w:t>—</w:t>
            </w:r>
          </w:p>
        </w:tc>
      </w:tr>
    </w:tbl>
    <w:p w:rsidR="00B602AA" w:rsidRPr="005019FA" w:rsidRDefault="00B602AA"/>
    <w:sectPr w:rsidR="00B602AA" w:rsidRPr="005019FA" w:rsidSect="00FB71B8">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C5" w:rsidRDefault="009225C5">
      <w:pPr>
        <w:spacing w:before="0" w:after="0"/>
      </w:pPr>
      <w:r>
        <w:separator/>
      </w:r>
    </w:p>
  </w:endnote>
  <w:endnote w:type="continuationSeparator" w:id="0">
    <w:p w:rsidR="009225C5" w:rsidRDefault="009225C5">
      <w:pPr>
        <w:spacing w:before="0" w:after="0"/>
      </w:pPr>
      <w:r>
        <w:continuationSeparator/>
      </w:r>
    </w:p>
  </w:endnote>
  <w:endnote w:type="continuationNotice" w:id="1">
    <w:p w:rsidR="009225C5" w:rsidRDefault="009225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26" w:rsidRDefault="0088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59" w:rsidRPr="00FB71B8" w:rsidRDefault="00FB71B8" w:rsidP="00FB71B8">
    <w:pPr>
      <w:pStyle w:val="Footer"/>
      <w:rPr>
        <w:rFonts w:ascii="Arial" w:hAnsi="Arial" w:cs="Arial"/>
        <w:b/>
        <w:sz w:val="48"/>
      </w:rPr>
    </w:pPr>
    <w:r w:rsidRPr="00FB71B8">
      <w:rPr>
        <w:rFonts w:ascii="Arial" w:hAnsi="Arial" w:cs="Arial"/>
        <w:b/>
        <w:sz w:val="48"/>
      </w:rPr>
      <w:t>RO</w:t>
    </w:r>
    <w:r w:rsidRPr="00FB71B8">
      <w:rPr>
        <w:rFonts w:ascii="Arial" w:hAnsi="Arial" w:cs="Arial"/>
        <w:b/>
        <w:sz w:val="48"/>
      </w:rPr>
      <w:tab/>
    </w:r>
    <w:r w:rsidRPr="00FB71B8">
      <w:rPr>
        <w:rFonts w:ascii="Arial" w:hAnsi="Arial" w:cs="Arial"/>
        <w:b/>
        <w:sz w:val="48"/>
      </w:rPr>
      <w:tab/>
    </w:r>
    <w:fldSimple w:instr=" DOCVARIABLE &quot;LW_Confidence&quot; \* MERGEFORMAT ">
      <w:r>
        <w:t xml:space="preserve"> </w:t>
      </w:r>
    </w:fldSimple>
    <w:r w:rsidRPr="00FB71B8">
      <w:tab/>
    </w:r>
    <w:r w:rsidRPr="00FB71B8">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26" w:rsidRDefault="00880F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8" w:rsidRPr="00FB71B8" w:rsidRDefault="00FB71B8" w:rsidP="00FB71B8">
    <w:pPr>
      <w:pStyle w:val="Footer"/>
      <w:rPr>
        <w:rFonts w:ascii="Arial" w:hAnsi="Arial" w:cs="Arial"/>
        <w:b/>
        <w:sz w:val="48"/>
      </w:rPr>
    </w:pPr>
    <w:r w:rsidRPr="00FB71B8">
      <w:rPr>
        <w:rFonts w:ascii="Arial" w:hAnsi="Arial" w:cs="Arial"/>
        <w:b/>
        <w:sz w:val="48"/>
      </w:rPr>
      <w:t>RO</w:t>
    </w:r>
    <w:r w:rsidRPr="00FB71B8">
      <w:rPr>
        <w:rFonts w:ascii="Arial" w:hAnsi="Arial" w:cs="Arial"/>
        <w:b/>
        <w:sz w:val="48"/>
      </w:rPr>
      <w:tab/>
    </w:r>
    <w:r>
      <w:fldChar w:fldCharType="begin"/>
    </w:r>
    <w:r>
      <w:instrText xml:space="preserve"> PAGE  \* MERGEFORMAT </w:instrText>
    </w:r>
    <w:r>
      <w:fldChar w:fldCharType="separate"/>
    </w:r>
    <w:r w:rsidR="00880F26">
      <w:rPr>
        <w:noProof/>
      </w:rPr>
      <w:t>15</w:t>
    </w:r>
    <w:r>
      <w:fldChar w:fldCharType="end"/>
    </w:r>
    <w:r>
      <w:tab/>
    </w:r>
    <w:fldSimple w:instr=" DOCVARIABLE &quot;LW_Confidence&quot; \* MERGEFORMAT ">
      <w:r>
        <w:t xml:space="preserve"> </w:t>
      </w:r>
    </w:fldSimple>
    <w:r w:rsidRPr="00FB71B8">
      <w:tab/>
    </w:r>
    <w:r w:rsidRPr="00FB71B8">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8" w:rsidRPr="00FB71B8" w:rsidRDefault="00FB71B8" w:rsidP="00FB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C5" w:rsidRDefault="009225C5">
      <w:pPr>
        <w:spacing w:before="0" w:after="0"/>
      </w:pPr>
      <w:r>
        <w:separator/>
      </w:r>
    </w:p>
  </w:footnote>
  <w:footnote w:type="continuationSeparator" w:id="0">
    <w:p w:rsidR="009225C5" w:rsidRDefault="009225C5">
      <w:pPr>
        <w:spacing w:before="0" w:after="0"/>
      </w:pPr>
      <w:r>
        <w:continuationSeparator/>
      </w:r>
    </w:p>
  </w:footnote>
  <w:footnote w:type="continuationNotice" w:id="1">
    <w:p w:rsidR="009225C5" w:rsidRDefault="009225C5">
      <w:pPr>
        <w:spacing w:before="0" w:after="0"/>
      </w:pPr>
    </w:p>
  </w:footnote>
  <w:footnote w:id="2">
    <w:p w:rsidR="009225C5" w:rsidRDefault="009225C5">
      <w:pPr>
        <w:pStyle w:val="FootnoteText"/>
      </w:pPr>
      <w:r>
        <w:rPr>
          <w:rStyle w:val="FootnoteReference"/>
        </w:rPr>
        <w:footnoteRef/>
      </w:r>
      <w:r>
        <w:tab/>
        <w:t xml:space="preserve">Trebuie asigurată consecvența cu strategiile de reducere a emisiilor pe termen lung în temeiul articolului 14. </w:t>
      </w:r>
    </w:p>
  </w:footnote>
  <w:footnote w:id="3">
    <w:p w:rsidR="009225C5" w:rsidRDefault="009225C5">
      <w:pPr>
        <w:pStyle w:val="FootnoteText"/>
      </w:pPr>
      <w:r>
        <w:rPr>
          <w:rStyle w:val="FootnoteReference"/>
        </w:rPr>
        <w:footnoteRef/>
      </w:r>
      <w:r>
        <w:tab/>
        <w:t xml:space="preserve">Pentru planul care vizează perioada 2021-2030: Obiectivul național obligatoriu al statului membru pentru 2030 privind emisiile de gaze cu efect de seră în sectoarele neaflate sub incidența </w:t>
      </w:r>
      <w:proofErr w:type="spellStart"/>
      <w:r>
        <w:t>ETS</w:t>
      </w:r>
      <w:proofErr w:type="spellEnd"/>
      <w:r>
        <w:t xml:space="preserve"> și limitele anuale obligatorii stabilite conform Regulamentului [ ] [</w:t>
      </w:r>
      <w:proofErr w:type="spellStart"/>
      <w:r>
        <w:t>ESR</w:t>
      </w:r>
      <w:proofErr w:type="spellEnd"/>
      <w:r>
        <w:t>].</w:t>
      </w:r>
    </w:p>
  </w:footnote>
  <w:footnote w:id="4">
    <w:p w:rsidR="009225C5" w:rsidRDefault="009225C5">
      <w:pPr>
        <w:pStyle w:val="FootnoteText"/>
      </w:pPr>
      <w:r>
        <w:rPr>
          <w:rStyle w:val="FootnoteReference"/>
        </w:rPr>
        <w:footnoteRef/>
      </w:r>
      <w:r>
        <w:tab/>
        <w:t>Regulamentul [ ] [</w:t>
      </w:r>
      <w:proofErr w:type="spellStart"/>
      <w:r>
        <w:t>LULUCF</w:t>
      </w:r>
      <w:proofErr w:type="spellEnd"/>
      <w:r>
        <w:t>].</w:t>
      </w:r>
    </w:p>
  </w:footnote>
  <w:footnote w:id="5">
    <w:p w:rsidR="009225C5" w:rsidRDefault="009225C5">
      <w:pPr>
        <w:pStyle w:val="FootnoteText"/>
      </w:pPr>
      <w:r>
        <w:rPr>
          <w:rStyle w:val="FootnoteReference"/>
        </w:rPr>
        <w:footnoteRef/>
      </w:r>
      <w:r>
        <w:tab/>
        <w:t xml:space="preserve">Trebuie să se asigure consecvența cu planurile de acțiune preventive și cu planurile de urgență în temeiul Regulamentului [propus prin </w:t>
      </w:r>
      <w:proofErr w:type="spellStart"/>
      <w:r>
        <w:t>COM</w:t>
      </w:r>
      <w:proofErr w:type="spellEnd"/>
      <w:r>
        <w:t xml:space="preserve">(2016) 52] privind măsurile de garantare a securității aprovizionării cu gaze naturale și de abrogare a Regulamentului (UE) nr. 994/2010, precum și cu planurile de pregătire pentru riscuri în temeiul Regulamentului [propus prin </w:t>
      </w:r>
      <w:proofErr w:type="spellStart"/>
      <w:r>
        <w:t>COM</w:t>
      </w:r>
      <w:proofErr w:type="spellEnd"/>
      <w:r>
        <w:t>(2016) 862] privind pregătirea pentru riscuri în sectorul energiei electrice și de abrogare a Directivei 2005/89/CE.</w:t>
      </w:r>
    </w:p>
  </w:footnote>
  <w:footnote w:id="6">
    <w:p w:rsidR="009225C5" w:rsidRDefault="009225C5">
      <w:pPr>
        <w:pStyle w:val="FootnoteText"/>
      </w:pPr>
      <w:r>
        <w:rPr>
          <w:rStyle w:val="FootnoteReference"/>
        </w:rPr>
        <w:footnoteRef/>
      </w:r>
      <w:r>
        <w:tab/>
        <w:t>În conformitate cu Regulamentul (UE) nr. 347/2013 al Parlamentului European și al Consiliului din 17 aprilie 2013 privind liniile directoare pentru infrastructurile energetice transeuropene, de abrogare a Deciziei nr. 1364/2006/CE și de modificare a Regulamentelor (CE) nr. 713/2009, (CE) nr. 714/2009 și (CE) nr. 715/2009 (</w:t>
      </w:r>
      <w:proofErr w:type="spellStart"/>
      <w:r>
        <w:t>JO</w:t>
      </w:r>
      <w:proofErr w:type="spellEnd"/>
      <w:r>
        <w:t xml:space="preserve"> L 115, 25.4.2013, p. 39).</w:t>
      </w:r>
    </w:p>
  </w:footnote>
  <w:footnote w:id="7">
    <w:p w:rsidR="009225C5" w:rsidRDefault="009225C5">
      <w:pPr>
        <w:pStyle w:val="FootnoteText"/>
      </w:pPr>
      <w:r>
        <w:rPr>
          <w:rStyle w:val="FootnoteReference"/>
        </w:rPr>
        <w:footnoteRef/>
      </w:r>
      <w:r>
        <w:tab/>
        <w:t xml:space="preserve">La planificarea acestor măsuri, statele membre iau în considerare sfârșitul duratei de viață a instalațiilor existente și potențialul de </w:t>
      </w:r>
      <w:proofErr w:type="spellStart"/>
      <w:r>
        <w:rPr>
          <w:i/>
        </w:rPr>
        <w:t>repowering</w:t>
      </w:r>
      <w:proofErr w:type="spellEnd"/>
      <w:r>
        <w:t>.</w:t>
      </w:r>
    </w:p>
  </w:footnote>
  <w:footnote w:id="8">
    <w:p w:rsidR="009225C5" w:rsidRDefault="009225C5">
      <w:pPr>
        <w:pStyle w:val="FootnoteText"/>
      </w:pPr>
      <w:r>
        <w:rPr>
          <w:rStyle w:val="FootnoteReference"/>
        </w:rPr>
        <w:footnoteRef/>
      </w:r>
      <w:r>
        <w:tab/>
        <w:t>În conformitate cu articolul </w:t>
      </w:r>
      <w:proofErr w:type="spellStart"/>
      <w:r>
        <w:t>2a</w:t>
      </w:r>
      <w:proofErr w:type="spellEnd"/>
      <w:r>
        <w:t xml:space="preserve"> din Directiva 2010/31/UE [versiunea modificată în conformitate cu propunerea </w:t>
      </w:r>
      <w:proofErr w:type="spellStart"/>
      <w:r>
        <w:t>COM</w:t>
      </w:r>
      <w:proofErr w:type="spellEnd"/>
      <w:r>
        <w:t>(2016)765].</w:t>
      </w:r>
    </w:p>
  </w:footnote>
  <w:footnote w:id="9">
    <w:p w:rsidR="009225C5" w:rsidRDefault="009225C5">
      <w:pPr>
        <w:pStyle w:val="FootnoteText"/>
      </w:pPr>
      <w:r>
        <w:rPr>
          <w:rStyle w:val="FootnoteReference"/>
        </w:rPr>
        <w:footnoteRef/>
      </w:r>
      <w:r>
        <w:tab/>
        <w:t>În conformitate cu articolul 18 din Directiva 2012/27/UE.</w:t>
      </w:r>
    </w:p>
  </w:footnote>
  <w:footnote w:id="10">
    <w:p w:rsidR="009225C5" w:rsidRDefault="009225C5">
      <w:pPr>
        <w:pStyle w:val="FootnoteText"/>
      </w:pPr>
      <w:r>
        <w:rPr>
          <w:rStyle w:val="FootnoteReference"/>
        </w:rPr>
        <w:footnoteRef/>
      </w:r>
      <w:r>
        <w:tab/>
        <w:t>În conformitate cu articolul 8 din Directiva 2012/27/UE.</w:t>
      </w:r>
    </w:p>
  </w:footnote>
  <w:footnote w:id="11">
    <w:p w:rsidR="009225C5" w:rsidRDefault="009225C5">
      <w:pPr>
        <w:pStyle w:val="FootnoteText"/>
      </w:pPr>
      <w:r>
        <w:rPr>
          <w:rStyle w:val="FootnoteReference"/>
        </w:rPr>
        <w:footnoteRef/>
      </w:r>
      <w:r>
        <w:tab/>
        <w:t>În conformitate cu articolele 12 și 17 din Directiva 2012/27/UE.</w:t>
      </w:r>
    </w:p>
  </w:footnote>
  <w:footnote w:id="12">
    <w:p w:rsidR="009225C5" w:rsidRDefault="009225C5">
      <w:pPr>
        <w:pStyle w:val="FootnoteText"/>
      </w:pPr>
      <w:r>
        <w:rPr>
          <w:rStyle w:val="FootnoteReference"/>
        </w:rPr>
        <w:footnoteRef/>
      </w:r>
      <w:r>
        <w:tab/>
        <w:t>În conformitate cu articolul 19 din Directiva 2012/27/UE.</w:t>
      </w:r>
    </w:p>
  </w:footnote>
  <w:footnote w:id="13">
    <w:p w:rsidR="009225C5" w:rsidRDefault="009225C5">
      <w:pPr>
        <w:pStyle w:val="FootnoteText"/>
      </w:pPr>
      <w:r>
        <w:rPr>
          <w:rStyle w:val="FootnoteReference"/>
        </w:rPr>
        <w:footnoteRef/>
      </w:r>
      <w:r>
        <w:tab/>
        <w:t>În conformitate cu articolul 15 alineatul (2) din Directiva 2012/27/UE.</w:t>
      </w:r>
    </w:p>
  </w:footnote>
  <w:footnote w:id="14">
    <w:p w:rsidR="009225C5" w:rsidRDefault="009225C5">
      <w:pPr>
        <w:pStyle w:val="FootnoteText"/>
      </w:pPr>
      <w:r>
        <w:rPr>
          <w:rStyle w:val="FootnoteReference"/>
        </w:rPr>
        <w:footnoteRef/>
      </w:r>
      <w:r>
        <w:tab/>
        <w:t>Politicile și măsurile trebuie să reflecte principiul „eficiența energetică pe primul loc”.</w:t>
      </w:r>
    </w:p>
  </w:footnote>
  <w:footnote w:id="15">
    <w:p w:rsidR="009225C5" w:rsidRDefault="009225C5">
      <w:pPr>
        <w:pStyle w:val="FootnoteText"/>
      </w:pPr>
      <w:r>
        <w:rPr>
          <w:rStyle w:val="FootnoteReference"/>
        </w:rPr>
        <w:footnoteRef/>
      </w:r>
      <w:r>
        <w:tab/>
        <w:t xml:space="preserve">Trebuie să se asigure consecvența cu planurile de acțiune preventive și cu planurile de urgență în temeiul Regulamentului [propus prin </w:t>
      </w:r>
      <w:proofErr w:type="spellStart"/>
      <w:r>
        <w:t>COM</w:t>
      </w:r>
      <w:proofErr w:type="spellEnd"/>
      <w:r>
        <w:t xml:space="preserve">(2016) 52] privind măsurile de garantare a securității aprovizionării cu gaze naturale și de abrogare a Regulamentului (UE) nr. 994/2010, precum și cu planurile de pregătire pentru riscuri în temeiul Regulamentului [propus prin </w:t>
      </w:r>
      <w:proofErr w:type="spellStart"/>
      <w:r>
        <w:t>COM</w:t>
      </w:r>
      <w:proofErr w:type="spellEnd"/>
      <w:r>
        <w:t>(2016) 862] privind pregătirea pentru riscuri în sectorul energiei electrice și de abrogare a Directivei 2005/89/CE.</w:t>
      </w:r>
    </w:p>
  </w:footnote>
  <w:footnote w:id="16">
    <w:p w:rsidR="009225C5" w:rsidRDefault="009225C5">
      <w:pPr>
        <w:pStyle w:val="FootnoteText"/>
      </w:pPr>
      <w:r>
        <w:rPr>
          <w:rStyle w:val="FootnoteReference"/>
        </w:rPr>
        <w:footnoteRef/>
      </w:r>
      <w:r>
        <w:tab/>
        <w:t>Politicile și măsurile trebuie să reflecte principiul „eficiența energetică pe primul loc”.</w:t>
      </w:r>
    </w:p>
  </w:footnote>
  <w:footnote w:id="17">
    <w:p w:rsidR="009225C5" w:rsidRDefault="009225C5">
      <w:pPr>
        <w:pStyle w:val="FootnoteText"/>
      </w:pPr>
      <w:r>
        <w:rPr>
          <w:rStyle w:val="FootnoteReference"/>
        </w:rPr>
        <w:footnoteRef/>
      </w:r>
      <w:r>
        <w:tab/>
        <w:t>În afara grupurilor regionale pentru proiecte de interes comun, instituite în temeiul Regulamentului (UE) nr. 347/2013.</w:t>
      </w:r>
    </w:p>
  </w:footnote>
  <w:footnote w:id="18">
    <w:p w:rsidR="009225C5" w:rsidRDefault="009225C5">
      <w:pPr>
        <w:pStyle w:val="FootnoteText"/>
      </w:pPr>
      <w:r>
        <w:rPr>
          <w:rStyle w:val="FootnoteReference"/>
        </w:rPr>
        <w:footnoteRef/>
      </w:r>
      <w:r>
        <w:tab/>
        <w:t>În afara grupurilor regionale pentru proiecte de interes comun, instituite în temeiul Regulamentului (UE) nr. 347/2013.</w:t>
      </w:r>
    </w:p>
  </w:footnote>
  <w:footnote w:id="19">
    <w:p w:rsidR="009225C5" w:rsidRDefault="009225C5">
      <w:pPr>
        <w:pStyle w:val="FootnoteText"/>
      </w:pPr>
      <w:r>
        <w:rPr>
          <w:rStyle w:val="FootnoteReference"/>
        </w:rPr>
        <w:footnoteRef/>
      </w:r>
      <w:r>
        <w:tab/>
        <w:t xml:space="preserve">În conformitate cu [Directiva 2009/72/CE reformată propusă prin </w:t>
      </w:r>
      <w:proofErr w:type="spellStart"/>
      <w:r>
        <w:t>COM</w:t>
      </w:r>
      <w:proofErr w:type="spellEnd"/>
      <w:r>
        <w:t xml:space="preserve">(2016) 864 și cu Regulamentul (CE) nr. 714/2009 reformat propus prin </w:t>
      </w:r>
      <w:proofErr w:type="spellStart"/>
      <w:r>
        <w:t>COM</w:t>
      </w:r>
      <w:proofErr w:type="spellEnd"/>
      <w:r>
        <w:t>(2016) 861]</w:t>
      </w:r>
    </w:p>
  </w:footnote>
  <w:footnote w:id="20">
    <w:p w:rsidR="009225C5" w:rsidRDefault="009225C5">
      <w:pPr>
        <w:pStyle w:val="FootnoteText"/>
      </w:pPr>
      <w:r>
        <w:rPr>
          <w:rStyle w:val="FootnoteReference"/>
        </w:rPr>
        <w:footnoteRef/>
      </w:r>
      <w:r>
        <w:tab/>
        <w:t>În conformitate cu articolul 15 alineatul (8) din Directiva 2012/27/UE.</w:t>
      </w:r>
    </w:p>
  </w:footnote>
  <w:footnote w:id="21">
    <w:p w:rsidR="009225C5" w:rsidRDefault="009225C5">
      <w:pPr>
        <w:pStyle w:val="FootnoteText"/>
      </w:pPr>
      <w:r>
        <w:rPr>
          <w:rStyle w:val="FootnoteReference"/>
        </w:rPr>
        <w:footnoteRef/>
      </w:r>
      <w:r>
        <w:tab/>
        <w:t>A se vedea partea 2 pentru o listă detaliată a parametrilor și a variabilelor care trebuie raportate în secțiunea B a planului.</w:t>
      </w:r>
    </w:p>
  </w:footnote>
  <w:footnote w:id="22">
    <w:p w:rsidR="009225C5" w:rsidRDefault="009225C5">
      <w:pPr>
        <w:pStyle w:val="FootnoteText"/>
      </w:pPr>
      <w:r>
        <w:rPr>
          <w:rStyle w:val="FootnoteReference"/>
        </w:rPr>
        <w:footnoteRef/>
      </w:r>
      <w:r>
        <w:tab/>
        <w:t xml:space="preserve">Situația actuală trebuie să reflecte data prezentării planului național (sau cea mai recentă dată disponibilă). Politicile și măsurile existente cuprind politici și măsuri puse în aplicare și adoptate. Politicile și măsurile adoptate sunt cele pentru care a fost luată o decizie guvernamentală oficială până la data prezentării planului național și pentru care există un angajament clar de a proceda la punerea în aplicare. Politicile și măsurile puse în aplicare sunt cele pentru care, la data prezentării planului național sau a raportului intermediar, se aplică una sau mai multe dintre următoarele situații: legislația națională sau legislația europeană direct aplicabilă este în vigoare, au fost stabilite unul sau mai multe acorduri voluntare, au fost alocate resurse financiare, au fost mobilizate resurse umane. </w:t>
      </w:r>
    </w:p>
  </w:footnote>
  <w:footnote w:id="23">
    <w:p w:rsidR="009225C5" w:rsidRDefault="009225C5">
      <w:pPr>
        <w:pStyle w:val="FootnoteText"/>
      </w:pPr>
      <w:r>
        <w:rPr>
          <w:rStyle w:val="FootnoteReference"/>
        </w:rPr>
        <w:footnoteRef/>
      </w:r>
      <w:r>
        <w:tab/>
        <w:t>Selectarea factorilor exogeni poate fi bazată pe ipotezele formulate în scenariul de referință al UE pentru 2016 sau în alte scenarii de politică ulterioare pentru aceleași variabile În plus, rezultatele specifice ale statelor membre din scenariul de referință al UE pentru 2016, precum și rezultatele scenariilor de politică ulterioare ar putea constitui, de asemenea, o sursă utilă de informații pentru elaborarea previziunilor naționale în contextul politicilor și măsurilor existente și a evaluărilor de impact.</w:t>
      </w:r>
    </w:p>
  </w:footnote>
  <w:footnote w:id="24">
    <w:p w:rsidR="009225C5" w:rsidRDefault="009225C5">
      <w:pPr>
        <w:pStyle w:val="FootnoteText"/>
      </w:pPr>
      <w:r>
        <w:rPr>
          <w:rStyle w:val="FootnoteReference"/>
        </w:rPr>
        <w:footnoteRef/>
      </w:r>
      <w:r>
        <w:tab/>
        <w:t>În conformitate cu articolul 14 alineatul (1) din Directiva 2012/27/UE.</w:t>
      </w:r>
    </w:p>
  </w:footnote>
  <w:footnote w:id="25">
    <w:p w:rsidR="009225C5" w:rsidRDefault="009225C5">
      <w:pPr>
        <w:pStyle w:val="FootnoteText"/>
      </w:pPr>
      <w:r>
        <w:rPr>
          <w:rStyle w:val="FootnoteReference"/>
        </w:rPr>
        <w:footnoteRef/>
      </w:r>
      <w:r>
        <w:tab/>
        <w:t>Această previziune statu-quo de referință constituie baza obiectivului privind consumul primar și final de energie pentru 2030 care este descris la punctul 2.3 și a factorilor de conversie.</w:t>
      </w:r>
    </w:p>
  </w:footnote>
  <w:footnote w:id="26">
    <w:p w:rsidR="009225C5" w:rsidRDefault="009225C5">
      <w:pPr>
        <w:pStyle w:val="FootnoteText"/>
      </w:pPr>
      <w:r>
        <w:rPr>
          <w:rStyle w:val="FootnoteReference"/>
        </w:rPr>
        <w:footnoteRef/>
      </w:r>
      <w:r>
        <w:tab/>
        <w:t>Cu referire la prezentări generale ale infrastructurii de transport existente realizate de operatorii de sisteme de transport (OST).</w:t>
      </w:r>
    </w:p>
  </w:footnote>
  <w:footnote w:id="27">
    <w:p w:rsidR="009225C5" w:rsidRDefault="009225C5">
      <w:pPr>
        <w:pStyle w:val="FootnoteText"/>
      </w:pPr>
      <w:r>
        <w:rPr>
          <w:rStyle w:val="FootnoteReference"/>
        </w:rPr>
        <w:footnoteRef/>
      </w:r>
      <w:r>
        <w:tab/>
        <w:t>Cu referire la planurile naționale de dezvoltare a rețelelor și la planurile regionale de investiții ale OST.</w:t>
      </w:r>
    </w:p>
  </w:footnote>
  <w:footnote w:id="28">
    <w:p w:rsidR="009225C5" w:rsidRDefault="009225C5">
      <w:pPr>
        <w:pStyle w:val="FootnoteText"/>
      </w:pPr>
      <w:r>
        <w:rPr>
          <w:rStyle w:val="FootnoteReference"/>
        </w:rPr>
        <w:footnoteRef/>
      </w:r>
      <w:r>
        <w:tab/>
        <w:t>Cu referire la prezentări generale ale infrastructurii de transport existente realizate de OST.</w:t>
      </w:r>
    </w:p>
  </w:footnote>
  <w:footnote w:id="29">
    <w:p w:rsidR="009225C5" w:rsidRDefault="009225C5">
      <w:pPr>
        <w:pStyle w:val="FootnoteText"/>
      </w:pPr>
      <w:r>
        <w:rPr>
          <w:rStyle w:val="FootnoteReference"/>
        </w:rPr>
        <w:footnoteRef/>
      </w:r>
      <w:r>
        <w:tab/>
        <w:t>Cu referire la planurile naționale de dezvoltare a rețelelor și la planurile regionale de investiții ale OST.</w:t>
      </w:r>
    </w:p>
  </w:footnote>
  <w:footnote w:id="30">
    <w:p w:rsidR="009225C5" w:rsidRDefault="009225C5">
      <w:pPr>
        <w:pStyle w:val="FootnoteText"/>
      </w:pPr>
      <w:r>
        <w:rPr>
          <w:rStyle w:val="FootnoteReference"/>
        </w:rPr>
        <w:footnoteRef/>
      </w:r>
      <w:r>
        <w:tab/>
        <w:t>Politicile și măsurile planificate sunt opțiuni aflate în discuție care au o șansă reală de a fi adoptate și puse în aplicare după data prezentării planului național. Prin urmare, previziunile rezultate în temeiul punctului 5.1. subpunctul (i) trebuie să includă nu numai politici și măsuri adoptate și puse în aplicare (previziuni în contextul politicilor și măsurilor existente), ci și politici și măsuri planificate.</w:t>
      </w:r>
    </w:p>
  </w:footnote>
  <w:footnote w:id="31">
    <w:p w:rsidR="009225C5" w:rsidRDefault="009225C5">
      <w:pPr>
        <w:pStyle w:val="FootnoteText"/>
      </w:pPr>
      <w:r>
        <w:rPr>
          <w:rStyle w:val="FootnoteReference"/>
        </w:rPr>
        <w:footnoteRef/>
      </w:r>
      <w:r>
        <w:tab/>
        <w:t xml:space="preserve">Directiva [propusă prin </w:t>
      </w:r>
      <w:proofErr w:type="spellStart"/>
      <w:r>
        <w:t>COM</w:t>
      </w:r>
      <w:proofErr w:type="spellEnd"/>
      <w:r>
        <w:t>/2013/0920] privind reducerea emisiilor naționale de anumiți poluanți atmosferici, de modificare a Directivei 2003/35/CE și de abrogare a Directivei 2001/81/CE.</w:t>
      </w:r>
    </w:p>
  </w:footnote>
  <w:footnote w:id="32">
    <w:p w:rsidR="009225C5" w:rsidRDefault="009225C5">
      <w:pPr>
        <w:pStyle w:val="FootnoteText"/>
      </w:pPr>
      <w:r>
        <w:rPr>
          <w:rStyle w:val="FootnoteReference"/>
        </w:rPr>
        <w:footnoteRef/>
      </w:r>
      <w:r>
        <w:tab/>
        <w:t xml:space="preserve">Pentru planul referitor la perioada 2021-2030: pentru fiecare parametru/variabilă din listă trebuie raportate, atât în secțiunea 4, cât și în secțiunea 5, tendințele în perioada 2005-2040 (2005-2050 dacă este cazul), inclusiv pentru anul 2030, în intervale de cinci ani. Trebuie indicat un parametru bazat pe ipoteze exogene în raport cu rezultatele modelării. </w:t>
      </w:r>
    </w:p>
  </w:footnote>
  <w:footnote w:id="33">
    <w:p w:rsidR="009225C5" w:rsidRDefault="009225C5">
      <w:pPr>
        <w:pStyle w:val="FootnoteText"/>
      </w:pPr>
      <w:r>
        <w:rPr>
          <w:rStyle w:val="FootnoteReference"/>
        </w:rPr>
        <w:footnoteRef/>
      </w:r>
      <w:r>
        <w:tab/>
        <w:t xml:space="preserve">În măsura posibilului, datele și previziunile raportate trebuie să se bazeze pe și să fie consecvente cu datele și metodologia </w:t>
      </w:r>
      <w:proofErr w:type="spellStart"/>
      <w:r>
        <w:t>EUROSTAT</w:t>
      </w:r>
      <w:proofErr w:type="spellEnd"/>
      <w:r>
        <w:t xml:space="preserve"> utilizate pentru raportarea statisticilor europene în actele legislative sectoriale respective, deoarece statisticile europene constituie sursa primară a datelor statistice utilizate pentru raportare și monitorizare, în conformitate cu Regulamentul (CE) nr. 223/2009 privind statisticile europene.</w:t>
      </w:r>
    </w:p>
  </w:footnote>
  <w:footnote w:id="34">
    <w:p w:rsidR="009225C5" w:rsidRDefault="009225C5">
      <w:pPr>
        <w:pStyle w:val="FootnoteText"/>
      </w:pPr>
      <w:r>
        <w:rPr>
          <w:rStyle w:val="FootnoteReference"/>
        </w:rPr>
        <w:footnoteRef/>
      </w:r>
      <w:r>
        <w:tab/>
        <w:t>Notă: toate previziunile trebuie realizate pe baza prețurilor constante (prețuri din 2016 utilizate ca an de referință)</w:t>
      </w:r>
    </w:p>
  </w:footnote>
  <w:footnote w:id="35">
    <w:p w:rsidR="009225C5" w:rsidRDefault="009225C5">
      <w:pPr>
        <w:pStyle w:val="FootnoteText"/>
      </w:pPr>
      <w:r>
        <w:rPr>
          <w:rStyle w:val="FootnoteReference"/>
        </w:rPr>
        <w:footnoteRef/>
      </w:r>
      <w:r>
        <w:tab/>
        <w:t xml:space="preserve">Comisia va furniza recomandări privind parametrii esențiali pentru previziuni, referitori cel puțin la prețurile de import pentru petrol, gaz și cărbune, precum și la prețurile dioxidului de carbon în cadrul EU </w:t>
      </w:r>
      <w:proofErr w:type="spellStart"/>
      <w:r>
        <w:t>ETS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26" w:rsidRDefault="00880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26" w:rsidRDefault="00880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26" w:rsidRDefault="00880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GrammaticalErrors/>
  <w:proofState w:spelling="clean"/>
  <w:attachedTemplate r:id="rId1"/>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2 16:13: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3"/>
    <w:docVar w:name="DQCStatus" w:val="Green"/>
    <w:docVar w:name="DQCVersion" w:val="3"/>
    <w:docVar w:name="DQCWithWarnings" w:val="0"/>
    <w:docVar w:name="LW_ACCOMPAGNANT" w:val="la"/>
    <w:docVar w:name="LW_ACCOMPAGNANT.CP" w:val="la"/>
    <w:docVar w:name="LW_ANNEX_NBR_FIRST" w:val="1"/>
    <w:docVar w:name="LW_ANNEX_NBR_LAST" w:val="11"/>
    <w:docVar w:name="LW_CONFIDENCE" w:val=" "/>
    <w:docVar w:name="LW_CONST_RESTREINT_UE" w:val="RESTREINT UE/EU RESTRICTED"/>
    <w:docVar w:name="LW_CORRIGENDUM" w:val="CORRIGENDUM_x000b_This document corrects Annexes 1 to 11 of COM (2016) 759 final of 30.11.2016_x000b_Concerns all language versions._x000b_The text shall read as follows:"/>
    <w:docVar w:name="LW_COVERPAGE_GUID" w:val="C454DAE0744C4645B405CF31F9BBA684"/>
    <w:docVar w:name="LW_CROSSREFERENCE" w:val="{SWD(2016) 394 final}_x000a_{SWD(2016) 395 final}_x000a_{SWD(2016) 396 final}_x000a_{SWD(2016) 397 final}"/>
    <w:docVar w:name="LW_DocType" w:val="ANNEX"/>
    <w:docVar w:name="LW_EMISSION" w:val="23.2.2017"/>
    <w:docVar w:name="LW_EMISSION_ISODATE" w:val="2017-02-23"/>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CP" w:val="&lt;UNUSED&gt;"/>
    <w:docVar w:name="LW_PART_NBR" w:val="&lt;UNUSED&gt;"/>
    <w:docVar w:name="LW_PART_NBR_TOTAL" w:val="&lt;UNUSED&gt;"/>
    <w:docVar w:name="LW_REF.INST.NEW" w:val="COM"/>
    <w:docVar w:name="LW_REF.INST.NEW_ADOPTED" w:val="&lt;EMPTY&gt;"/>
    <w:docVar w:name="LW_REF.INST.NEW_TEXT" w:val="(2016) 759 final/2"/>
    <w:docVar w:name="LW_REF.INTERNE" w:val="&lt;UNUSED&gt;"/>
    <w:docVar w:name="LW_SUPERTITRE" w:val="&lt;UNUSED&gt;"/>
    <w:docVar w:name="LW_TITRE.OBJ.CP" w:val="&lt;UNUSED&gt;"/>
    <w:docVar w:name="LW_TYPE.DOC" w:val="ANEXE"/>
    <w:docVar w:name="LW_TYPE.DOC.CP" w:val="ANEXE"/>
    <w:docVar w:name="LW_TYPEACTEPRINCIPAL" w:val="Propunerea de REGULAMENT AL PARLAMENTULUI EUROPEAN \u536?I AL CONSILIULUI_x000b__x000b_privind guvernan\u539?a uniunii energetice,_x000b__x000b_de modificare a Directivei 94/22/CE, a Directivei 98/70/CE, a Directivei 2009/31/CE, a Regulamentului (CE) nr. 663/2009, a Regulamentului (CE) nr. 715/2009, a Directivei 2009/73/CE, a Directivei 2009/119/CE a Consiliului, a Directivei 2010/31/UE, a Directivei 2012/27/UE, a Directivei 2013/30/UE \u537?i a Directivei (UE) 2015/652 a Consiliului \u537?i de abrogare a Regulamentului (UE) nr. 525/2013"/>
    <w:docVar w:name="LW_TYPEACTEPRINCIPAL.CP" w:val="Propunerea de REGULAMENT AL PARLAMENTULUI EUROPEAN \u536?I AL CONSILIULUI_x000b__x000b_privind guvernan\u539?a uniunii energetice,_x000b__x000b_de modificare a Directivei 94/22/CE, a Directivei 98/70/CE, a Directivei 2009/31/CE, a Regulamentului (CE) nr. 663/2009, a Regulamentului (CE) nr. 715/2009, a Directivei 2009/73/CE, a Directivei 2009/119/CE a Consiliului, a Directivei 2010/31/UE, a Directivei 2012/27/UE, a Directivei 2013/30/UE \u537?i a Directivei (UE) 2015/652 a Consiliului \u537?i de abrogare a Regulamentului (UE) nr. 525/2013"/>
  </w:docVars>
  <w:rsids>
    <w:rsidRoot w:val="00B602AA"/>
    <w:rsid w:val="00013786"/>
    <w:rsid w:val="000307EC"/>
    <w:rsid w:val="0003724E"/>
    <w:rsid w:val="00056BCA"/>
    <w:rsid w:val="00061A4F"/>
    <w:rsid w:val="00082A59"/>
    <w:rsid w:val="000A3DF6"/>
    <w:rsid w:val="000B770C"/>
    <w:rsid w:val="000C156B"/>
    <w:rsid w:val="000C2904"/>
    <w:rsid w:val="000D3F38"/>
    <w:rsid w:val="000E20EA"/>
    <w:rsid w:val="000F5C4C"/>
    <w:rsid w:val="00105E94"/>
    <w:rsid w:val="001159C7"/>
    <w:rsid w:val="00161040"/>
    <w:rsid w:val="00165FED"/>
    <w:rsid w:val="001822A5"/>
    <w:rsid w:val="001855A2"/>
    <w:rsid w:val="00190BEB"/>
    <w:rsid w:val="00191FE4"/>
    <w:rsid w:val="001C19C5"/>
    <w:rsid w:val="001C3722"/>
    <w:rsid w:val="001E5F53"/>
    <w:rsid w:val="002034E3"/>
    <w:rsid w:val="002258B1"/>
    <w:rsid w:val="00242DF9"/>
    <w:rsid w:val="002448BD"/>
    <w:rsid w:val="00246BC9"/>
    <w:rsid w:val="002506EA"/>
    <w:rsid w:val="002531D2"/>
    <w:rsid w:val="00254736"/>
    <w:rsid w:val="002A16BD"/>
    <w:rsid w:val="002A64C6"/>
    <w:rsid w:val="002D6984"/>
    <w:rsid w:val="002E4624"/>
    <w:rsid w:val="002F134F"/>
    <w:rsid w:val="00311B2A"/>
    <w:rsid w:val="00314BE6"/>
    <w:rsid w:val="00323EB0"/>
    <w:rsid w:val="00326776"/>
    <w:rsid w:val="00333182"/>
    <w:rsid w:val="003416DE"/>
    <w:rsid w:val="00345A27"/>
    <w:rsid w:val="00350845"/>
    <w:rsid w:val="00352F77"/>
    <w:rsid w:val="00354A55"/>
    <w:rsid w:val="00361769"/>
    <w:rsid w:val="0038011E"/>
    <w:rsid w:val="00390E1C"/>
    <w:rsid w:val="003A593D"/>
    <w:rsid w:val="003B1178"/>
    <w:rsid w:val="0041420D"/>
    <w:rsid w:val="00416707"/>
    <w:rsid w:val="00420714"/>
    <w:rsid w:val="00423E09"/>
    <w:rsid w:val="00432D5C"/>
    <w:rsid w:val="004717AE"/>
    <w:rsid w:val="004B0E8B"/>
    <w:rsid w:val="004D60E3"/>
    <w:rsid w:val="005019FA"/>
    <w:rsid w:val="005047EB"/>
    <w:rsid w:val="00514B72"/>
    <w:rsid w:val="00531571"/>
    <w:rsid w:val="0056435C"/>
    <w:rsid w:val="0057769C"/>
    <w:rsid w:val="005937D2"/>
    <w:rsid w:val="00593F88"/>
    <w:rsid w:val="0059665A"/>
    <w:rsid w:val="005A4528"/>
    <w:rsid w:val="005A6303"/>
    <w:rsid w:val="005C5300"/>
    <w:rsid w:val="005C6C9B"/>
    <w:rsid w:val="005F5090"/>
    <w:rsid w:val="0060461B"/>
    <w:rsid w:val="00641C77"/>
    <w:rsid w:val="0064477E"/>
    <w:rsid w:val="00645948"/>
    <w:rsid w:val="00680C76"/>
    <w:rsid w:val="00690D8E"/>
    <w:rsid w:val="006952F8"/>
    <w:rsid w:val="006A389C"/>
    <w:rsid w:val="006A3BE2"/>
    <w:rsid w:val="006A515C"/>
    <w:rsid w:val="006A68DC"/>
    <w:rsid w:val="006C1DC1"/>
    <w:rsid w:val="006F1AA6"/>
    <w:rsid w:val="006F5418"/>
    <w:rsid w:val="00725278"/>
    <w:rsid w:val="00727630"/>
    <w:rsid w:val="00730115"/>
    <w:rsid w:val="00734C53"/>
    <w:rsid w:val="00737574"/>
    <w:rsid w:val="0074151D"/>
    <w:rsid w:val="0074700A"/>
    <w:rsid w:val="00761EAA"/>
    <w:rsid w:val="00763688"/>
    <w:rsid w:val="00766871"/>
    <w:rsid w:val="007826D8"/>
    <w:rsid w:val="007A4EE5"/>
    <w:rsid w:val="007D4FC2"/>
    <w:rsid w:val="007D6D30"/>
    <w:rsid w:val="007E3190"/>
    <w:rsid w:val="007F4A37"/>
    <w:rsid w:val="00806246"/>
    <w:rsid w:val="00807AE7"/>
    <w:rsid w:val="008100CA"/>
    <w:rsid w:val="00826E7F"/>
    <w:rsid w:val="00833E45"/>
    <w:rsid w:val="008345F3"/>
    <w:rsid w:val="00851EC1"/>
    <w:rsid w:val="008603CA"/>
    <w:rsid w:val="00872307"/>
    <w:rsid w:val="00880F26"/>
    <w:rsid w:val="008D7EF2"/>
    <w:rsid w:val="008E1FC5"/>
    <w:rsid w:val="009052F7"/>
    <w:rsid w:val="0091461A"/>
    <w:rsid w:val="009225C5"/>
    <w:rsid w:val="00926B0E"/>
    <w:rsid w:val="0093244E"/>
    <w:rsid w:val="0094732C"/>
    <w:rsid w:val="0095068B"/>
    <w:rsid w:val="00961B17"/>
    <w:rsid w:val="00964A5C"/>
    <w:rsid w:val="00972E62"/>
    <w:rsid w:val="00982E16"/>
    <w:rsid w:val="009A6455"/>
    <w:rsid w:val="009C1F0A"/>
    <w:rsid w:val="009C29BC"/>
    <w:rsid w:val="009D1066"/>
    <w:rsid w:val="009D131B"/>
    <w:rsid w:val="009E3668"/>
    <w:rsid w:val="00A30BBD"/>
    <w:rsid w:val="00A32224"/>
    <w:rsid w:val="00A67516"/>
    <w:rsid w:val="00AA1455"/>
    <w:rsid w:val="00AB004B"/>
    <w:rsid w:val="00AC47E5"/>
    <w:rsid w:val="00AD32E9"/>
    <w:rsid w:val="00AD5622"/>
    <w:rsid w:val="00AF1BEB"/>
    <w:rsid w:val="00AF70ED"/>
    <w:rsid w:val="00B065DA"/>
    <w:rsid w:val="00B12809"/>
    <w:rsid w:val="00B16232"/>
    <w:rsid w:val="00B200B9"/>
    <w:rsid w:val="00B3755D"/>
    <w:rsid w:val="00B37E28"/>
    <w:rsid w:val="00B44153"/>
    <w:rsid w:val="00B4608C"/>
    <w:rsid w:val="00B5323C"/>
    <w:rsid w:val="00B532D7"/>
    <w:rsid w:val="00B602AA"/>
    <w:rsid w:val="00B75BF4"/>
    <w:rsid w:val="00B808F1"/>
    <w:rsid w:val="00B80D97"/>
    <w:rsid w:val="00B82259"/>
    <w:rsid w:val="00BA0217"/>
    <w:rsid w:val="00BA587A"/>
    <w:rsid w:val="00BC1BFE"/>
    <w:rsid w:val="00BC2374"/>
    <w:rsid w:val="00BD4A85"/>
    <w:rsid w:val="00BE4A3C"/>
    <w:rsid w:val="00BE7295"/>
    <w:rsid w:val="00BF2DA5"/>
    <w:rsid w:val="00BF710E"/>
    <w:rsid w:val="00C014EE"/>
    <w:rsid w:val="00C01BCA"/>
    <w:rsid w:val="00C228F3"/>
    <w:rsid w:val="00C232E4"/>
    <w:rsid w:val="00C315D6"/>
    <w:rsid w:val="00C72359"/>
    <w:rsid w:val="00C73D29"/>
    <w:rsid w:val="00C75232"/>
    <w:rsid w:val="00C773FC"/>
    <w:rsid w:val="00C96986"/>
    <w:rsid w:val="00C9757F"/>
    <w:rsid w:val="00CE583F"/>
    <w:rsid w:val="00CE668D"/>
    <w:rsid w:val="00D267D3"/>
    <w:rsid w:val="00D6240D"/>
    <w:rsid w:val="00D732E5"/>
    <w:rsid w:val="00D919F1"/>
    <w:rsid w:val="00DB3BC3"/>
    <w:rsid w:val="00DC25A4"/>
    <w:rsid w:val="00DC5DF2"/>
    <w:rsid w:val="00DF00E9"/>
    <w:rsid w:val="00E059B8"/>
    <w:rsid w:val="00E071B7"/>
    <w:rsid w:val="00E2127F"/>
    <w:rsid w:val="00E272B7"/>
    <w:rsid w:val="00E34709"/>
    <w:rsid w:val="00E47607"/>
    <w:rsid w:val="00E627DF"/>
    <w:rsid w:val="00E662AA"/>
    <w:rsid w:val="00E674DB"/>
    <w:rsid w:val="00E75D19"/>
    <w:rsid w:val="00E76C75"/>
    <w:rsid w:val="00EA5CA5"/>
    <w:rsid w:val="00EF100B"/>
    <w:rsid w:val="00F01651"/>
    <w:rsid w:val="00F10BAE"/>
    <w:rsid w:val="00F31E55"/>
    <w:rsid w:val="00F36410"/>
    <w:rsid w:val="00F7254E"/>
    <w:rsid w:val="00F763F5"/>
    <w:rsid w:val="00F77D64"/>
    <w:rsid w:val="00FB71B8"/>
    <w:rsid w:val="00FD388C"/>
    <w:rsid w:val="00FE6B9E"/>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ro-RO"/>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ro-RO"/>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ro-RO"/>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ro-RO"/>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2.xml><?xml version="1.0" encoding="utf-8"?>
<ds:datastoreItem xmlns:ds="http://schemas.openxmlformats.org/officeDocument/2006/customXml" ds:itemID="{8782B64F-40F6-4004-9CEC-6EFEA29ACD56}">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44F82E-8027-4A6A-9474-46C9B9E7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Pages>
  <Words>10693</Words>
  <Characters>64686</Characters>
  <Application>Microsoft Office Word</Application>
  <DocSecurity>0</DocSecurity>
  <Lines>1272</Lines>
  <Paragraphs>580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Reviewer</cp:lastModifiedBy>
  <cp:revision>3</cp:revision>
  <cp:lastPrinted>2017-02-03T18:06:00Z</cp:lastPrinted>
  <dcterms:created xsi:type="dcterms:W3CDTF">2017-03-02T15:13:00Z</dcterms:created>
  <dcterms:modified xsi:type="dcterms:W3CDTF">2017-03-02T15:13:00Z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