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9" w:rsidRDefault="002A5F7D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A86E94F509641CBA05881175480C510" style="width:450.45pt;height:389pt">
            <v:imagedata r:id="rId9" o:title=""/>
          </v:shape>
        </w:pict>
      </w:r>
    </w:p>
    <w:p w:rsidR="00A841F9" w:rsidRDefault="00A841F9">
      <w:pPr>
        <w:rPr>
          <w:noProof/>
        </w:rPr>
        <w:sectPr w:rsidR="00A841F9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A841F9" w:rsidRDefault="002A5F7D">
      <w:pPr>
        <w:pStyle w:val="Rfrenceinterinstitutionnelle"/>
        <w:rPr>
          <w:noProof/>
        </w:rPr>
      </w:pPr>
      <w:r>
        <w:rPr>
          <w:noProof/>
        </w:rPr>
        <w:lastRenderedPageBreak/>
        <w:t>2012/0267 (COD)</w:t>
      </w:r>
    </w:p>
    <w:p w:rsidR="00A841F9" w:rsidRDefault="002A5F7D">
      <w:pPr>
        <w:pStyle w:val="Typedudocument"/>
        <w:rPr>
          <w:noProof/>
        </w:rPr>
      </w:pPr>
      <w:r>
        <w:rPr>
          <w:noProof/>
        </w:rPr>
        <w:t>KOMISSION TIEDONANTO</w:t>
      </w:r>
      <w:r>
        <w:rPr>
          <w:noProof/>
        </w:rPr>
        <w:br/>
        <w:t>EUROOPAN PARLAMENTILLE</w:t>
      </w:r>
      <w:r>
        <w:rPr>
          <w:noProof/>
        </w:rPr>
        <w:br/>
      </w:r>
      <w:r>
        <w:rPr>
          <w:noProof/>
        </w:rPr>
        <w:br/>
        <w:t xml:space="preserve">Euroopan unionin toiminnasta tehdyn </w:t>
      </w:r>
      <w:r>
        <w:rPr>
          <w:noProof/>
        </w:rPr>
        <w:t>sopimuksen 294 artiklan 6 kohdan mukaisesti</w:t>
      </w:r>
    </w:p>
    <w:p w:rsidR="00A841F9" w:rsidRDefault="002A5F7D">
      <w:pPr>
        <w:pStyle w:val="Titreobjet"/>
        <w:rPr>
          <w:noProof/>
        </w:rPr>
      </w:pPr>
      <w:r>
        <w:rPr>
          <w:noProof/>
        </w:rPr>
        <w:t>neuvoston kannasta</w:t>
      </w:r>
      <w:r>
        <w:rPr>
          <w:noProof/>
        </w:rPr>
        <w:br/>
      </w:r>
      <w:r>
        <w:rPr>
          <w:noProof/>
        </w:rPr>
        <w:br/>
        <w:t xml:space="preserve">Euroopan parlamentin ja neuvoston asetuksen antamiseksi in vitro </w:t>
      </w:r>
      <w:r>
        <w:rPr>
          <w:noProof/>
        </w:rPr>
        <w:noBreakHyphen/>
        <w:t>diagnostiikkaan tarkoitetuista lääkinnällisistä laitteista</w:t>
      </w:r>
    </w:p>
    <w:p w:rsidR="00A841F9" w:rsidRDefault="002A5F7D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Tausta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 w:rsidR="00A841F9">
        <w:tc>
          <w:tcPr>
            <w:tcW w:w="6804" w:type="dxa"/>
          </w:tcPr>
          <w:p w:rsidR="00A841F9" w:rsidRDefault="002A5F7D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Päivä, jona ehdotus on toimitettu Euroopan parlamentille </w:t>
            </w:r>
            <w:r>
              <w:rPr>
                <w:noProof/>
              </w:rPr>
              <w:t xml:space="preserve">ja neuvostolle: </w:t>
            </w:r>
            <w:r>
              <w:rPr>
                <w:noProof/>
              </w:rPr>
              <w:br/>
              <w:t>(asiakirja COM(2012) 541 final – 2012/0267 COD)</w:t>
            </w:r>
          </w:p>
          <w:p w:rsidR="00A841F9" w:rsidRDefault="00A841F9">
            <w:pPr>
              <w:jc w:val="left"/>
              <w:rPr>
                <w:noProof/>
              </w:rPr>
            </w:pPr>
          </w:p>
        </w:tc>
        <w:tc>
          <w:tcPr>
            <w:tcW w:w="2483" w:type="dxa"/>
          </w:tcPr>
          <w:p w:rsidR="00A841F9" w:rsidRDefault="00A841F9">
            <w:pPr>
              <w:jc w:val="left"/>
              <w:rPr>
                <w:noProof/>
              </w:rPr>
            </w:pPr>
          </w:p>
          <w:p w:rsidR="00A841F9" w:rsidRDefault="00A841F9">
            <w:pPr>
              <w:jc w:val="left"/>
              <w:rPr>
                <w:noProof/>
              </w:rPr>
            </w:pPr>
          </w:p>
          <w:p w:rsidR="00A841F9" w:rsidRDefault="002A5F7D">
            <w:pPr>
              <w:jc w:val="left"/>
              <w:rPr>
                <w:noProof/>
              </w:rPr>
            </w:pPr>
            <w:r>
              <w:rPr>
                <w:noProof/>
              </w:rPr>
              <w:t>26.9.2012</w:t>
            </w:r>
          </w:p>
        </w:tc>
      </w:tr>
      <w:tr w:rsidR="00A841F9">
        <w:tc>
          <w:tcPr>
            <w:tcW w:w="6804" w:type="dxa"/>
          </w:tcPr>
          <w:p w:rsidR="00A841F9" w:rsidRDefault="002A5F7D">
            <w:pPr>
              <w:rPr>
                <w:noProof/>
              </w:rPr>
            </w:pPr>
            <w:r>
              <w:rPr>
                <w:noProof/>
              </w:rPr>
              <w:t>Päivä, jona Euroopan talous- ja sosiaalikomitea on antanut lausuntonsa:</w:t>
            </w:r>
          </w:p>
          <w:p w:rsidR="00A841F9" w:rsidRDefault="002A5F7D">
            <w:pPr>
              <w:rPr>
                <w:noProof/>
              </w:rPr>
            </w:pPr>
            <w:r>
              <w:rPr>
                <w:noProof/>
              </w:rPr>
              <w:t xml:space="preserve">Päivä, jona alueiden komitea on antanut lausuntonsa: </w:t>
            </w:r>
          </w:p>
        </w:tc>
        <w:tc>
          <w:tcPr>
            <w:tcW w:w="2483" w:type="dxa"/>
          </w:tcPr>
          <w:p w:rsidR="00A841F9" w:rsidRDefault="00A841F9">
            <w:pPr>
              <w:jc w:val="left"/>
              <w:rPr>
                <w:noProof/>
              </w:rPr>
            </w:pPr>
          </w:p>
          <w:p w:rsidR="00A841F9" w:rsidRDefault="002A5F7D">
            <w:pPr>
              <w:jc w:val="left"/>
              <w:rPr>
                <w:noProof/>
              </w:rPr>
            </w:pPr>
            <w:r>
              <w:rPr>
                <w:noProof/>
              </w:rPr>
              <w:t>14.2.2013</w:t>
            </w:r>
            <w:r>
              <w:rPr>
                <w:noProof/>
                <w:color w:val="0000FF"/>
              </w:rPr>
              <w:t xml:space="preserve"> </w:t>
            </w:r>
          </w:p>
          <w:p w:rsidR="00A841F9" w:rsidRDefault="002A5F7D">
            <w:pPr>
              <w:rPr>
                <w:noProof/>
              </w:rPr>
            </w:pPr>
            <w:r>
              <w:rPr>
                <w:noProof/>
              </w:rPr>
              <w:t>8.2.2013</w:t>
            </w:r>
          </w:p>
        </w:tc>
      </w:tr>
      <w:tr w:rsidR="00A841F9">
        <w:tc>
          <w:tcPr>
            <w:tcW w:w="6804" w:type="dxa"/>
          </w:tcPr>
          <w:p w:rsidR="00A841F9" w:rsidRDefault="002A5F7D">
            <w:pPr>
              <w:rPr>
                <w:noProof/>
              </w:rPr>
            </w:pPr>
            <w:r>
              <w:rPr>
                <w:noProof/>
              </w:rPr>
              <w:t xml:space="preserve">Päivä, jona Euroopan </w:t>
            </w:r>
            <w:r>
              <w:rPr>
                <w:noProof/>
              </w:rPr>
              <w:t>parlamentti on vahvistanut ensimmäisen käsittelyn kantansa:</w:t>
            </w:r>
          </w:p>
        </w:tc>
        <w:tc>
          <w:tcPr>
            <w:tcW w:w="2483" w:type="dxa"/>
          </w:tcPr>
          <w:p w:rsidR="00A841F9" w:rsidRDefault="002A5F7D">
            <w:pPr>
              <w:jc w:val="left"/>
              <w:rPr>
                <w:noProof/>
              </w:rPr>
            </w:pPr>
            <w:r>
              <w:rPr>
                <w:noProof/>
              </w:rPr>
              <w:t>2.4.2014</w:t>
            </w:r>
          </w:p>
        </w:tc>
      </w:tr>
      <w:tr w:rsidR="00A841F9">
        <w:tc>
          <w:tcPr>
            <w:tcW w:w="6804" w:type="dxa"/>
          </w:tcPr>
          <w:p w:rsidR="00A841F9" w:rsidRDefault="00A841F9">
            <w:pPr>
              <w:rPr>
                <w:noProof/>
              </w:rPr>
            </w:pPr>
          </w:p>
        </w:tc>
        <w:tc>
          <w:tcPr>
            <w:tcW w:w="2483" w:type="dxa"/>
          </w:tcPr>
          <w:p w:rsidR="00A841F9" w:rsidRDefault="00A841F9">
            <w:pPr>
              <w:jc w:val="left"/>
              <w:rPr>
                <w:noProof/>
                <w:highlight w:val="yellow"/>
              </w:rPr>
            </w:pPr>
          </w:p>
        </w:tc>
      </w:tr>
      <w:tr w:rsidR="00A841F9">
        <w:tc>
          <w:tcPr>
            <w:tcW w:w="6804" w:type="dxa"/>
          </w:tcPr>
          <w:p w:rsidR="00A841F9" w:rsidRDefault="002A5F7D">
            <w:pPr>
              <w:rPr>
                <w:noProof/>
              </w:rPr>
            </w:pPr>
            <w:r>
              <w:rPr>
                <w:noProof/>
              </w:rPr>
              <w:t>Päivä, jona neuvoston kanta vahvistetaan:</w:t>
            </w:r>
          </w:p>
        </w:tc>
        <w:tc>
          <w:tcPr>
            <w:tcW w:w="2483" w:type="dxa"/>
          </w:tcPr>
          <w:p w:rsidR="00A841F9" w:rsidRDefault="002A5F7D">
            <w:pPr>
              <w:jc w:val="left"/>
              <w:rPr>
                <w:noProof/>
              </w:rPr>
            </w:pPr>
            <w:r>
              <w:rPr>
                <w:noProof/>
              </w:rPr>
              <w:t>7.3.2017</w:t>
            </w:r>
            <w:bookmarkStart w:id="0" w:name="_GoBack"/>
            <w:bookmarkEnd w:id="0"/>
          </w:p>
        </w:tc>
      </w:tr>
    </w:tbl>
    <w:p w:rsidR="00A841F9" w:rsidRDefault="00A841F9">
      <w:pPr>
        <w:rPr>
          <w:noProof/>
        </w:rPr>
      </w:pPr>
    </w:p>
    <w:p w:rsidR="00A841F9" w:rsidRDefault="002A5F7D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Komission ehdotuksen tavoite</w:t>
      </w:r>
    </w:p>
    <w:p w:rsidR="00A841F9" w:rsidRDefault="002A5F7D">
      <w:pPr>
        <w:rPr>
          <w:noProof/>
        </w:rPr>
      </w:pPr>
      <w:r>
        <w:rPr>
          <w:noProof/>
        </w:rPr>
        <w:t>In vitro -diagnostiikkaan tarkoitettuja lääkinnällisiä laitteita (IVD-laitteita) (joita käytetää</w:t>
      </w:r>
      <w:r>
        <w:rPr>
          <w:noProof/>
        </w:rPr>
        <w:t>n esimerkiksi HIV-verikokeissa, raskaustesteissä ja diabeetikoille tarkoitetuissa verensokerin seurantajärjestelmissä) säännellään nykyisin direktiivillä 98/79/EY</w:t>
      </w:r>
      <w:r>
        <w:rPr>
          <w:rStyle w:val="FootnoteReference"/>
          <w:noProof/>
        </w:rPr>
        <w:footnoteReference w:id="1"/>
      </w:r>
      <w:r>
        <w:rPr>
          <w:noProof/>
        </w:rPr>
        <w:t>. Tämä vuonna 1998 annettu direktiivi perustuu niin sanottuun uuteen lähestymistapaan, ja sen</w:t>
      </w:r>
      <w:r>
        <w:rPr>
          <w:noProof/>
        </w:rPr>
        <w:t xml:space="preserve"> tavoitteena on varmistaa sisämarkkinoiden moitteeton toiminta sekä korkeatasoinen kansanterveyden suojelu ja potilasturvallisuus. IVD-laitteiden markkinoille saattaminen ei edellytä sääntelyviranomaiselta saatavaa ennakkolupaa. Niihin sovelletaan sen sija</w:t>
      </w:r>
      <w:r>
        <w:rPr>
          <w:noProof/>
        </w:rPr>
        <w:t>an vaatimustenmukaisuuden arviointimenettelyä, johon osallistuu direktiivin 98/79/EY liitteessä II lueteltujen suuren ja keskisuuren riskin laitteiden ja eräiden muiden laitteiden tapauksessa riippumaton kolmas osapuoli, niin kutsuttu ilmoitettu laitos. Il</w:t>
      </w:r>
      <w:r>
        <w:rPr>
          <w:noProof/>
        </w:rPr>
        <w:t xml:space="preserve">moitettujen laitosten nimeämisestä ja seurannasta vastaavat jäsenvaltiot, ja laitokset toimivat kansallisten viranomaisten valvonnassa. Sen jälkeen kun laitteet on hyväksytty, ne varustetaan CE-merkinnällä, joka mahdollistaa niiden vapaan liikkuvuuden EU- </w:t>
      </w:r>
      <w:r>
        <w:rPr>
          <w:noProof/>
        </w:rPr>
        <w:t>ja EFTA-maissa sekä Turkissa.</w:t>
      </w:r>
    </w:p>
    <w:p w:rsidR="00A841F9" w:rsidRDefault="002A5F7D">
      <w:pPr>
        <w:rPr>
          <w:noProof/>
        </w:rPr>
      </w:pPr>
      <w:r>
        <w:rPr>
          <w:noProof/>
        </w:rPr>
        <w:lastRenderedPageBreak/>
        <w:t>Nykyinen sääntelykehys on osoittautunut hyväksi, mutta säännösten tulkinnassa ja soveltamisessa on ilmennyt joitakin merkittäviä puutteita ja eroja, joiden vuoksi sääntelykehystä on kiireellisesti tarkistettava. Koska toimiala</w:t>
      </w:r>
      <w:r>
        <w:rPr>
          <w:noProof/>
        </w:rPr>
        <w:t xml:space="preserve"> on hyvin innovatiivinen ja kilpailu sillä on kovaa, EU:lla on lisäksi oltava tarkoituksenmukaiset ja ajantasaiset sääntelykeinot, ja sen on tarjottava kaikille asianomaisille talouden toimijoille niiden tarvitsema oikeusvarmuus. Lisäksi IVD-laitteita kosk</w:t>
      </w:r>
      <w:r>
        <w:rPr>
          <w:noProof/>
        </w:rPr>
        <w:t>evat EU:n säännökset on saatettava eräiden vakiintuneiden kansainvälisten periaatteiden mukaisiksi.</w:t>
      </w:r>
    </w:p>
    <w:p w:rsidR="00A841F9" w:rsidRDefault="002A5F7D">
      <w:pPr>
        <w:rPr>
          <w:noProof/>
        </w:rPr>
      </w:pPr>
      <w:r>
        <w:rPr>
          <w:noProof/>
        </w:rPr>
        <w:t xml:space="preserve">Nämä seikat johtivat siihen, että komissio hyväksyi 26. syyskuuta 2012 ehdotuksen asetukseksi in vitro </w:t>
      </w:r>
      <w:r>
        <w:rPr>
          <w:noProof/>
        </w:rPr>
        <w:noBreakHyphen/>
        <w:t>diagnostiikkaan tarkoitetuista lääkinnällisistä lait</w:t>
      </w:r>
      <w:r>
        <w:rPr>
          <w:noProof/>
        </w:rPr>
        <w:t>teista.</w:t>
      </w:r>
    </w:p>
    <w:p w:rsidR="00A841F9" w:rsidRDefault="002A5F7D">
      <w:pPr>
        <w:rPr>
          <w:noProof/>
        </w:rPr>
      </w:pPr>
      <w:r>
        <w:rPr>
          <w:noProof/>
        </w:rPr>
        <w:t>Ehdotuksen keskeisinä tavoitteina oli</w:t>
      </w:r>
    </w:p>
    <w:p w:rsidR="00A841F9" w:rsidRDefault="002A5F7D">
      <w:pPr>
        <w:pStyle w:val="Tiret0"/>
        <w:numPr>
          <w:ilvl w:val="0"/>
          <w:numId w:val="1"/>
        </w:num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 xml:space="preserve">laajentaa EU:n lainsäädännön soveltamisalaa ja selkeyttää sitä erityisesti geenitestauksen sekä lääkehoidon ja diagnostiikan yhdistävien laitteiden osalta; 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 xml:space="preserve">ajantasaistaa riskiluokitusta koskevat säännökset </w:t>
      </w:r>
      <w:r>
        <w:rPr>
          <w:noProof/>
        </w:rPr>
        <w:t>sekä turvallisuus- ja suorituskykyvaatimukset, jotta ne ovat tekniikan ja tieteen kehityksen tasalla ja kansainvälisten periaatteiden mukaiset;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>tiukentaa ilmoitettujen laitosten nimeämissäännöksiä ja tehostaa ilmoitettujen laitosten valvontaa, josta vastaa</w:t>
      </w:r>
      <w:r>
        <w:rPr>
          <w:noProof/>
        </w:rPr>
        <w:t>vat toimivaltaiset kansalliset viranomaiset;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>lisätä ilmoitettujen laitosten toimivaltaa, jotta voidaan varmistaa perusteelliset testaukset ja valmistajien säännölliset tarkastukset sekä ilman ennakkoilmoitusta tehtävät tuotantolaitosten tarkastukset;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>ottaa</w:t>
      </w:r>
      <w:r>
        <w:rPr>
          <w:noProof/>
        </w:rPr>
        <w:t xml:space="preserve"> käyttöön suuririskisiä laitteita koskeva tarkastelumenettely, jossa kansallisten asiantuntijoiden komitea voi tieteellisesti pätevin perustein tapauskohtaisesti arvioida ilmoitetun laitoksen alustavan vaatimustenmukaisuuden arvioinnin;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>selkeyttää valmista</w:t>
      </w:r>
      <w:r>
        <w:rPr>
          <w:noProof/>
        </w:rPr>
        <w:t>jien, valtuutettujen edustajien, maahantuojien ja jakelijoiden velvoitteita, joita sovelletaan myös diagnostisiin palveluihin ja internetmyyntiin;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>tiukentaa IVD-laitteiden arviointien tueksi esitettävää kliinistä tutkimusnäyttöä koskevia vaatimuksia;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>tehos</w:t>
      </w:r>
      <w:r>
        <w:rPr>
          <w:noProof/>
        </w:rPr>
        <w:t>taa vaaratilannejärjestelmää ja markkinavalvontaa koskevia säännöksiä;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>kehittää eurooppalaista lääkinnällisten laitteiden tietokantaa (Eudamed), jotta se tarjoaisi kattavat tiedot EU:n markkinoilla saatavilla olevista IVD-laitteista;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>parantaa laitteiden jä</w:t>
      </w:r>
      <w:r>
        <w:rPr>
          <w:noProof/>
        </w:rPr>
        <w:t>ljitettävyyttä kaikkialla toimitusketjussa, jotta turvallisuusongelmiin voidaan puuttua ripeästi ja tehokkaasti (esimerkiksi palautusmenettelyt); ja</w:t>
      </w:r>
    </w:p>
    <w:p w:rsidR="00A841F9" w:rsidRDefault="002A5F7D">
      <w:pPr>
        <w:pStyle w:val="Tiret0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noProof/>
        </w:rPr>
      </w:pPr>
      <w:r>
        <w:rPr>
          <w:noProof/>
        </w:rPr>
        <w:t>tehostaa kansallisten viranomaisten välistä koordinointia siten, että komissio tarjoaa tieteellistä, teknis</w:t>
      </w:r>
      <w:r>
        <w:rPr>
          <w:noProof/>
        </w:rPr>
        <w:t>tä ja logistista tukea.</w:t>
      </w:r>
    </w:p>
    <w:p w:rsidR="00A841F9" w:rsidRDefault="00A841F9">
      <w:pPr>
        <w:rPr>
          <w:noProof/>
        </w:rPr>
      </w:pPr>
    </w:p>
    <w:p w:rsidR="00A841F9" w:rsidRDefault="002A5F7D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Huomautukset neuvoston kannasta</w:t>
      </w:r>
    </w:p>
    <w:p w:rsidR="00A841F9" w:rsidRDefault="002A5F7D">
      <w:pPr>
        <w:rPr>
          <w:noProof/>
        </w:rPr>
      </w:pPr>
      <w:r>
        <w:rPr>
          <w:noProof/>
        </w:rPr>
        <w:t>Neuvoston kannassa hyväksytään yleisesti komission ehdotuksessa asetetut tavoitteet, jotka koskevat muun muassa potilasturvallisuuden ja kansanterveyden suojelun tason parantamista, sisämarkkinoid</w:t>
      </w:r>
      <w:r>
        <w:rPr>
          <w:noProof/>
        </w:rPr>
        <w:t>en moitteettoman toiminnan edistämistä ja innovoinnin tukemista tällä tärkeällä toimialalla. Neuvosto tekee kuitenkin eräitä muutoksia tavoitteiden saavuttamistapaan. Neuvoston ehdottamat tärkeimmät muutokset ja komission kanta niihin voidaan tiivistää seu</w:t>
      </w:r>
      <w:r>
        <w:rPr>
          <w:noProof/>
        </w:rPr>
        <w:t>raavasti.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lastRenderedPageBreak/>
        <w:t>a) Geenitestauksen yhteydessä annettavat tiedot ja neuvonta</w:t>
      </w:r>
    </w:p>
    <w:p w:rsidR="00A841F9" w:rsidRDefault="002A5F7D">
      <w:pPr>
        <w:rPr>
          <w:noProof/>
        </w:rPr>
      </w:pPr>
      <w:r>
        <w:rPr>
          <w:noProof/>
        </w:rPr>
        <w:t>Neuvoston kanta perustuu joiltakin osin parlamentin ensimmäisessä käsittelyssä vahvistettuun kantaan ja sisältää eräitä vähimmäissäännöksiä, joiden mukaan jäsenvaltioiden on varmistettav</w:t>
      </w:r>
      <w:r>
        <w:rPr>
          <w:noProof/>
        </w:rPr>
        <w:t>a, että jos henkilöille tehdään geenitesti terveydenhuollon yhteydessä, testattavalle henkilölle annetaan asiaan kuuluvat tiedot testin luonteesta, merkityksestä ja seurauksista. Asianmukaista neuvontaa olisi oltava mahdollista saada erityisesti silloin, k</w:t>
      </w:r>
      <w:r>
        <w:rPr>
          <w:noProof/>
        </w:rPr>
        <w:t xml:space="preserve">un geenitestauksella hankitaan tietoja sairauksista, joita pidetään mahdottomina hoitaa. Komissio antaa lausuman kertomuksesta, jonka se aikoo laatia kyseisistä säännöksistä (katso jäljempänä 5 kohta). </w:t>
      </w:r>
    </w:p>
    <w:p w:rsidR="00A841F9" w:rsidRDefault="002A5F7D">
      <w:pPr>
        <w:rPr>
          <w:noProof/>
        </w:rPr>
      </w:pPr>
      <w:r>
        <w:rPr>
          <w:noProof/>
        </w:rPr>
        <w:t>-&gt; Kyseisten säännösten tavoitteena on parantaa kansa</w:t>
      </w:r>
      <w:r>
        <w:rPr>
          <w:noProof/>
        </w:rPr>
        <w:t>nterveyden suojelua, potilasturvallisuutta ja tietojen saatavuutta, joten niiden hyväksymistä voidaan kannattaa.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>b) Samassa terveydenhuollon toimintayksikössä valmistettavien ja käytettävien laitteiden vapauttaminen joistakin lainsäädännön vaatimuksista</w:t>
      </w:r>
    </w:p>
    <w:p w:rsidR="00A841F9" w:rsidRDefault="002A5F7D">
      <w:pPr>
        <w:rPr>
          <w:noProof/>
        </w:rPr>
      </w:pPr>
      <w:r>
        <w:rPr>
          <w:noProof/>
        </w:rPr>
        <w:t>Ne</w:t>
      </w:r>
      <w:r>
        <w:rPr>
          <w:noProof/>
        </w:rPr>
        <w:t>uvoston kannan mukaan samassa terveydenhuollon toimintayksikössä valmistettaviin ja käytettäviin laitteisiin ei eräiden ehtojen täyttyessä sovelleta asetuksen säännöksiä, lukuun ottamatta yleisiä turvallisuus- ja suorituskykyvaatimuksia. Kyseisiä ehtoja ov</w:t>
      </w:r>
      <w:r>
        <w:rPr>
          <w:noProof/>
        </w:rPr>
        <w:t>at muun muassa seuraavat: laitetta ei saa siirtää muulle oikeussubjektille, laite on valmistettava ja sitä on käytettävä asianmukaisten laadunhallintajärjestelmien mukaisesti, terveydenhuollon toimintayksikön on laadittava ja säilytettävä laitetta koskevat</w:t>
      </w:r>
      <w:r>
        <w:rPr>
          <w:noProof/>
        </w:rPr>
        <w:t xml:space="preserve"> asiakirjat sekä osoitettava niissä, että kohteena olevan potilaan tarpeita ei voida täyttää markkinoilla saatavilla olevalla laitteella. Vapautus ei koske teollisesti valmistettuja laitteita.</w:t>
      </w:r>
    </w:p>
    <w:p w:rsidR="00A841F9" w:rsidRDefault="002A5F7D">
      <w:pPr>
        <w:rPr>
          <w:noProof/>
        </w:rPr>
      </w:pPr>
      <w:r>
        <w:rPr>
          <w:noProof/>
        </w:rPr>
        <w:t>-&gt; Vaikka vapautus laajennetaan koskemaan kaikkia IVD-laitteide</w:t>
      </w:r>
      <w:r>
        <w:rPr>
          <w:noProof/>
        </w:rPr>
        <w:t xml:space="preserve">n luokkia, neuvoston kantaa voidaan puoltaa, koska siinä tarjotaan tyydyttävät takeet tällaisten omaan käyttöön valmistettujen laitteiden valvonnasta. 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 xml:space="preserve">c) Valmistajien maksamat rahalliset korvaukset viallisten lääkinnällisten laitteiden aiheuttamista </w:t>
      </w:r>
      <w:r>
        <w:rPr>
          <w:i/>
          <w:noProof/>
        </w:rPr>
        <w:t>vahingoista</w:t>
      </w:r>
    </w:p>
    <w:p w:rsidR="00A841F9" w:rsidRDefault="002A5F7D">
      <w:pPr>
        <w:rPr>
          <w:noProof/>
        </w:rPr>
      </w:pPr>
      <w:r>
        <w:rPr>
          <w:noProof/>
        </w:rPr>
        <w:t>Neuvoston kannassa hyväksytään parlamentin ensimmäisessä käsittelyssä vahvistetussa kannassa esitetty ajatus valmistajia koskevan pakollisen vastuuvakuutuksen käyttöönotosta. Neuvosto nimittäin muistuttaa, että luonnollisilla henkilöillä tai oi</w:t>
      </w:r>
      <w:r>
        <w:rPr>
          <w:noProof/>
        </w:rPr>
        <w:t>keushenkilöillä on asiaan sovellettavan unionin ja kansallisen lainsäädännön mukainen oikeus vaatia korvausta viallisten laitteiden aiheuttamasta vahingosta. Tämän toteuttamiseksi neuvoston kannassa ei kuitenkaan säilytetä parlamentin suunnittelemaa pakoll</w:t>
      </w:r>
      <w:r>
        <w:rPr>
          <w:noProof/>
        </w:rPr>
        <w:t>ista vastuuvakuutusta vaan esitetään, että valmistajat velvoitetaan ottamaan käyttöön toimenpiteitä voidakseen maksaa riittävät rahalliset korvaukset, jos ne joutuvat tuotevastuuta koskevan direktiivin 85/374/ETY mukaiseen vastuuseen. Rahalliset korvaukset</w:t>
      </w:r>
      <w:r>
        <w:rPr>
          <w:noProof/>
        </w:rPr>
        <w:t xml:space="preserve"> on suhteutettava riskiluokkaan, laitetyyppiin ja yrityksen kokoon. Tämä neuvoston esittämä velvoite ei estä toteuttamasta kansallisen lainsäädännön mukaisia suojelevampia toimenpiteitä.</w:t>
      </w:r>
    </w:p>
    <w:p w:rsidR="00A841F9" w:rsidRDefault="002A5F7D">
      <w:pPr>
        <w:rPr>
          <w:noProof/>
        </w:rPr>
      </w:pPr>
      <w:r>
        <w:rPr>
          <w:noProof/>
        </w:rPr>
        <w:t>-&gt; Tämän uuden lainsäädännöllisen yksityiskohdan hyväksymistä voidaan</w:t>
      </w:r>
      <w:r>
        <w:rPr>
          <w:noProof/>
        </w:rPr>
        <w:t xml:space="preserve"> kannattaa, sillä se tarjoaa potilaille ja IVD-laitteiden käyttäjille tärkeän takeen ja jättää valmistajille riittävästi liikkumavaraa päättää, millä keinoilla ne varmistavat rahallisten korvausten suorittamisen.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 xml:space="preserve">d) Valtuutettujen edustajien vastuu </w:t>
      </w:r>
    </w:p>
    <w:p w:rsidR="00A841F9" w:rsidRDefault="002A5F7D">
      <w:pPr>
        <w:rPr>
          <w:noProof/>
        </w:rPr>
      </w:pPr>
      <w:r>
        <w:rPr>
          <w:noProof/>
        </w:rPr>
        <w:t>Neuvos</w:t>
      </w:r>
      <w:r>
        <w:rPr>
          <w:noProof/>
        </w:rPr>
        <w:t>ton kannassa vahvistetaan valtuutettujen edustajien roolia ja velvoitteita huomattavasti enemmän kuin komission ehdotuksessa. Siinä todetaan erityisesti, että valtuutettu edustaja on maahantuojan ja valmistajan kanssa yhteisvastuullinen viallisten laitteid</w:t>
      </w:r>
      <w:r>
        <w:rPr>
          <w:noProof/>
        </w:rPr>
        <w:t xml:space="preserve">en aiheuttamista vahingoista. </w:t>
      </w:r>
    </w:p>
    <w:p w:rsidR="00A841F9" w:rsidRDefault="002A5F7D">
      <w:pPr>
        <w:rPr>
          <w:noProof/>
        </w:rPr>
      </w:pPr>
      <w:r>
        <w:rPr>
          <w:noProof/>
        </w:rPr>
        <w:t>-&gt; Komission ehdotuksessa valtuutetuille edustajille oli asetettu rajalliset oikeudelliset velvollisuudet, koska valtuutetuilla edustajilla on vain vähäinen rooli lääkinnällisen laitteen markkinoille saattamisessa eikä niillä</w:t>
      </w:r>
      <w:r>
        <w:rPr>
          <w:noProof/>
        </w:rPr>
        <w:t xml:space="preserve"> voi yleensä olla kaikkea tarvittavaa tietoa laitteen suunnittelusta ja valmistusprosessista. Lainsäädäntöneuvottelujen aikana kävi kuitenkin ilmi, että EU:n ulkopuolisten valmistajien valmistamiin laitteisiin liittyy monia erityisiä täytäntöönpano-ongelmi</w:t>
      </w:r>
      <w:r>
        <w:rPr>
          <w:noProof/>
        </w:rPr>
        <w:t>a, joita ei oteta asianmukaisesti huomioon nykyisessä horisontaalisessa vastuujärjestelmässä. Tällaiset täytäntöönpano-ongelmat voisivat huomattavasti heikentää vahinkoa kärsineiden potilaiden suojelua. Neuvoston kantaa voidaan siis puoltaa kansanterveyden</w:t>
      </w:r>
      <w:r>
        <w:rPr>
          <w:noProof/>
        </w:rPr>
        <w:t xml:space="preserve"> suojeluun ja potilasturvallisuuteen liittyvistä syistä. 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 xml:space="preserve">e) Tunnistamiseen ja jäljitettävyyteen liittyvät velvoitteet ja yksilöllistä laitetunnistetta (UDI) koskevan järjestelmän perustaminen </w:t>
      </w:r>
    </w:p>
    <w:p w:rsidR="00A841F9" w:rsidRDefault="002A5F7D">
      <w:pPr>
        <w:rPr>
          <w:noProof/>
        </w:rPr>
      </w:pPr>
      <w:r>
        <w:rPr>
          <w:noProof/>
        </w:rPr>
        <w:t>Kuten komission ehdotuksessa, neuvoston kannassa talouden toim</w:t>
      </w:r>
      <w:r>
        <w:rPr>
          <w:noProof/>
        </w:rPr>
        <w:t>ijoiden edellytetään nimeävän kaikki talouden toimijat, joilta ne ovat saaneet tai joille ne ovat toimittaneet laitteen (mukaan lukien terveydenhuollon toimintayksiköt ja terveydenhuollon ammattihenkilöt). Toisin kuin komission ehdotuksessa, jossa ainoasta</w:t>
      </w:r>
      <w:r>
        <w:rPr>
          <w:noProof/>
        </w:rPr>
        <w:t>an esitetään tulevan UDI-järjestelmän oikeusperusta ja pääperiaatteet ja jätetään yksityiskohdat soveltamisvaiheeseen, neuvoston kannassa esitetään kuitenkin järjestelmän käyttöönottoa koskevat yksityiskohtaiset säännöt. Kannassa vaaditaan ennen kaikkea, e</w:t>
      </w:r>
      <w:r>
        <w:rPr>
          <w:noProof/>
        </w:rPr>
        <w:t>ttä valmistajien on annettava laitteilleen UDI-tunniste asetuksen soveltamispäivään mennessä ja sijoitettava UDI-tietoväline laitteeseen ja pakkausten kaikkiin ulompiin kerroksiin asteittain laitteen riskiluokasta riippuen. Talouden toimijoille voidaan mää</w:t>
      </w:r>
      <w:r>
        <w:rPr>
          <w:noProof/>
        </w:rPr>
        <w:t>ritellä täytäntöönpanosäädöksillä erityisiä tallentamisvelvoitteita, ja jäsenvaltiot voivat asettaa niitä terveydenhuollon toimintayksiköille.</w:t>
      </w:r>
    </w:p>
    <w:p w:rsidR="00A841F9" w:rsidRDefault="002A5F7D">
      <w:pPr>
        <w:rPr>
          <w:noProof/>
        </w:rPr>
      </w:pPr>
      <w:r>
        <w:rPr>
          <w:noProof/>
        </w:rPr>
        <w:t>-&gt; Tämä poikkeaa komission kannasta mutta on yleisesti hyväksyttävissä, koska muutos liittyy laitteiden tunnistus</w:t>
      </w:r>
      <w:r>
        <w:rPr>
          <w:noProof/>
        </w:rPr>
        <w:t xml:space="preserve">- ja jäljitysmahdollisuuksiin, jotka uudella järjestelmällä taataan. 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>f) Eurooppalainen lääkinnällisten laitteiden tietokanta (Eudamed)</w:t>
      </w:r>
    </w:p>
    <w:p w:rsidR="00A841F9" w:rsidRDefault="002A5F7D">
      <w:pPr>
        <w:rPr>
          <w:noProof/>
        </w:rPr>
      </w:pPr>
      <w:r>
        <w:rPr>
          <w:noProof/>
        </w:rPr>
        <w:t>Neuvoston kantaan sisältyy laajempia vaatimuksia Eudamediin toimitettavista tiedoista ja sen sisältämien tietojen avoimu</w:t>
      </w:r>
      <w:r>
        <w:rPr>
          <w:noProof/>
        </w:rPr>
        <w:t>uden lisäämisestä varsinkin markkinoilla olevia laitteita koskevien kliinisten tietojen osalta. Siinä esitetään lisäksi, että Eudamedin toiminta ja siihen liittyvien säännösten soveltaminen on tarkastettava tietokannan toimivuutta koskevassa riippumattomas</w:t>
      </w:r>
      <w:r>
        <w:rPr>
          <w:noProof/>
        </w:rPr>
        <w:t xml:space="preserve">sa tarkastuksessa. </w:t>
      </w:r>
    </w:p>
    <w:p w:rsidR="00A841F9" w:rsidRDefault="002A5F7D">
      <w:pPr>
        <w:rPr>
          <w:noProof/>
        </w:rPr>
      </w:pPr>
      <w:r>
        <w:rPr>
          <w:noProof/>
        </w:rPr>
        <w:t>-&gt; Neuvoston kannassa luodaan komissiolle huomattavia velvoitteita, sillä sen on perustettava hyvin laaja tietokanta ja luotava tietokannan toimivuuden raskas tarkastusmenettely. Tämä voidaan kuitenkin hyväksyä, koska tarkoituksena on p</w:t>
      </w:r>
      <w:r>
        <w:rPr>
          <w:noProof/>
        </w:rPr>
        <w:t xml:space="preserve">arantaa markkinoilla olevia laitteita koskevien tietojen avoimuutta. 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>g) Ilmoitettujen laitosten nimeämiseen sovellettavien vaatimusten tarkentaminen</w:t>
      </w:r>
    </w:p>
    <w:p w:rsidR="00A841F9" w:rsidRDefault="002A5F7D">
      <w:pPr>
        <w:rPr>
          <w:noProof/>
        </w:rPr>
      </w:pPr>
      <w:r>
        <w:rPr>
          <w:noProof/>
        </w:rPr>
        <w:t>Ilmoitettujen laitosten nimeämiseen sovellettavat vaatimukset kuvataan neuvoston kannassa yksityiskohtaise</w:t>
      </w:r>
      <w:r>
        <w:rPr>
          <w:noProof/>
        </w:rPr>
        <w:t xml:space="preserve">mmin varsinkin prosessivaatimusten osalta. Myös laitosten valvontamenettelyt kuvataan yksityiskohtaisesti niiden kokemusten perusteella, joita on jo saatu nykylainsäädännön mukaisista yhteisistä arvioinneista. </w:t>
      </w:r>
    </w:p>
    <w:p w:rsidR="00A841F9" w:rsidRDefault="002A5F7D">
      <w:pPr>
        <w:rPr>
          <w:noProof/>
        </w:rPr>
      </w:pPr>
      <w:r>
        <w:rPr>
          <w:noProof/>
        </w:rPr>
        <w:t>-&gt; Komissio kannattaa ilmoitettujen laitosten</w:t>
      </w:r>
      <w:r>
        <w:rPr>
          <w:noProof/>
        </w:rPr>
        <w:t xml:space="preserve"> nimeämistä ja valvontaa koskevien vaatimusten tarkentamista.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 xml:space="preserve">h) Kliinistä arviointia koskeva kuulemismenettely tiettyjä suuririskisiä laitteita varten </w:t>
      </w:r>
    </w:p>
    <w:p w:rsidR="00A841F9" w:rsidRDefault="002A5F7D">
      <w:pPr>
        <w:rPr>
          <w:noProof/>
        </w:rPr>
      </w:pPr>
      <w:r>
        <w:rPr>
          <w:noProof/>
        </w:rPr>
        <w:t>Neuvoston kannassa esitetään komission ehdotukseen sisältyvän tarkastelumenettelyn pohjalta, että jos o</w:t>
      </w:r>
      <w:r>
        <w:rPr>
          <w:noProof/>
        </w:rPr>
        <w:t>n kyse ensimmäisestä todistuksesta luokkaan D kuuluvalle IVD-laitteelle eikä yhteisiä teknisiä eritelmiä ole käytettävissä, nimetyn vertailulaboratorion on todennettava kyseisen laitteen valmistajan ilmoittama laitteen suorituskyky ja luokkaan D kuuluvia I</w:t>
      </w:r>
      <w:r>
        <w:rPr>
          <w:noProof/>
        </w:rPr>
        <w:t>VD-laitteita käsittelevää asiantuntijapaneelia on kuultava. Tässä menettelyssä asiantuntijapaneeli antaa ilmoitetulle laitokselle tieteellisen lausunnon arvioinnista, jonka se laatii laitteen kliinistä arviointia koskevista valmistajan asiakirjoista. Lausu</w:t>
      </w:r>
      <w:r>
        <w:rPr>
          <w:noProof/>
        </w:rPr>
        <w:t>nto ei sido ilmoitettua laitosta, mutta tämän on esitettävä perustelut lausunnon noudattamatta jättämiselle. Kaikki lausuntoa ja ilmoitetun laitoksen lopullista päätöstä koskevat asiakirjat ovat julkisesti saatavilla Eudamed-tietokannassa. Valmistajilta, j</w:t>
      </w:r>
      <w:r>
        <w:rPr>
          <w:noProof/>
        </w:rPr>
        <w:t xml:space="preserve">oita kuulemismenettely koskee, voidaan periä maksuja, joiden rakenne ja taso asetetaan täytäntöönpanosäädöksissä. </w:t>
      </w:r>
    </w:p>
    <w:p w:rsidR="00A841F9" w:rsidRDefault="002A5F7D">
      <w:pPr>
        <w:rPr>
          <w:noProof/>
        </w:rPr>
      </w:pPr>
      <w:r>
        <w:rPr>
          <w:noProof/>
        </w:rPr>
        <w:t xml:space="preserve">-&gt; Komissio voi puoltaa kantaa, joka vastaa pitkälti komission tavoitteita. 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>i) Tiukemmat vaatimukset kliinistä suorituskykyä koskeville tutk</w:t>
      </w:r>
      <w:r>
        <w:rPr>
          <w:i/>
          <w:noProof/>
        </w:rPr>
        <w:t>imuksille ja kliiniselle tutkimusnäytölle</w:t>
      </w:r>
    </w:p>
    <w:p w:rsidR="00A841F9" w:rsidRDefault="002A5F7D">
      <w:pPr>
        <w:rPr>
          <w:noProof/>
        </w:rPr>
      </w:pPr>
      <w:r>
        <w:rPr>
          <w:noProof/>
        </w:rPr>
        <w:t>Joidenkin suorituskykyä koskevien tutkimusten lupamenettelyt on komission ehdotuksen pohjalta saatettu vastaamaan paremmin kliinisiä lääketutkimuksia koskevia säännöksiä ja varsinkin säännöksiä, jotka koskevat tiet</w:t>
      </w:r>
      <w:r>
        <w:rPr>
          <w:noProof/>
        </w:rPr>
        <w:t>oon perustuvaa suostumusta ja erityisasemassa olevia tutkimukseen osallistuvia henkilöitä. Useammassa kuin yhdessä jäsenvaltiossa suoritettavia kliinisiä tutkimuksia koskevien hakemusten koordinoitua arviointimenettelyä varten on asetettu pidempi siirtymäa</w:t>
      </w:r>
      <w:r>
        <w:rPr>
          <w:noProof/>
        </w:rPr>
        <w:t>ika, jotta jäsenvaltiot voivat hankkia tarvittavaa kokemusta vapaaehtoisen koordinoinnin pohjalta.</w:t>
      </w:r>
    </w:p>
    <w:p w:rsidR="00A841F9" w:rsidRDefault="002A5F7D">
      <w:pPr>
        <w:rPr>
          <w:noProof/>
        </w:rPr>
      </w:pPr>
      <w:r>
        <w:rPr>
          <w:noProof/>
        </w:rPr>
        <w:t xml:space="preserve">-&gt; Komissio voi kannattaa vaatimusten tiukentamista, ja se pitää koordinoitua arviointimenettelyä varten asetettavaa pidempää siirtymäaikaa tarpeellisena ja </w:t>
      </w:r>
      <w:r>
        <w:rPr>
          <w:noProof/>
        </w:rPr>
        <w:t>hyvin perusteltuna.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>j) Valmistajien harjoittama markkinoille saattamisen jälkeinen valvonta ja kehityssuuntauksia koskevan raportoinnin laajentaminen</w:t>
      </w:r>
    </w:p>
    <w:p w:rsidR="00A841F9" w:rsidRDefault="002A5F7D">
      <w:pPr>
        <w:rPr>
          <w:noProof/>
        </w:rPr>
      </w:pPr>
      <w:r>
        <w:rPr>
          <w:noProof/>
        </w:rPr>
        <w:t>Neuvoston kannassa esitetään yksityiskohtaisesti valmistajien velvollisuudet seurata laitteidensa tosiasia</w:t>
      </w:r>
      <w:r>
        <w:rPr>
          <w:noProof/>
        </w:rPr>
        <w:t>llista käyttöä niiden markkinoille saattamisen jälkeen. Niiden on muun muassa laadittava markkinoille saattamisen jälkeistä valvontaa koskeva järjestelmä ja suunnitelma. Johtopäätökset, jotka tehdään kaikkien markkinoille saattamisen jälkeisten tietojen an</w:t>
      </w:r>
      <w:r>
        <w:rPr>
          <w:noProof/>
        </w:rPr>
        <w:t>alysoinnin perusteella, esitetään pieniriskisten laitteiden tapauksessa markkinoille saattamisen jälkeistä valvontaa koskevassa raportissa ja suurempaan riskiluokkaan kuuluvien laitteiden tapauksessa määräaikaisessa turvallisuuskatsauksessa. Lisäksi kehity</w:t>
      </w:r>
      <w:r>
        <w:rPr>
          <w:noProof/>
        </w:rPr>
        <w:t>ssuuntauksia koskevat raportointivelvoitteet eivät enää rajoitu suuririskisimpiin laitteisiin, vaikka komission alkuperäisessä ehdotuksessa näin esitettiin.</w:t>
      </w:r>
    </w:p>
    <w:p w:rsidR="00A841F9" w:rsidRDefault="002A5F7D">
      <w:pPr>
        <w:rPr>
          <w:noProof/>
        </w:rPr>
      </w:pPr>
      <w:r>
        <w:rPr>
          <w:noProof/>
        </w:rPr>
        <w:t>-&gt; Kaikkia näitä muutoksia voidaan kannattaa, sillä niillä parannetaan selvästi komission ehdotusta</w:t>
      </w:r>
      <w:r>
        <w:rPr>
          <w:noProof/>
        </w:rPr>
        <w:t xml:space="preserve">. </w:t>
      </w:r>
    </w:p>
    <w:p w:rsidR="00A841F9" w:rsidRDefault="002A5F7D">
      <w:pPr>
        <w:rPr>
          <w:i/>
          <w:noProof/>
        </w:rPr>
      </w:pPr>
      <w:r>
        <w:rPr>
          <w:i/>
          <w:noProof/>
        </w:rPr>
        <w:t>k) Siirtymäajat</w:t>
      </w:r>
    </w:p>
    <w:p w:rsidR="00A841F9" w:rsidRDefault="002A5F7D">
      <w:pPr>
        <w:rPr>
          <w:noProof/>
        </w:rPr>
      </w:pPr>
      <w:r>
        <w:rPr>
          <w:noProof/>
        </w:rPr>
        <w:t>Neuvoston kannassa säilytetään yleinen viiden vuoden siirtymäaika mutta lisätään joitakin erityissäännöksiä. Jäsenvaltioiden on etenkin nimettävä lääkinnällisistä laitteista vastaava toimivaltainen kansallinen viranomainen 12 kuukauden k</w:t>
      </w:r>
      <w:r>
        <w:rPr>
          <w:noProof/>
        </w:rPr>
        <w:t>uluessa soveltamisajan alkamisesta, ja vertailulaboratoriot on nimettävä viimeistään 18 kuukautta ennen asetuksen soveltamispäivää. Vanhan lainsäädännön nojalla annettujen todistusten voimassaolo päättyy viimeistään kahden vuoden kuluttua asetuksen sovelta</w:t>
      </w:r>
      <w:r>
        <w:rPr>
          <w:noProof/>
        </w:rPr>
        <w:t>mispäivästä. Laitteita, jotka on saatettu laillisesti markkinoille aiempien direktiivien nojalla ennen asetuksen soveltamispäivää, voidaan edelleen asettaa markkinoilla saataville tai ottaa käyttöön kolmen vuoden ajan soveltamispäivästä.</w:t>
      </w:r>
    </w:p>
    <w:p w:rsidR="00A841F9" w:rsidRDefault="002A5F7D">
      <w:pPr>
        <w:rPr>
          <w:noProof/>
        </w:rPr>
      </w:pPr>
      <w:r>
        <w:rPr>
          <w:noProof/>
        </w:rPr>
        <w:t>-&gt; Komissio hyväks</w:t>
      </w:r>
      <w:r>
        <w:rPr>
          <w:noProof/>
        </w:rPr>
        <w:t>yy edellä mainitut muutokset.</w:t>
      </w:r>
    </w:p>
    <w:p w:rsidR="00A841F9" w:rsidRDefault="002A5F7D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Päätelmät</w:t>
      </w:r>
    </w:p>
    <w:p w:rsidR="00A841F9" w:rsidRDefault="002A5F7D">
      <w:pPr>
        <w:rPr>
          <w:noProof/>
        </w:rPr>
      </w:pPr>
      <w:r>
        <w:rPr>
          <w:noProof/>
        </w:rPr>
        <w:t>Neuvosto teki päätöksensä yksimielisesti.</w:t>
      </w:r>
    </w:p>
    <w:p w:rsidR="00A841F9" w:rsidRDefault="002A5F7D">
      <w:pPr>
        <w:rPr>
          <w:noProof/>
        </w:rPr>
      </w:pPr>
      <w:r>
        <w:rPr>
          <w:noProof/>
        </w:rPr>
        <w:t>Päätelmänä voidaan todeta, että komissio kannattaa neuvoston vahvistamaa kantaa.</w:t>
      </w:r>
      <w:r>
        <w:rPr>
          <w:noProof/>
          <w:spacing w:val="-2"/>
        </w:rPr>
        <w:t xml:space="preserve"> </w:t>
      </w:r>
    </w:p>
    <w:p w:rsidR="00A841F9" w:rsidRDefault="002A5F7D">
      <w:pPr>
        <w:pStyle w:val="ManualHeading1"/>
        <w:rPr>
          <w:noProof/>
        </w:rPr>
      </w:pPr>
      <w:r>
        <w:rPr>
          <w:noProof/>
        </w:rPr>
        <w:t>5. LAUSUMAT</w:t>
      </w:r>
    </w:p>
    <w:p w:rsidR="00A841F9" w:rsidRDefault="002A5F7D">
      <w:pPr>
        <w:rPr>
          <w:noProof/>
        </w:rPr>
      </w:pPr>
      <w:r>
        <w:rPr>
          <w:noProof/>
        </w:rPr>
        <w:t>Komissio esittää seuraavat kaksi lausumaa:</w:t>
      </w:r>
    </w:p>
    <w:p w:rsidR="00A841F9" w:rsidRDefault="002A5F7D">
      <w:pPr>
        <w:pStyle w:val="Point0number"/>
        <w:numPr>
          <w:ilvl w:val="0"/>
          <w:numId w:val="2"/>
        </w:numPr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Komission lausuma in vitro </w:t>
      </w:r>
      <w:r>
        <w:rPr>
          <w:b/>
          <w:noProof/>
          <w:lang w:eastAsia="en-GB"/>
        </w:rPr>
        <w:noBreakHyphen/>
      </w:r>
      <w:r>
        <w:rPr>
          <w:b/>
          <w:noProof/>
          <w:lang w:eastAsia="en-GB"/>
        </w:rPr>
        <w:t>diagnostiikkaan tarkoitettuja lääkinnällisiä laitteita koskevan asetuksen 4 artiklaan sisältyvistä säännöksistä, jotka liittyvät geenitestauksen yhteydessä annettaviin tietoihin ja neuvontaan</w:t>
      </w:r>
    </w:p>
    <w:p w:rsidR="00A841F9" w:rsidRDefault="002A5F7D">
      <w:pPr>
        <w:spacing w:before="100" w:beforeAutospacing="1" w:after="100" w:afterAutospacing="1" w:line="276" w:lineRule="auto"/>
        <w:rPr>
          <w:noProof/>
          <w:szCs w:val="24"/>
          <w:lang w:eastAsia="en-GB"/>
        </w:rPr>
      </w:pPr>
      <w:r>
        <w:rPr>
          <w:iCs/>
          <w:noProof/>
          <w:szCs w:val="24"/>
          <w:lang w:eastAsia="en-GB"/>
        </w:rPr>
        <w:t>Komissio laatii viimeistään viiden vuoden kuluttua asetuksen sov</w:t>
      </w:r>
      <w:r>
        <w:rPr>
          <w:iCs/>
          <w:noProof/>
          <w:szCs w:val="24"/>
          <w:lang w:eastAsia="en-GB"/>
        </w:rPr>
        <w:t>eltamispäivästä ja asetuksen 111 artiklassa säädetyn, 4 artiklan toimivuuden tarkastelun yhteydessä kertomuksen jäsenvaltioiden kokemuksista 4 artiklan mukaisten, geenitestien käytön yhteydessä annettavia tietoja ja neuvontaa koskevien velvoitteiden sovelt</w:t>
      </w:r>
      <w:r>
        <w:rPr>
          <w:iCs/>
          <w:noProof/>
          <w:szCs w:val="24"/>
          <w:lang w:eastAsia="en-GB"/>
        </w:rPr>
        <w:t>amisesta. Komissio raportoi erityisesti erilaisista käytännöistä vertaamalla niitä asetuksessa asetettuun kahteen tavoitteeseen eli korkeatasoisen potilasturvallisuuden varmistamiseen ja sisämarkkinoiden moitteettoman toiminnan takaamiseen.</w:t>
      </w:r>
    </w:p>
    <w:p w:rsidR="00A841F9" w:rsidRDefault="002A5F7D">
      <w:pPr>
        <w:pStyle w:val="Point0number"/>
        <w:pBdr>
          <w:top w:val="none" w:sz="0" w:space="0" w:color="FFFF00"/>
          <w:left w:val="none" w:sz="0" w:space="0" w:color="FFFF00"/>
          <w:bottom w:val="none" w:sz="0" w:space="0" w:color="FFFF00"/>
          <w:right w:val="none" w:sz="0" w:space="0" w:color="FFFF00"/>
        </w:pBdr>
        <w:rPr>
          <w:b/>
          <w:noProof/>
          <w:lang w:eastAsia="en-GB"/>
        </w:rPr>
      </w:pPr>
      <w:r>
        <w:rPr>
          <w:b/>
          <w:noProof/>
          <w:lang w:eastAsia="en-GB"/>
        </w:rPr>
        <w:t>Komission lausu</w:t>
      </w:r>
      <w:r>
        <w:rPr>
          <w:b/>
          <w:noProof/>
          <w:lang w:eastAsia="en-GB"/>
        </w:rPr>
        <w:t>ma elämäntapaan ja hyvinvointiin liittyviä tarkoituksia varten tehtävästä geenitestauksesta</w:t>
      </w:r>
    </w:p>
    <w:p w:rsidR="00A841F9" w:rsidRDefault="002A5F7D">
      <w:pPr>
        <w:spacing w:before="100" w:beforeAutospacing="1" w:after="100" w:afterAutospacing="1" w:line="276" w:lineRule="auto"/>
        <w:rPr>
          <w:iCs/>
          <w:noProof/>
          <w:szCs w:val="24"/>
          <w:lang w:eastAsia="en-GB"/>
        </w:rPr>
      </w:pPr>
      <w:r>
        <w:rPr>
          <w:iCs/>
          <w:noProof/>
          <w:szCs w:val="24"/>
          <w:lang w:eastAsia="en-GB"/>
        </w:rPr>
        <w:t>Hyvinvointiin tai elämäntapaan liittyviä tarkoituksia varten tehtävästä geenitestauksesta komissio korostaa, että in vitro -diagnostiikkaan tarkoitettuja lääkinnäll</w:t>
      </w:r>
      <w:r>
        <w:rPr>
          <w:iCs/>
          <w:noProof/>
          <w:szCs w:val="24"/>
          <w:lang w:eastAsia="en-GB"/>
        </w:rPr>
        <w:t xml:space="preserve">isiä laitteita koskevan asetuksen 2 artiklan (Määritelmät) soveltamisalaan eivät kuulu laitteet, joilla ei ole lääketieteellistä käyttötarkoitusta ja joiden tarkoituksena on muun muassa ylläpitää tai parantaa suoraan tai välillisesti ihmisten terveellisiä </w:t>
      </w:r>
      <w:r>
        <w:rPr>
          <w:iCs/>
          <w:noProof/>
          <w:szCs w:val="24"/>
          <w:lang w:eastAsia="en-GB"/>
        </w:rPr>
        <w:t>elämäntapoja, elämänlaatua ja hyvinvointia. Komissio aikoo kuitenkin jäsenvaltioiden toteuttamien markkinavalvontatoimien perusteella seurata erityisiä turvallisuuskysymyksiä, joita tällaisten laitteiden käyttöön saattaa liittyä.</w:t>
      </w:r>
    </w:p>
    <w:sectPr w:rsidR="00A841F9"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F9" w:rsidRDefault="002A5F7D">
      <w:pPr>
        <w:spacing w:before="0" w:after="0"/>
      </w:pPr>
      <w:r>
        <w:separator/>
      </w:r>
    </w:p>
  </w:endnote>
  <w:endnote w:type="continuationSeparator" w:id="0">
    <w:p w:rsidR="00A841F9" w:rsidRDefault="002A5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F9" w:rsidRDefault="002A5F7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FI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F9" w:rsidRDefault="002A5F7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F9" w:rsidRDefault="00A84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F9" w:rsidRDefault="002A5F7D">
      <w:pPr>
        <w:spacing w:before="0" w:after="0"/>
      </w:pPr>
      <w:r>
        <w:separator/>
      </w:r>
    </w:p>
  </w:footnote>
  <w:footnote w:type="continuationSeparator" w:id="0">
    <w:p w:rsidR="00A841F9" w:rsidRDefault="002A5F7D">
      <w:pPr>
        <w:spacing w:before="0" w:after="0"/>
      </w:pPr>
      <w:r>
        <w:continuationSeparator/>
      </w:r>
    </w:p>
  </w:footnote>
  <w:footnote w:id="1">
    <w:p w:rsidR="00A841F9" w:rsidRDefault="002A5F7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</w:r>
      <w:r>
        <w:t>EYVL L 331, 7.12.1998, s. 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78437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B603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19081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1169A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3E861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98A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6E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BE9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3-06 17:04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FA86E94F509641CBA05881175480C510"/>
    <w:docVar w:name="LW_CROSSREFERENCE" w:val="&lt;UNUSED&gt;"/>
    <w:docVar w:name="LW_DocType" w:val="COM"/>
    <w:docVar w:name="LW_EMISSION" w:val="9.3.2017"/>
    <w:docVar w:name="LW_EMISSION_ISODATE" w:val="2017-03-09"/>
    <w:docVar w:name="LW_EMISSION_LOCATION" w:val="BRX"/>
    <w:docVar w:name="LW_EMISSION_PREFIX" w:val="Bryssel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FI"/>
    <w:docVar w:name="LW_MARKING" w:val="&lt;UNUSED&gt;"/>
    <w:docVar w:name="LW_NOM.INST" w:val="EUROOPAN KOMISSIO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67"/>
    <w:docVar w:name="LW_REF.II.NEW.CP_YEAR" w:val="2012"/>
    <w:docVar w:name="LW_REF.INST.NEW" w:val="COM"/>
    <w:docVar w:name="LW_REF.INST.NEW_ADOPTED" w:val="final"/>
    <w:docVar w:name="LW_REF.INST.NEW_TEXT" w:val="(2017) 127"/>
    <w:docVar w:name="LW_REF.INTERNE" w:val="&lt;UNUSED&gt;"/>
    <w:docVar w:name="LW_SOUS.TITRE.OBJ.CP" w:val="&lt;UNUSED&gt;"/>
    <w:docVar w:name="LW_SUPERTITRE" w:val="&lt;UNUSED&gt;"/>
    <w:docVar w:name="LW_TITRE.OBJ.CP" w:val="neuvoston kannasta_x000b__x000b_Euroopan parlamentin ja neuvoston asetuksen antamiseksi in vitro _x001e_diagnostiikkaan tarkoitetuista lääkinnällisistä laitteista"/>
    <w:docVar w:name="LW_TYPE.DOC.CP" w:val="KOMISSION TIEDONANTO_x000b_EUROOPAN PARLAMENTILLE_x000b__x000b_Euroopan unionin toiminnasta tehdyn sopimuksen 294 artiklan 6 kohdan mukaisesti"/>
  </w:docVars>
  <w:rsids>
    <w:rsidRoot w:val="00A841F9"/>
    <w:rsid w:val="002A5F7D"/>
    <w:rsid w:val="00A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DD6C-C72B-4869-BAB6-4C4FFC74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7</Pages>
  <Words>1752</Words>
  <Characters>15706</Characters>
  <Application>Microsoft Office Word</Application>
  <DocSecurity>0</DocSecurity>
  <Lines>257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JANSEN Colette (SG)</cp:lastModifiedBy>
  <cp:revision>17</cp:revision>
  <cp:lastPrinted>2017-02-02T09:09:00Z</cp:lastPrinted>
  <dcterms:created xsi:type="dcterms:W3CDTF">2017-03-03T10:19:00Z</dcterms:created>
  <dcterms:modified xsi:type="dcterms:W3CDTF">2017-03-07T12:15:00Z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03)</vt:lpwstr>
  </property>
</Properties>
</file>