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2E445EC3FC54DE8931EBE531635E3D7" style="width:450.75pt;height:480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ANEXĂ</w:t>
      </w:r>
    </w:p>
    <w:p>
      <w:pPr>
        <w:pStyle w:val="NumPar1"/>
        <w:numPr>
          <w:ilvl w:val="0"/>
          <w:numId w:val="1"/>
        </w:numPr>
        <w:rPr>
          <w:b/>
          <w:noProof/>
        </w:rPr>
      </w:pPr>
      <w:r>
        <w:rPr>
          <w:b/>
          <w:noProof/>
        </w:rPr>
        <w:t>Regulamentul (CE) nr. 1206/2001 al Consiliului din 28 mai 2001 privind cooperarea între instanțele statelor membre în domeniul obținerii de probe în materie civilă sau comercială</w:t>
      </w:r>
      <w:r>
        <w:rPr>
          <w:rStyle w:val="FootnoteReference"/>
          <w:b/>
          <w:noProof/>
        </w:rPr>
        <w:footnoteReference w:id="1"/>
      </w:r>
      <w:r>
        <w:rPr>
          <w:b/>
          <w:noProof/>
        </w:rPr>
        <w:t xml:space="preserve"> </w:t>
      </w:r>
    </w:p>
    <w:p>
      <w:pPr>
        <w:rPr>
          <w:noProof/>
        </w:rPr>
      </w:pPr>
    </w:p>
    <w:p>
      <w:pPr>
        <w:rPr>
          <w:noProof/>
        </w:rPr>
      </w:pPr>
      <w:r>
        <w:rPr>
          <w:noProof/>
        </w:rPr>
        <w:t>În vederea actualizării Regulamentului (CE) nr. 1206/2001, competența de a adopta acte în conformitate cu articolul 290 din tratat ar trebui delegată Comisiei pentru a modifica anexa la regulamentul menționat în scopul adaptării formularelor-tip sau al efectuării de modificări tehnice. Este deosebit de important ca, în cursul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 În special, pentru a asigura participarea egală la pregătirea actelor delegate, Parlamentul European și Consiliul primesc toate documentele în același timp cu experții din statele membre, iar experții acestor instituții au acces sistematic la reuniunile grupurilor de experți ale Comisiei însărcinate cu pregătirea actelor delegate.</w:t>
      </w:r>
    </w:p>
    <w:p>
      <w:pPr>
        <w:rPr>
          <w:noProof/>
        </w:rPr>
      </w:pPr>
    </w:p>
    <w:p>
      <w:pPr>
        <w:rPr>
          <w:noProof/>
        </w:rPr>
      </w:pPr>
      <w:r>
        <w:rPr>
          <w:noProof/>
        </w:rPr>
        <w:t>În consecință, Regulamentul (CE) nr. 1206/2001 se modifică după cum urmează:</w:t>
      </w:r>
    </w:p>
    <w:p>
      <w:pPr>
        <w:rPr>
          <w:noProof/>
        </w:rPr>
      </w:pPr>
    </w:p>
    <w:p>
      <w:pPr>
        <w:pStyle w:val="Default"/>
        <w:jc w:val="both"/>
        <w:rPr>
          <w:noProof/>
          <w:sz w:val="23"/>
          <w:szCs w:val="23"/>
        </w:rPr>
      </w:pPr>
      <w:r>
        <w:rPr>
          <w:noProof/>
          <w:sz w:val="23"/>
        </w:rPr>
        <w:t>(1) articolul 19 se modifică după cum urmează:</w:t>
      </w:r>
    </w:p>
    <w:p>
      <w:pPr>
        <w:pStyle w:val="Default"/>
        <w:jc w:val="both"/>
        <w:rPr>
          <w:noProof/>
          <w:sz w:val="23"/>
          <w:szCs w:val="23"/>
        </w:rPr>
      </w:pPr>
    </w:p>
    <w:p>
      <w:pPr>
        <w:pStyle w:val="Default"/>
        <w:ind w:firstLine="720"/>
        <w:jc w:val="both"/>
        <w:rPr>
          <w:noProof/>
          <w:sz w:val="23"/>
          <w:szCs w:val="23"/>
        </w:rPr>
      </w:pPr>
      <w:r>
        <w:rPr>
          <w:noProof/>
          <w:sz w:val="23"/>
        </w:rPr>
        <w:t>(a)</w:t>
      </w:r>
      <w:r>
        <w:rPr>
          <w:noProof/>
        </w:rPr>
        <w:tab/>
      </w:r>
      <w:r>
        <w:rPr>
          <w:noProof/>
          <w:sz w:val="23"/>
        </w:rPr>
        <w:t>titlul se înlocuiește cu următorul text:</w:t>
      </w:r>
    </w:p>
    <w:p>
      <w:pPr>
        <w:pStyle w:val="Default"/>
        <w:ind w:firstLine="720"/>
        <w:jc w:val="both"/>
        <w:rPr>
          <w:noProof/>
          <w:sz w:val="23"/>
          <w:szCs w:val="23"/>
        </w:rPr>
      </w:pPr>
    </w:p>
    <w:p>
      <w:pPr>
        <w:pStyle w:val="Default"/>
        <w:jc w:val="center"/>
        <w:rPr>
          <w:noProof/>
          <w:sz w:val="23"/>
          <w:szCs w:val="23"/>
        </w:rPr>
      </w:pPr>
      <w:r>
        <w:rPr>
          <w:noProof/>
          <w:sz w:val="23"/>
        </w:rPr>
        <w:t>„Manual”;</w:t>
      </w:r>
    </w:p>
    <w:p>
      <w:pPr>
        <w:pStyle w:val="Default"/>
        <w:ind w:firstLine="720"/>
        <w:jc w:val="both"/>
        <w:rPr>
          <w:noProof/>
          <w:sz w:val="23"/>
          <w:szCs w:val="23"/>
        </w:rPr>
      </w:pPr>
      <w:r>
        <w:rPr>
          <w:noProof/>
          <w:sz w:val="23"/>
        </w:rPr>
        <w:t>(b)</w:t>
      </w:r>
      <w:r>
        <w:rPr>
          <w:noProof/>
        </w:rPr>
        <w:tab/>
      </w:r>
      <w:r>
        <w:rPr>
          <w:noProof/>
          <w:sz w:val="23"/>
        </w:rPr>
        <w:t>alineatul (2) se elimină;</w:t>
      </w:r>
    </w:p>
    <w:p>
      <w:pPr>
        <w:pStyle w:val="Default"/>
        <w:ind w:firstLine="720"/>
        <w:jc w:val="both"/>
        <w:rPr>
          <w:noProof/>
          <w:sz w:val="23"/>
          <w:szCs w:val="23"/>
        </w:rPr>
      </w:pPr>
    </w:p>
    <w:p>
      <w:pPr>
        <w:pStyle w:val="Default"/>
        <w:jc w:val="both"/>
        <w:rPr>
          <w:noProof/>
          <w:sz w:val="23"/>
          <w:szCs w:val="23"/>
        </w:rPr>
      </w:pPr>
      <w:r>
        <w:rPr>
          <w:noProof/>
          <w:sz w:val="23"/>
        </w:rPr>
        <w:t>(2) se introduc următoarele articole 19a și 19b:</w:t>
      </w:r>
    </w:p>
    <w:p>
      <w:pPr>
        <w:pStyle w:val="Default"/>
        <w:jc w:val="both"/>
        <w:rPr>
          <w:noProof/>
          <w:sz w:val="23"/>
          <w:szCs w:val="23"/>
        </w:rPr>
      </w:pPr>
    </w:p>
    <w:p>
      <w:pPr>
        <w:pStyle w:val="Default"/>
        <w:jc w:val="both"/>
        <w:rPr>
          <w:noProof/>
          <w:sz w:val="23"/>
          <w:szCs w:val="23"/>
        </w:rPr>
      </w:pPr>
    </w:p>
    <w:p>
      <w:pPr>
        <w:pStyle w:val="Default"/>
        <w:ind w:left="720"/>
        <w:jc w:val="center"/>
        <w:rPr>
          <w:i/>
          <w:iCs/>
          <w:noProof/>
        </w:rPr>
      </w:pPr>
      <w:r>
        <w:rPr>
          <w:i/>
          <w:noProof/>
        </w:rPr>
        <w:t>„Articolul 19a</w:t>
      </w:r>
    </w:p>
    <w:p>
      <w:pPr>
        <w:pStyle w:val="Default"/>
        <w:ind w:left="720"/>
        <w:jc w:val="center"/>
        <w:rPr>
          <w:b/>
          <w:iCs/>
          <w:noProof/>
        </w:rPr>
      </w:pPr>
      <w:r>
        <w:rPr>
          <w:b/>
          <w:noProof/>
        </w:rPr>
        <w:t>Acte delegate</w:t>
      </w:r>
    </w:p>
    <w:p>
      <w:pPr>
        <w:pStyle w:val="Default"/>
        <w:ind w:left="720"/>
        <w:rPr>
          <w:noProof/>
        </w:rPr>
      </w:pPr>
    </w:p>
    <w:p>
      <w:pPr>
        <w:pStyle w:val="Default"/>
        <w:ind w:left="720"/>
        <w:jc w:val="both"/>
        <w:rPr>
          <w:noProof/>
        </w:rPr>
      </w:pPr>
      <w:r>
        <w:rPr>
          <w:noProof/>
        </w:rPr>
        <w:t>Comisia este împuternicită să adopte, în conformitate cu articolul 19b, acte delegate de modificare a anexei pentru a actualiza formularele-tip sau pentru a aduce modificări tehnice acestor formulare.”;</w:t>
      </w:r>
    </w:p>
    <w:p>
      <w:pPr>
        <w:pStyle w:val="Default"/>
        <w:jc w:val="both"/>
        <w:rPr>
          <w:noProof/>
        </w:rPr>
      </w:pPr>
    </w:p>
    <w:p>
      <w:pPr>
        <w:pStyle w:val="Default"/>
        <w:rPr>
          <w:noProof/>
          <w:sz w:val="23"/>
          <w:szCs w:val="23"/>
        </w:rPr>
      </w:pPr>
    </w:p>
    <w:p>
      <w:pPr>
        <w:pStyle w:val="Default"/>
        <w:ind w:left="720"/>
        <w:jc w:val="center"/>
        <w:rPr>
          <w:i/>
          <w:iCs/>
          <w:noProof/>
          <w:sz w:val="23"/>
          <w:szCs w:val="23"/>
        </w:rPr>
      </w:pPr>
      <w:r>
        <w:rPr>
          <w:i/>
          <w:noProof/>
          <w:sz w:val="23"/>
        </w:rPr>
        <w:t>„Articolul 19b</w:t>
      </w:r>
    </w:p>
    <w:p>
      <w:pPr>
        <w:pStyle w:val="Default"/>
        <w:ind w:left="720"/>
        <w:jc w:val="center"/>
        <w:rPr>
          <w:b/>
          <w:iCs/>
          <w:noProof/>
          <w:sz w:val="23"/>
          <w:szCs w:val="23"/>
        </w:rPr>
      </w:pPr>
      <w:r>
        <w:rPr>
          <w:b/>
          <w:noProof/>
          <w:sz w:val="23"/>
        </w:rPr>
        <w:t>Exercitarea delegării</w:t>
      </w:r>
    </w:p>
    <w:p>
      <w:pPr>
        <w:pStyle w:val="Default"/>
        <w:ind w:left="720"/>
        <w:jc w:val="both"/>
        <w:rPr>
          <w:noProof/>
          <w:sz w:val="23"/>
          <w:szCs w:val="23"/>
        </w:rPr>
      </w:pPr>
    </w:p>
    <w:p>
      <w:pPr>
        <w:pStyle w:val="Default"/>
        <w:ind w:left="720"/>
        <w:jc w:val="both"/>
        <w:rPr>
          <w:noProof/>
          <w:sz w:val="23"/>
          <w:szCs w:val="23"/>
        </w:rPr>
      </w:pPr>
      <w:r>
        <w:rPr>
          <w:noProof/>
          <w:sz w:val="23"/>
        </w:rPr>
        <w:t xml:space="preserve">1. Competența de a adopta acte delegate se conferă Comisiei în condițiile stabilite la prezentul articol. </w:t>
      </w:r>
    </w:p>
    <w:p>
      <w:pPr>
        <w:pStyle w:val="Default"/>
        <w:ind w:left="720"/>
        <w:jc w:val="both"/>
        <w:rPr>
          <w:noProof/>
          <w:sz w:val="23"/>
          <w:szCs w:val="23"/>
        </w:rPr>
      </w:pPr>
    </w:p>
    <w:p>
      <w:pPr>
        <w:pStyle w:val="Default"/>
        <w:ind w:left="720"/>
        <w:jc w:val="both"/>
        <w:rPr>
          <w:noProof/>
          <w:sz w:val="23"/>
          <w:szCs w:val="23"/>
        </w:rPr>
      </w:pPr>
      <w:r>
        <w:rPr>
          <w:noProof/>
          <w:sz w:val="23"/>
        </w:rPr>
        <w:lastRenderedPageBreak/>
        <w:t xml:space="preserve">2. Competența de a adopta acte delegate menționată la articolul 19a se conferă Comisiei pentru o perioadă de timp nedeterminată de la data intrării în vigoare a prezentului regulament. </w:t>
      </w:r>
    </w:p>
    <w:p>
      <w:pPr>
        <w:pStyle w:val="Default"/>
        <w:ind w:left="720"/>
        <w:jc w:val="both"/>
        <w:rPr>
          <w:noProof/>
          <w:sz w:val="23"/>
          <w:szCs w:val="23"/>
        </w:rPr>
      </w:pPr>
    </w:p>
    <w:p>
      <w:pPr>
        <w:ind w:left="720"/>
        <w:rPr>
          <w:noProof/>
          <w:sz w:val="23"/>
          <w:szCs w:val="23"/>
        </w:rPr>
      </w:pPr>
      <w:r>
        <w:rPr>
          <w:noProof/>
          <w:sz w:val="23"/>
        </w:rPr>
        <w:t xml:space="preserve">3. Delegarea de competențe menționată la articolul 19a poate fi revocată în orice moment de către Parlamentul European sau de către Consiliu. O decizie de revocare pune capăt delegării de competențe specificate în respectiva decizie. Aceasta intră în vigoare în ziua următoare publicării deciziei în </w:t>
      </w:r>
      <w:r>
        <w:rPr>
          <w:i/>
          <w:noProof/>
          <w:sz w:val="23"/>
        </w:rPr>
        <w:t>Jurnalul Oficial al Uniunii Europene</w:t>
      </w:r>
      <w:r>
        <w:rPr>
          <w:noProof/>
          <w:sz w:val="23"/>
        </w:rPr>
        <w:t xml:space="preserve"> sau la o dată ulterioară specificată în decizie. Decizia nu aduce atingere validității oricăror acte delegate care sunt deja în vigoare.</w:t>
      </w:r>
    </w:p>
    <w:p>
      <w:pPr>
        <w:ind w:left="720"/>
        <w:rPr>
          <w:noProof/>
          <w:sz w:val="23"/>
          <w:szCs w:val="23"/>
        </w:rPr>
      </w:pPr>
    </w:p>
    <w:p>
      <w:pPr>
        <w:pStyle w:val="Default"/>
        <w:ind w:left="720"/>
        <w:jc w:val="both"/>
        <w:rPr>
          <w:noProof/>
          <w:sz w:val="23"/>
          <w:szCs w:val="23"/>
        </w:rPr>
      </w:pPr>
      <w:r>
        <w:rPr>
          <w:noProof/>
          <w:sz w:val="23"/>
        </w:rPr>
        <w:t xml:space="preserve">4. Înainte de adoptarea unui act delegat, Comisia îi consultă pe experții desemnați de fiecare stat membru în conformitate cu principiile prevăzute în Acordul interinstituțional privind o mai bună legiferare din 13 aprilie 2016*. </w:t>
      </w:r>
    </w:p>
    <w:p>
      <w:pPr>
        <w:pStyle w:val="Default"/>
        <w:ind w:left="720"/>
        <w:jc w:val="both"/>
        <w:rPr>
          <w:noProof/>
          <w:sz w:val="23"/>
          <w:szCs w:val="23"/>
        </w:rPr>
      </w:pPr>
    </w:p>
    <w:p>
      <w:pPr>
        <w:pStyle w:val="Default"/>
        <w:ind w:left="720"/>
        <w:jc w:val="both"/>
        <w:rPr>
          <w:noProof/>
          <w:sz w:val="23"/>
          <w:szCs w:val="23"/>
        </w:rPr>
      </w:pPr>
      <w:r>
        <w:rPr>
          <w:noProof/>
          <w:sz w:val="23"/>
        </w:rPr>
        <w:t xml:space="preserve">5. De îndată ce adoptă un act delegat, Comisia îl notifică simultan Parlamentului European și Consiliului. </w:t>
      </w:r>
    </w:p>
    <w:p>
      <w:pPr>
        <w:pStyle w:val="Default"/>
        <w:ind w:left="720"/>
        <w:jc w:val="both"/>
        <w:rPr>
          <w:noProof/>
          <w:sz w:val="23"/>
          <w:szCs w:val="23"/>
        </w:rPr>
      </w:pPr>
    </w:p>
    <w:p>
      <w:pPr>
        <w:pStyle w:val="Default"/>
        <w:ind w:left="720"/>
        <w:jc w:val="both"/>
        <w:rPr>
          <w:noProof/>
          <w:sz w:val="23"/>
          <w:szCs w:val="23"/>
        </w:rPr>
      </w:pPr>
      <w:r>
        <w:rPr>
          <w:noProof/>
          <w:sz w:val="23"/>
        </w:rPr>
        <w:t xml:space="preserve">6. Un act delegat adoptat în temeiul articolului 19a intră în vigoare numai în cazul în care nici Parlamentul European și nici Consiliul nu au formulat obiecții în termen de două luni de la notificarea acestuia Parlamentului European și Consiliului sau în cazul în care, înainte de expirarea termenului respectiv, Parlamentul European și Consiliul au informat Comisia cu privire la faptul că nu vor formula obiecții. Acest termen se prelungește cu două luni la inițiativa Parlamentului European sau a Consiliului. </w:t>
      </w:r>
    </w:p>
    <w:p>
      <w:pPr>
        <w:pStyle w:val="Default"/>
        <w:ind w:left="720"/>
        <w:rPr>
          <w:noProof/>
          <w:sz w:val="23"/>
          <w:szCs w:val="23"/>
        </w:rPr>
      </w:pPr>
      <w:r>
        <w:rPr>
          <w:noProof/>
          <w:sz w:val="23"/>
        </w:rPr>
        <w:t>_________________________</w:t>
      </w:r>
    </w:p>
    <w:p>
      <w:pPr>
        <w:pStyle w:val="Default"/>
        <w:ind w:left="720"/>
        <w:rPr>
          <w:noProof/>
          <w:sz w:val="20"/>
          <w:szCs w:val="20"/>
        </w:rPr>
      </w:pPr>
      <w:r>
        <w:rPr>
          <w:noProof/>
          <w:sz w:val="20"/>
        </w:rPr>
        <w:t>*</w:t>
      </w:r>
      <w:r>
        <w:rPr>
          <w:noProof/>
        </w:rPr>
        <w:tab/>
      </w:r>
      <w:r>
        <w:rPr>
          <w:noProof/>
          <w:sz w:val="20"/>
        </w:rPr>
        <w:t>JO L 123, 12.5.2016, p. 1.”;</w:t>
      </w:r>
    </w:p>
    <w:p>
      <w:pPr>
        <w:pStyle w:val="Default"/>
        <w:ind w:left="720"/>
        <w:jc w:val="both"/>
        <w:rPr>
          <w:noProof/>
          <w:sz w:val="23"/>
          <w:szCs w:val="23"/>
        </w:rPr>
      </w:pPr>
    </w:p>
    <w:p>
      <w:pPr>
        <w:pStyle w:val="Default"/>
        <w:jc w:val="both"/>
        <w:rPr>
          <w:noProof/>
          <w:sz w:val="23"/>
          <w:szCs w:val="23"/>
        </w:rPr>
      </w:pPr>
    </w:p>
    <w:p>
      <w:pPr>
        <w:pStyle w:val="Default"/>
        <w:jc w:val="both"/>
        <w:rPr>
          <w:noProof/>
          <w:sz w:val="23"/>
          <w:szCs w:val="23"/>
        </w:rPr>
      </w:pPr>
      <w:r>
        <w:rPr>
          <w:noProof/>
          <w:sz w:val="23"/>
        </w:rPr>
        <w:t xml:space="preserve">(3) Articolul 20 se elimină. </w:t>
      </w:r>
    </w:p>
    <w:p>
      <w:pPr>
        <w:pStyle w:val="Default"/>
        <w:ind w:left="720"/>
        <w:jc w:val="both"/>
        <w:rPr>
          <w:noProof/>
          <w:sz w:val="23"/>
          <w:szCs w:val="23"/>
        </w:rPr>
      </w:pPr>
    </w:p>
    <w:p>
      <w:pPr>
        <w:rPr>
          <w:noProof/>
        </w:rPr>
      </w:pPr>
    </w:p>
    <w:p>
      <w:pPr>
        <w:pStyle w:val="NumPar1"/>
        <w:rPr>
          <w:b/>
          <w:noProof/>
        </w:rPr>
      </w:pPr>
      <w:r>
        <w:rPr>
          <w:b/>
          <w:noProof/>
        </w:rPr>
        <w:t>Regulamentul (CE) nr. 805/2004 al Parlamentului European și al Consiliului din 21 aprilie 2004 privind crearea unui Titlu Executoriu European pentru creanțele necontestate</w:t>
      </w:r>
      <w:r>
        <w:rPr>
          <w:rStyle w:val="FootnoteReference"/>
          <w:b/>
          <w:noProof/>
        </w:rPr>
        <w:footnoteReference w:id="2"/>
      </w:r>
      <w:r>
        <w:rPr>
          <w:b/>
          <w:noProof/>
        </w:rPr>
        <w:t xml:space="preserve"> </w:t>
      </w:r>
    </w:p>
    <w:p>
      <w:pPr>
        <w:rPr>
          <w:noProof/>
        </w:rPr>
      </w:pPr>
    </w:p>
    <w:p>
      <w:pPr>
        <w:rPr>
          <w:noProof/>
        </w:rPr>
      </w:pPr>
      <w:r>
        <w:rPr>
          <w:noProof/>
        </w:rPr>
        <w:t>În vederea actualizării Regulamentului (CE) nr. 805/2004, competența de a adopta acte în conformitate cu articolul 290 din tratat ar trebui delegată Comisiei pentru a modifica anexele la regulamentul menționat în scopul adaptării formularelor-tip. Este deosebit de important ca, în cursul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 În special, pentru a asigura participarea egală la pregătirea actelor delegate, Parlamentul European și Consiliul primesc toate documentele în același timp cu experții din statele membre, iar experții acestor instituții au acces sistematic la reuniunile grupurilor de experți ale Comisiei însărcinate cu pregătirea actelor delegate.</w:t>
      </w:r>
    </w:p>
    <w:p>
      <w:pPr>
        <w:rPr>
          <w:noProof/>
        </w:rPr>
      </w:pPr>
    </w:p>
    <w:p>
      <w:pPr>
        <w:rPr>
          <w:noProof/>
        </w:rPr>
      </w:pPr>
      <w:r>
        <w:rPr>
          <w:noProof/>
        </w:rPr>
        <w:t>În consecință, Regulamentul (CE) nr. 805/2004 se modifică după cum urmează:</w:t>
      </w:r>
    </w:p>
    <w:p>
      <w:pPr>
        <w:rPr>
          <w:noProof/>
        </w:rPr>
      </w:pPr>
    </w:p>
    <w:p>
      <w:pPr>
        <w:rPr>
          <w:noProof/>
        </w:rPr>
      </w:pPr>
      <w:r>
        <w:rPr>
          <w:noProof/>
        </w:rPr>
        <w:t xml:space="preserve">(1) articolul 31 se înlocuiește cu următorul text: </w:t>
      </w:r>
    </w:p>
    <w:p>
      <w:pPr>
        <w:rPr>
          <w:noProof/>
        </w:rPr>
      </w:pPr>
    </w:p>
    <w:p>
      <w:pPr>
        <w:ind w:left="720"/>
        <w:jc w:val="center"/>
        <w:rPr>
          <w:i/>
          <w:iCs/>
          <w:noProof/>
        </w:rPr>
      </w:pPr>
      <w:r>
        <w:rPr>
          <w:i/>
          <w:noProof/>
        </w:rPr>
        <w:t>„Articolul 31</w:t>
      </w:r>
    </w:p>
    <w:p>
      <w:pPr>
        <w:ind w:left="720"/>
        <w:jc w:val="center"/>
        <w:rPr>
          <w:b/>
          <w:iCs/>
          <w:noProof/>
        </w:rPr>
      </w:pPr>
      <w:r>
        <w:rPr>
          <w:b/>
          <w:noProof/>
        </w:rPr>
        <w:t>Modificarea anexelor</w:t>
      </w:r>
    </w:p>
    <w:p>
      <w:pPr>
        <w:ind w:left="720"/>
        <w:rPr>
          <w:noProof/>
        </w:rPr>
      </w:pPr>
    </w:p>
    <w:p>
      <w:pPr>
        <w:ind w:left="720"/>
        <w:rPr>
          <w:noProof/>
        </w:rPr>
      </w:pPr>
      <w:r>
        <w:rPr>
          <w:noProof/>
        </w:rPr>
        <w:t>Comisia este împuternicită să adopte, în conformitate cu articolul 31a, acte delegate de modificare a anexelor pentru a actualiza formularele-tip.”;</w:t>
      </w:r>
    </w:p>
    <w:p>
      <w:pPr>
        <w:rPr>
          <w:i/>
          <w:iCs/>
          <w:noProof/>
        </w:rPr>
      </w:pPr>
    </w:p>
    <w:p>
      <w:pPr>
        <w:rPr>
          <w:noProof/>
        </w:rPr>
      </w:pPr>
      <w:r>
        <w:rPr>
          <w:noProof/>
        </w:rPr>
        <w:t>(2) se introduce următorul articol 31a:</w:t>
      </w:r>
    </w:p>
    <w:p>
      <w:pPr>
        <w:rPr>
          <w:noProof/>
        </w:rPr>
      </w:pPr>
    </w:p>
    <w:p>
      <w:pPr>
        <w:ind w:left="720"/>
        <w:jc w:val="center"/>
        <w:rPr>
          <w:i/>
          <w:iCs/>
          <w:noProof/>
        </w:rPr>
      </w:pPr>
      <w:r>
        <w:rPr>
          <w:i/>
          <w:noProof/>
        </w:rPr>
        <w:t>„Articolul 31a</w:t>
      </w:r>
    </w:p>
    <w:p>
      <w:pPr>
        <w:ind w:left="720"/>
        <w:jc w:val="center"/>
        <w:rPr>
          <w:b/>
          <w:iCs/>
          <w:noProof/>
        </w:rPr>
      </w:pPr>
      <w:r>
        <w:rPr>
          <w:b/>
          <w:noProof/>
        </w:rPr>
        <w:t>Exercitarea delegării</w:t>
      </w:r>
    </w:p>
    <w:p>
      <w:pPr>
        <w:ind w:left="720"/>
        <w:rPr>
          <w:noProof/>
        </w:rPr>
      </w:pPr>
    </w:p>
    <w:p>
      <w:pPr>
        <w:ind w:left="720"/>
        <w:rPr>
          <w:noProof/>
        </w:rPr>
      </w:pPr>
      <w:r>
        <w:rPr>
          <w:noProof/>
        </w:rPr>
        <w:t xml:space="preserve">1. Competența de a adopta acte delegate se conferă Comisiei în condițiile stabilite la prezentul articol. </w:t>
      </w:r>
    </w:p>
    <w:p>
      <w:pPr>
        <w:ind w:left="720"/>
        <w:rPr>
          <w:noProof/>
        </w:rPr>
      </w:pPr>
    </w:p>
    <w:p>
      <w:pPr>
        <w:ind w:left="720"/>
        <w:rPr>
          <w:noProof/>
        </w:rPr>
      </w:pPr>
      <w:r>
        <w:rPr>
          <w:noProof/>
        </w:rPr>
        <w:t xml:space="preserve">2. Competența de a adopta acte delegate menționată la articolul 31 se conferă Comisiei pentru o perioadă de timp nedeterminată de la data intrării în vigoare a prezentului regulament. </w:t>
      </w:r>
    </w:p>
    <w:p>
      <w:pPr>
        <w:ind w:left="720"/>
        <w:rPr>
          <w:noProof/>
        </w:rPr>
      </w:pPr>
    </w:p>
    <w:p>
      <w:pPr>
        <w:ind w:left="720"/>
        <w:rPr>
          <w:noProof/>
        </w:rPr>
      </w:pPr>
      <w:r>
        <w:rPr>
          <w:noProof/>
        </w:rPr>
        <w:t xml:space="preserve">3. Delegarea de competențe menționată la articolul 31 poate fi revocată în orice moment de către Parlamentul European sau de către Consiliu. O decizie de revocare pune capăt delegării de competențe specificate în respectiva decizie. Aceasta intră în vigoare în ziua următoare publicării deciziei în </w:t>
      </w:r>
      <w:r>
        <w:rPr>
          <w:i/>
          <w:noProof/>
        </w:rPr>
        <w:t>Jurnalul Oficial al Uniunii Europene</w:t>
      </w:r>
      <w:r>
        <w:rPr>
          <w:noProof/>
        </w:rPr>
        <w:t xml:space="preserve"> sau la o dată ulterioară specificată în decizie. Decizia nu aduce atingere validității oricăror acte delegate care sunt deja în vigoare.</w:t>
      </w:r>
    </w:p>
    <w:p>
      <w:pPr>
        <w:ind w:left="720"/>
        <w:rPr>
          <w:noProof/>
        </w:rPr>
      </w:pPr>
    </w:p>
    <w:p>
      <w:pPr>
        <w:ind w:left="720"/>
        <w:rPr>
          <w:noProof/>
        </w:rPr>
      </w:pPr>
      <w:r>
        <w:rPr>
          <w:noProof/>
        </w:rPr>
        <w:t xml:space="preserve">4. Înainte de adoptarea unui act delegat, Comisia îi consultă pe experții desemnați de fiecare stat membru în conformitate cu principiile prevăzute în Acordul interinstituțional privind o mai bună legiferare din 13 aprilie 2016*. </w:t>
      </w:r>
    </w:p>
    <w:p>
      <w:pPr>
        <w:ind w:left="720"/>
        <w:rPr>
          <w:noProof/>
        </w:rPr>
      </w:pPr>
    </w:p>
    <w:p>
      <w:pPr>
        <w:ind w:left="720"/>
        <w:rPr>
          <w:noProof/>
        </w:rPr>
      </w:pPr>
      <w:r>
        <w:rPr>
          <w:noProof/>
        </w:rPr>
        <w:t xml:space="preserve">5. De îndată ce adoptă un act delegat, Comisia îl notifică simultan Parlamentului European și Consiliului. </w:t>
      </w:r>
    </w:p>
    <w:p>
      <w:pPr>
        <w:ind w:left="720"/>
        <w:rPr>
          <w:noProof/>
        </w:rPr>
      </w:pPr>
    </w:p>
    <w:p>
      <w:pPr>
        <w:ind w:left="720"/>
        <w:rPr>
          <w:noProof/>
        </w:rPr>
      </w:pPr>
      <w:r>
        <w:rPr>
          <w:noProof/>
        </w:rPr>
        <w:lastRenderedPageBreak/>
        <w:t xml:space="preserve">6. Un act delegat adoptat în temeiul articolului 31 intră în vigoare numai în cazul în care nici Parlamentul European și nici Consiliul nu au formulat obiecții în termen de două luni de la notificarea acestuia Parlamentului European și Consiliului sau în cazul în care, înainte de expirarea termenului respectiv, Parlamentul European și Consiliul au informat Comisia cu privire la faptul că nu vor formula obiecții. Acest termen se prelungește cu două luni la inițiativa Parlamentului European sau a Consiliului. </w:t>
      </w:r>
    </w:p>
    <w:p>
      <w:pPr>
        <w:ind w:left="720"/>
        <w:rPr>
          <w:noProof/>
        </w:rPr>
      </w:pPr>
      <w:r>
        <w:rPr>
          <w:noProof/>
        </w:rPr>
        <w:t>________________________</w:t>
      </w:r>
    </w:p>
    <w:p>
      <w:pPr>
        <w:ind w:left="720"/>
        <w:rPr>
          <w:noProof/>
          <w:sz w:val="20"/>
          <w:szCs w:val="20"/>
        </w:rPr>
      </w:pPr>
      <w:r>
        <w:rPr>
          <w:noProof/>
          <w:sz w:val="20"/>
        </w:rPr>
        <w:t>*</w:t>
      </w:r>
      <w:r>
        <w:rPr>
          <w:noProof/>
        </w:rPr>
        <w:tab/>
      </w:r>
      <w:r>
        <w:rPr>
          <w:noProof/>
          <w:sz w:val="20"/>
        </w:rPr>
        <w:t>JO L 123, 12.5.2016, p. 1.”;</w:t>
      </w:r>
    </w:p>
    <w:p>
      <w:pPr>
        <w:ind w:left="720"/>
        <w:rPr>
          <w:noProof/>
        </w:rPr>
      </w:pPr>
    </w:p>
    <w:p>
      <w:pPr>
        <w:rPr>
          <w:noProof/>
        </w:rPr>
      </w:pPr>
      <w:r>
        <w:rPr>
          <w:noProof/>
        </w:rPr>
        <w:t xml:space="preserve">   (3) articolul 32 se elimină. </w:t>
      </w:r>
    </w:p>
    <w:p>
      <w:pPr>
        <w:rPr>
          <w:noProof/>
        </w:rPr>
      </w:pPr>
    </w:p>
    <w:p>
      <w:pPr>
        <w:rPr>
          <w:noProof/>
        </w:rPr>
      </w:pPr>
    </w:p>
    <w:p>
      <w:pPr>
        <w:pStyle w:val="NumPar1"/>
        <w:rPr>
          <w:b/>
          <w:noProof/>
        </w:rPr>
      </w:pPr>
      <w:r>
        <w:rPr>
          <w:b/>
          <w:noProof/>
        </w:rPr>
        <w:t>Regulamentul (CE) nr. 1393/2007 al Parlamentului European și al Consiliului din 13 noiembrie 2007 privind notificarea sau comunicarea în statele membre a actelor judiciare și extrajudiciare în materie civilă sau comercială („notificarea sau comunicarea actelor”) și abrogarea Regulamentului (CE) nr. 1348/2000 al Consiliului</w:t>
      </w:r>
      <w:r>
        <w:rPr>
          <w:rStyle w:val="FootnoteReference"/>
          <w:b/>
          <w:noProof/>
        </w:rPr>
        <w:footnoteReference w:id="3"/>
      </w:r>
      <w:r>
        <w:rPr>
          <w:b/>
          <w:noProof/>
        </w:rPr>
        <w:t xml:space="preserve"> </w:t>
      </w:r>
    </w:p>
    <w:p>
      <w:pPr>
        <w:rPr>
          <w:noProof/>
        </w:rPr>
      </w:pPr>
    </w:p>
    <w:p>
      <w:pPr>
        <w:rPr>
          <w:noProof/>
        </w:rPr>
      </w:pPr>
      <w:r>
        <w:rPr>
          <w:noProof/>
        </w:rPr>
        <w:t>În vederea actualizării Regulamentului (CE) nr. 1393/2007, competența de a adopta acte în conformitate cu articolul 290 din tratat ar trebui delegată Comisiei pentru a aduce amendamente anexelor I și II la regulamentul menționat în scopul actualizării formularelor-tip sau al efectuării de modificări tehnice. Este deosebit de important ca, în cursul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 În special, pentru a asigura participarea egală la pregătirea actelor delegate, Parlamentul European și Consiliul primesc toate documentele în același timp cu experții din statele membre, iar experții acestor instituții au acces sistematic la reuniunile grupurilor de experți ale Comisiei însărcinate cu pregătirea actelor delegate.</w:t>
      </w:r>
    </w:p>
    <w:p>
      <w:pPr>
        <w:rPr>
          <w:noProof/>
        </w:rPr>
      </w:pPr>
    </w:p>
    <w:p>
      <w:pPr>
        <w:rPr>
          <w:noProof/>
        </w:rPr>
      </w:pPr>
      <w:r>
        <w:rPr>
          <w:noProof/>
        </w:rPr>
        <w:t>În consecință, Regulamentul (CE) nr. 1393/2007 se modifică după cum urmează:</w:t>
      </w:r>
    </w:p>
    <w:p>
      <w:pPr>
        <w:rPr>
          <w:noProof/>
        </w:rPr>
      </w:pPr>
    </w:p>
    <w:p>
      <w:pPr>
        <w:rPr>
          <w:noProof/>
        </w:rPr>
      </w:pPr>
      <w:r>
        <w:rPr>
          <w:noProof/>
        </w:rPr>
        <w:t xml:space="preserve">(1) articolul 17 se înlocuiește cu următorul text: </w:t>
      </w:r>
    </w:p>
    <w:p>
      <w:pPr>
        <w:rPr>
          <w:noProof/>
        </w:rPr>
      </w:pPr>
    </w:p>
    <w:p>
      <w:pPr>
        <w:ind w:left="720"/>
        <w:jc w:val="center"/>
        <w:rPr>
          <w:i/>
          <w:iCs/>
          <w:noProof/>
        </w:rPr>
      </w:pPr>
      <w:r>
        <w:rPr>
          <w:i/>
          <w:noProof/>
        </w:rPr>
        <w:t>„Articolul 17</w:t>
      </w:r>
    </w:p>
    <w:p>
      <w:pPr>
        <w:ind w:left="720"/>
        <w:jc w:val="center"/>
        <w:rPr>
          <w:b/>
          <w:iCs/>
          <w:noProof/>
        </w:rPr>
      </w:pPr>
      <w:r>
        <w:rPr>
          <w:b/>
          <w:noProof/>
        </w:rPr>
        <w:t>Modificarea anexelor</w:t>
      </w:r>
    </w:p>
    <w:p>
      <w:pPr>
        <w:ind w:left="720"/>
        <w:rPr>
          <w:noProof/>
        </w:rPr>
      </w:pPr>
    </w:p>
    <w:p>
      <w:pPr>
        <w:ind w:left="720"/>
        <w:rPr>
          <w:noProof/>
        </w:rPr>
      </w:pPr>
      <w:r>
        <w:rPr>
          <w:noProof/>
        </w:rPr>
        <w:lastRenderedPageBreak/>
        <w:t>Comisia este împuternicită să adopte, în conformitate cu articolul 17a, acte delegate de modificare a anexelor I și II pentru a actualiza formularele-tip sau pentru a aduce modificări tehnice formularelor menționate.”;</w:t>
      </w:r>
    </w:p>
    <w:p>
      <w:pPr>
        <w:ind w:left="720"/>
        <w:rPr>
          <w:noProof/>
        </w:rPr>
      </w:pPr>
    </w:p>
    <w:p>
      <w:pPr>
        <w:rPr>
          <w:noProof/>
        </w:rPr>
      </w:pPr>
      <w:r>
        <w:rPr>
          <w:noProof/>
        </w:rPr>
        <w:t xml:space="preserve">(2) se introduce următorul articol 17a: </w:t>
      </w:r>
    </w:p>
    <w:p>
      <w:pPr>
        <w:rPr>
          <w:noProof/>
        </w:rPr>
      </w:pPr>
    </w:p>
    <w:p>
      <w:pPr>
        <w:keepNext/>
        <w:ind w:left="720"/>
        <w:jc w:val="center"/>
        <w:rPr>
          <w:i/>
          <w:iCs/>
          <w:noProof/>
        </w:rPr>
      </w:pPr>
      <w:r>
        <w:rPr>
          <w:i/>
          <w:noProof/>
        </w:rPr>
        <w:t>„Articolul 17a</w:t>
      </w:r>
    </w:p>
    <w:p>
      <w:pPr>
        <w:keepNext/>
        <w:ind w:left="720"/>
        <w:jc w:val="center"/>
        <w:rPr>
          <w:b/>
          <w:iCs/>
          <w:noProof/>
        </w:rPr>
      </w:pPr>
      <w:r>
        <w:rPr>
          <w:b/>
          <w:noProof/>
        </w:rPr>
        <w:t>Exercitarea delegării</w:t>
      </w:r>
    </w:p>
    <w:p>
      <w:pPr>
        <w:keepNext/>
        <w:ind w:left="720"/>
        <w:rPr>
          <w:noProof/>
        </w:rPr>
      </w:pPr>
    </w:p>
    <w:p>
      <w:pPr>
        <w:ind w:left="720"/>
        <w:rPr>
          <w:noProof/>
        </w:rPr>
      </w:pPr>
      <w:r>
        <w:rPr>
          <w:noProof/>
        </w:rPr>
        <w:t xml:space="preserve">1. Competența de a adopta acte delegate se conferă Comisiei în condițiile stabilite la prezentul articol. </w:t>
      </w:r>
    </w:p>
    <w:p>
      <w:pPr>
        <w:ind w:left="720"/>
        <w:rPr>
          <w:noProof/>
        </w:rPr>
      </w:pPr>
    </w:p>
    <w:p>
      <w:pPr>
        <w:ind w:left="720"/>
        <w:rPr>
          <w:noProof/>
        </w:rPr>
      </w:pPr>
      <w:r>
        <w:rPr>
          <w:noProof/>
        </w:rPr>
        <w:t xml:space="preserve">2. Competența de a adopta acte delegate menționată la articolul 17 se conferă Comisiei pentru o perioadă de timp nedeterminată de la data intrării în vigoare a prezentului regulament. </w:t>
      </w:r>
    </w:p>
    <w:p>
      <w:pPr>
        <w:ind w:left="720"/>
        <w:rPr>
          <w:noProof/>
        </w:rPr>
      </w:pPr>
    </w:p>
    <w:p>
      <w:pPr>
        <w:ind w:left="720"/>
        <w:rPr>
          <w:noProof/>
        </w:rPr>
      </w:pPr>
      <w:r>
        <w:rPr>
          <w:noProof/>
        </w:rPr>
        <w:t xml:space="preserve">3. Delegarea de competențe menționată la articolul 17 poate fi revocată în orice moment de către Parlamentul European sau de către Consiliu. O decizie de revocare pune capăt delegării de competențe specificate în respectiva decizie. Aceasta intră în vigoare în ziua următoare publicării deciziei în </w:t>
      </w:r>
      <w:r>
        <w:rPr>
          <w:i/>
          <w:noProof/>
        </w:rPr>
        <w:t>Jurnalul Oficial al Uniunii Europene</w:t>
      </w:r>
      <w:r>
        <w:rPr>
          <w:noProof/>
        </w:rPr>
        <w:t xml:space="preserve"> sau la o dată ulterioară specificată în decizie. Decizia nu aduce atingere validității oricăror acte delegate care sunt deja în vigoare.</w:t>
      </w:r>
    </w:p>
    <w:p>
      <w:pPr>
        <w:ind w:left="720"/>
        <w:rPr>
          <w:noProof/>
        </w:rPr>
      </w:pPr>
    </w:p>
    <w:p>
      <w:pPr>
        <w:ind w:left="720"/>
        <w:rPr>
          <w:noProof/>
        </w:rPr>
      </w:pPr>
      <w:r>
        <w:rPr>
          <w:noProof/>
        </w:rPr>
        <w:t xml:space="preserve">4. Înainte de adoptarea unui act delegat, Comisia îi consultă pe experții desemnați de fiecare stat membru în conformitate cu principiile prevăzute în Acordul interinstituțional privind o mai bună legiferare din 13 aprilie 2016*. </w:t>
      </w:r>
    </w:p>
    <w:p>
      <w:pPr>
        <w:ind w:left="720"/>
        <w:rPr>
          <w:noProof/>
        </w:rPr>
      </w:pPr>
    </w:p>
    <w:p>
      <w:pPr>
        <w:ind w:left="720"/>
        <w:rPr>
          <w:noProof/>
        </w:rPr>
      </w:pPr>
      <w:r>
        <w:rPr>
          <w:noProof/>
        </w:rPr>
        <w:t xml:space="preserve">5. De îndată ce adoptă un act delegat, Comisia îl notifică simultan Parlamentului European și Consiliului. </w:t>
      </w:r>
    </w:p>
    <w:p>
      <w:pPr>
        <w:ind w:left="720"/>
        <w:rPr>
          <w:noProof/>
        </w:rPr>
      </w:pPr>
    </w:p>
    <w:p>
      <w:pPr>
        <w:ind w:left="720"/>
        <w:rPr>
          <w:noProof/>
        </w:rPr>
      </w:pPr>
      <w:r>
        <w:rPr>
          <w:noProof/>
        </w:rPr>
        <w:t xml:space="preserve">6. Un act delegat adoptat în temeiul articolului 17 intră în vigoare numai în cazul în care nici Parlamentul European și nici Consiliul nu au formulat obiecții în termen de două luni de la notificarea acestuia Parlamentului European și Consiliului sau în cazul în care, înainte de expirarea termenului respectiv, Parlamentul European și Consiliul au informat Comisia cu privire la faptul că nu vor formula obiecții. Acest termen se prelungește cu două luni la inițiativa Parlamentului European sau a Consiliului. </w:t>
      </w:r>
    </w:p>
    <w:p>
      <w:pPr>
        <w:ind w:left="720"/>
        <w:rPr>
          <w:noProof/>
        </w:rPr>
      </w:pPr>
      <w:r>
        <w:rPr>
          <w:noProof/>
        </w:rPr>
        <w:t>________________________</w:t>
      </w:r>
    </w:p>
    <w:p>
      <w:pPr>
        <w:ind w:left="720"/>
        <w:rPr>
          <w:noProof/>
          <w:sz w:val="20"/>
          <w:szCs w:val="20"/>
        </w:rPr>
      </w:pPr>
      <w:r>
        <w:rPr>
          <w:noProof/>
          <w:sz w:val="20"/>
        </w:rPr>
        <w:t>*</w:t>
      </w:r>
      <w:r>
        <w:rPr>
          <w:noProof/>
        </w:rPr>
        <w:tab/>
      </w:r>
      <w:r>
        <w:rPr>
          <w:noProof/>
          <w:sz w:val="20"/>
        </w:rPr>
        <w:t>JO L 123, 12.5.2016, p. 1.”;</w:t>
      </w:r>
    </w:p>
    <w:p>
      <w:pPr>
        <w:ind w:left="720"/>
        <w:rPr>
          <w:noProof/>
        </w:rPr>
      </w:pPr>
    </w:p>
    <w:p>
      <w:pPr>
        <w:rPr>
          <w:i/>
          <w:iCs/>
          <w:noProof/>
        </w:rPr>
      </w:pPr>
    </w:p>
    <w:p>
      <w:pPr>
        <w:rPr>
          <w:iCs/>
          <w:noProof/>
        </w:rPr>
      </w:pPr>
      <w:r>
        <w:rPr>
          <w:noProof/>
        </w:rPr>
        <w:lastRenderedPageBreak/>
        <w:t xml:space="preserve">(3) articolul 18 se elimină. </w:t>
      </w:r>
    </w:p>
    <w:p>
      <w:pPr>
        <w:rPr>
          <w:i/>
          <w:iCs/>
          <w:noProof/>
        </w:rPr>
      </w:pPr>
    </w:p>
    <w:p>
      <w:pPr>
        <w:ind w:firstLine="720"/>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174, 27.6.2001, p. 1.</w:t>
      </w:r>
    </w:p>
  </w:footnote>
  <w:footnote w:id="2">
    <w:p>
      <w:pPr>
        <w:pStyle w:val="FootnoteText"/>
        <w:rPr>
          <w:lang w:val="fi-FI"/>
        </w:rPr>
      </w:pPr>
      <w:r>
        <w:rPr>
          <w:rStyle w:val="FootnoteReference"/>
        </w:rPr>
        <w:footnoteRef/>
      </w:r>
      <w:r>
        <w:tab/>
        <w:t>JO L 143, 30.4.2004, p. 15.</w:t>
      </w:r>
    </w:p>
  </w:footnote>
  <w:footnote w:id="3">
    <w:p>
      <w:pPr>
        <w:pStyle w:val="FootnoteText"/>
        <w:rPr>
          <w:lang w:val="fr-BE"/>
        </w:rPr>
      </w:pPr>
      <w:r>
        <w:rPr>
          <w:rStyle w:val="FootnoteReference"/>
        </w:rPr>
        <w:footnoteRef/>
      </w:r>
      <w:r>
        <w:tab/>
        <w:t>JO L 324, 10.12. 2007, p.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D08E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96FF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662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0027F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268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98893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DE69A0"/>
    <w:lvl w:ilvl="0">
      <w:start w:val="1"/>
      <w:numFmt w:val="decimal"/>
      <w:pStyle w:val="ListNumber"/>
      <w:lvlText w:val="%1."/>
      <w:lvlJc w:val="left"/>
      <w:pPr>
        <w:tabs>
          <w:tab w:val="num" w:pos="360"/>
        </w:tabs>
        <w:ind w:left="360" w:hanging="360"/>
      </w:pPr>
    </w:lvl>
  </w:abstractNum>
  <w:abstractNum w:abstractNumId="7">
    <w:nsid w:val="FFFFFF89"/>
    <w:multiLevelType w:val="singleLevel"/>
    <w:tmpl w:val="411083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07:55: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0"/>
    <w:docVar w:name="DQCResult_StructureCheck" w:val="0;0"/>
    <w:docVar w:name="DQCResult_SuperfluousWhitespace" w:val="0;56"/>
    <w:docVar w:name="DQCResult_UnknownFonts" w:val="0;0"/>
    <w:docVar w:name="DQCResult_UnknownStyles" w:val="0;34"/>
    <w:docVar w:name="DQCStatus" w:val="Green"/>
    <w:docVar w:name="DQCVersion" w:val="3"/>
    <w:docVar w:name="DQCWithWarnings" w:val="0"/>
    <w:docVar w:name="LW_ACCOMPAGNANT" w:val="la"/>
    <w:docVar w:name="LW_ACCOMPAGNANT.CP" w:val="la"/>
    <w:docVar w:name="LW_ANNEX_NBR_FIRST" w:val="1"/>
    <w:docVar w:name="LW_ANNEX_NBR_LAST" w:val="1"/>
    <w:docVar w:name="LW_CONFIDENCE" w:val=" "/>
    <w:docVar w:name="LW_CONST_RESTREINT_UE" w:val="RESTREINT UE"/>
    <w:docVar w:name="LW_CORRIGENDUM" w:val="&lt;UNUSED&gt;"/>
    <w:docVar w:name="LW_COVERPAGE_GUID" w:val="52E445EC3FC54DE8931EBE531635E3D7"/>
    <w:docVar w:name="LW_CROSSREFERENCE" w:val="&lt;UNUSED&gt;"/>
    <w:docVar w:name="LW_DocType" w:val="ANNEX"/>
    <w:docVar w:name="LW_EMISSION" w:val="14.12.2016"/>
    <w:docVar w:name="LW_EMISSION_ISODATE" w:val="2016-12-14"/>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 w:val="de adaptare la articolul 290 din Tratatul privind func\u539?ionarea Uniunii Europene a unei serii de acte juridice din domeniul justi\u539?iei care prev\u259?d utilizarea procedurii de reglementare cu control _x000b__x000b_(Text cu relevan\u539?\u259? pentru SEE)_x000b_"/>
    <w:docVar w:name="LW_OBJETACTEPRINCIPAL.CP" w:val="de adaptare la articolul 290 din Tratatul privind func\u539?ionarea Uniunii Europene a unei serii de acte juridice din domeniul justi\u539?iei care prev\u259?d utilizarea procedurii de reglementare cu control _x000b__x000b_(Text cu relevan\u539?\u259? pentru SEE)_x000b_"/>
    <w:docVar w:name="LW_PART_NBR" w:val="1"/>
    <w:docVar w:name="LW_PART_NBR_TOTAL" w:val="1"/>
    <w:docVar w:name="LW_REF.INST.NEW" w:val="COM"/>
    <w:docVar w:name="LW_REF.INST.NEW_ADOPTED" w:val="final"/>
    <w:docVar w:name="LW_REF.INST.NEW_TEXT" w:val="(2016) 798"/>
    <w:docVar w:name="LW_REF.INTERNE" w:val="&lt;UNUSED&gt;"/>
    <w:docVar w:name="LW_SUPERTITRE" w:val="&lt;UNUSED&gt;"/>
    <w:docVar w:name="LW_TITRE.OBJ.CP" w:val="&lt;UNUSED&gt;"/>
    <w:docVar w:name="LW_TYPE.DOC" w:val="ANEX\u258?"/>
    <w:docVar w:name="LW_TYPE.DOC.CP" w:val="ANEX\u258?"/>
    <w:docVar w:name="LW_TYPEACTEPRINCIPAL" w:val="Propunerea de_x000b__x000b_REGULAMENT AL PARLAMENTULUI EUROPEAN \u536?I AL CONSILIULUI_x000b_"/>
    <w:docVar w:name="LW_TYPEACTEPRINCIPAL.CP" w:val="Propunerea de_x000b__x000b_REGULAMENT AL PARLAMENTULUI EUROPEAN \u536?I AL CONSILIULUI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7</Pages>
  <Words>1463</Words>
  <Characters>8562</Characters>
  <Application>Microsoft Office Word</Application>
  <DocSecurity>0</DocSecurity>
  <Lines>208</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CALDANA Isabella (SG)</dc:creator>
  <cp:lastModifiedBy>DIGIT/A3</cp:lastModifiedBy>
  <cp:revision>7</cp:revision>
  <dcterms:created xsi:type="dcterms:W3CDTF">2017-03-10T08:59:00Z</dcterms:created>
  <dcterms:modified xsi:type="dcterms:W3CDTF">2017-03-13T06:55:00Z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