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DC0A0C530374884B2A54985578B8554" style="width:450.75pt;height:4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BILAGA</w:t>
      </w:r>
    </w:p>
    <w:p>
      <w:pPr>
        <w:pStyle w:val="NumPar1"/>
        <w:numPr>
          <w:ilvl w:val="0"/>
          <w:numId w:val="1"/>
        </w:numPr>
        <w:rPr>
          <w:b/>
          <w:noProof/>
        </w:rPr>
      </w:pPr>
      <w:r>
        <w:rPr>
          <w:b/>
          <w:noProof/>
        </w:rPr>
        <w:t>Rådets förordning (EG) nr 1206/2001 av den 28 maj 2001 om samarbete mellan medlemsstaternas domstolar i fråga om bevisupptagning i mål och ärenden av civil eller kommersiell natur</w:t>
      </w:r>
      <w:r>
        <w:rPr>
          <w:rStyle w:val="FootnoteReference"/>
          <w:b/>
          <w:noProof/>
        </w:rPr>
        <w:footnoteReference w:id="1"/>
      </w:r>
      <w:r>
        <w:rPr>
          <w:b/>
          <w:noProof/>
        </w:rPr>
        <w:t xml:space="preserve"> </w:t>
      </w:r>
    </w:p>
    <w:p>
      <w:pPr>
        <w:rPr>
          <w:noProof/>
        </w:rPr>
      </w:pPr>
    </w:p>
    <w:p>
      <w:pPr>
        <w:rPr>
          <w:noProof/>
        </w:rPr>
      </w:pPr>
      <w:r>
        <w:rPr>
          <w:noProof/>
        </w:rPr>
        <w:t>I syfte att uppdatera förordning (EG) nr 1206/2001, bör befogenheten att anta akter i enlighet med artikel 290 i fördraget delegeras till kommissionen med avseende på ändring av bilagan till den förordningen i syfte att uppdatera formulären eller att göra tekniska ändringar.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rPr>
          <w:noProof/>
        </w:rPr>
      </w:pPr>
    </w:p>
    <w:p>
      <w:pPr>
        <w:rPr>
          <w:noProof/>
        </w:rPr>
      </w:pPr>
      <w:r>
        <w:rPr>
          <w:noProof/>
        </w:rPr>
        <w:t>Förordning (EG) nr 1206/2001 ska därför ändras på följande sätt:</w:t>
      </w:r>
    </w:p>
    <w:p>
      <w:pPr>
        <w:rPr>
          <w:noProof/>
        </w:rPr>
      </w:pPr>
    </w:p>
    <w:p>
      <w:pPr>
        <w:pStyle w:val="Default"/>
        <w:jc w:val="both"/>
        <w:rPr>
          <w:noProof/>
          <w:sz w:val="23"/>
          <w:szCs w:val="23"/>
        </w:rPr>
      </w:pPr>
      <w:r>
        <w:rPr>
          <w:noProof/>
          <w:sz w:val="23"/>
        </w:rPr>
        <w:t>1. Artikel 19 ska ändras på följande sätt:</w:t>
      </w:r>
    </w:p>
    <w:p>
      <w:pPr>
        <w:pStyle w:val="Default"/>
        <w:jc w:val="both"/>
        <w:rPr>
          <w:noProof/>
          <w:sz w:val="23"/>
          <w:szCs w:val="23"/>
        </w:rPr>
      </w:pPr>
    </w:p>
    <w:p>
      <w:pPr>
        <w:pStyle w:val="Default"/>
        <w:ind w:firstLine="720"/>
        <w:jc w:val="both"/>
        <w:rPr>
          <w:noProof/>
          <w:sz w:val="23"/>
          <w:szCs w:val="23"/>
        </w:rPr>
      </w:pPr>
      <w:r>
        <w:rPr>
          <w:noProof/>
          <w:sz w:val="23"/>
        </w:rPr>
        <w:t>a)</w:t>
      </w:r>
      <w:r>
        <w:rPr>
          <w:noProof/>
        </w:rPr>
        <w:tab/>
      </w:r>
      <w:r>
        <w:rPr>
          <w:noProof/>
          <w:sz w:val="23"/>
        </w:rPr>
        <w:t>Rubriken ska ersättas med följande:</w:t>
      </w:r>
    </w:p>
    <w:p>
      <w:pPr>
        <w:pStyle w:val="Default"/>
        <w:ind w:firstLine="720"/>
        <w:jc w:val="both"/>
        <w:rPr>
          <w:noProof/>
          <w:sz w:val="23"/>
          <w:szCs w:val="23"/>
        </w:rPr>
      </w:pPr>
    </w:p>
    <w:p>
      <w:pPr>
        <w:pStyle w:val="Default"/>
        <w:jc w:val="center"/>
        <w:rPr>
          <w:noProof/>
          <w:sz w:val="23"/>
          <w:szCs w:val="23"/>
        </w:rPr>
      </w:pPr>
      <w:r>
        <w:rPr>
          <w:noProof/>
          <w:sz w:val="23"/>
        </w:rPr>
        <w:t>”Handbok”.</w:t>
      </w:r>
    </w:p>
    <w:p>
      <w:pPr>
        <w:pStyle w:val="Default"/>
        <w:ind w:firstLine="720"/>
        <w:jc w:val="both"/>
        <w:rPr>
          <w:noProof/>
          <w:sz w:val="23"/>
          <w:szCs w:val="23"/>
        </w:rPr>
      </w:pPr>
      <w:r>
        <w:rPr>
          <w:noProof/>
          <w:sz w:val="23"/>
        </w:rPr>
        <w:t>b)</w:t>
      </w:r>
      <w:r>
        <w:rPr>
          <w:noProof/>
        </w:rPr>
        <w:tab/>
      </w:r>
      <w:r>
        <w:rPr>
          <w:noProof/>
          <w:sz w:val="23"/>
        </w:rPr>
        <w:t>Punkt 2 ska utgå.</w:t>
      </w:r>
    </w:p>
    <w:p>
      <w:pPr>
        <w:pStyle w:val="Default"/>
        <w:ind w:firstLine="720"/>
        <w:jc w:val="both"/>
        <w:rPr>
          <w:noProof/>
          <w:sz w:val="23"/>
          <w:szCs w:val="23"/>
        </w:rPr>
      </w:pPr>
    </w:p>
    <w:p>
      <w:pPr>
        <w:pStyle w:val="Default"/>
        <w:jc w:val="both"/>
        <w:rPr>
          <w:noProof/>
          <w:sz w:val="23"/>
          <w:szCs w:val="23"/>
        </w:rPr>
      </w:pPr>
      <w:r>
        <w:rPr>
          <w:noProof/>
          <w:sz w:val="23"/>
        </w:rPr>
        <w:t>2. Följande artiklar ska införas som artiklarna 19a och 19b:</w:t>
      </w:r>
    </w:p>
    <w:p>
      <w:pPr>
        <w:pStyle w:val="Default"/>
        <w:jc w:val="both"/>
        <w:rPr>
          <w:noProof/>
          <w:sz w:val="23"/>
          <w:szCs w:val="23"/>
        </w:rPr>
      </w:pPr>
    </w:p>
    <w:p>
      <w:pPr>
        <w:pStyle w:val="Default"/>
        <w:jc w:val="both"/>
        <w:rPr>
          <w:noProof/>
          <w:sz w:val="23"/>
          <w:szCs w:val="23"/>
        </w:rPr>
      </w:pPr>
    </w:p>
    <w:p>
      <w:pPr>
        <w:pStyle w:val="Default"/>
        <w:ind w:left="720"/>
        <w:jc w:val="center"/>
        <w:rPr>
          <w:i/>
          <w:iCs/>
          <w:noProof/>
        </w:rPr>
      </w:pPr>
      <w:r>
        <w:rPr>
          <w:i/>
          <w:noProof/>
        </w:rPr>
        <w:t>”Artikel 19a</w:t>
      </w:r>
    </w:p>
    <w:p>
      <w:pPr>
        <w:pStyle w:val="Default"/>
        <w:ind w:left="720"/>
        <w:jc w:val="center"/>
        <w:rPr>
          <w:b/>
          <w:iCs/>
          <w:noProof/>
        </w:rPr>
      </w:pPr>
      <w:r>
        <w:rPr>
          <w:b/>
          <w:noProof/>
        </w:rPr>
        <w:t>Delegerade akter</w:t>
      </w:r>
    </w:p>
    <w:p>
      <w:pPr>
        <w:pStyle w:val="Default"/>
        <w:ind w:left="720"/>
        <w:rPr>
          <w:noProof/>
        </w:rPr>
      </w:pPr>
    </w:p>
    <w:p>
      <w:pPr>
        <w:pStyle w:val="Default"/>
        <w:ind w:left="720"/>
        <w:jc w:val="both"/>
        <w:rPr>
          <w:noProof/>
        </w:rPr>
      </w:pPr>
      <w:r>
        <w:rPr>
          <w:noProof/>
        </w:rPr>
        <w:t>Kommissionen ska ges befogenhet att anta delegerade akter i enlighet med artikel 19b med avseende på ändring av bilagan i syfte att uppdatera formulären eller att göra tekniska ändringar av dessa formulär.</w:t>
      </w:r>
    </w:p>
    <w:p>
      <w:pPr>
        <w:pStyle w:val="Default"/>
        <w:jc w:val="both"/>
        <w:rPr>
          <w:noProof/>
        </w:rPr>
      </w:pPr>
    </w:p>
    <w:p>
      <w:pPr>
        <w:pStyle w:val="Default"/>
        <w:rPr>
          <w:noProof/>
          <w:sz w:val="23"/>
          <w:szCs w:val="23"/>
        </w:rPr>
      </w:pPr>
    </w:p>
    <w:p>
      <w:pPr>
        <w:pStyle w:val="Default"/>
        <w:ind w:left="720"/>
        <w:jc w:val="center"/>
        <w:rPr>
          <w:i/>
          <w:iCs/>
          <w:noProof/>
          <w:sz w:val="23"/>
          <w:szCs w:val="23"/>
        </w:rPr>
      </w:pPr>
      <w:r>
        <w:rPr>
          <w:i/>
          <w:noProof/>
          <w:sz w:val="23"/>
        </w:rPr>
        <w:t>Artikel 19b</w:t>
      </w:r>
    </w:p>
    <w:p>
      <w:pPr>
        <w:pStyle w:val="Default"/>
        <w:ind w:left="720"/>
        <w:jc w:val="center"/>
        <w:rPr>
          <w:b/>
          <w:iCs/>
          <w:noProof/>
          <w:sz w:val="23"/>
          <w:szCs w:val="23"/>
        </w:rPr>
      </w:pPr>
      <w:r>
        <w:rPr>
          <w:b/>
          <w:noProof/>
          <w:sz w:val="23"/>
        </w:rPr>
        <w:t>Utövande av delegeringen</w:t>
      </w:r>
    </w:p>
    <w:p>
      <w:pPr>
        <w:pStyle w:val="Default"/>
        <w:ind w:left="720"/>
        <w:jc w:val="both"/>
        <w:rPr>
          <w:noProof/>
          <w:sz w:val="23"/>
          <w:szCs w:val="23"/>
        </w:rPr>
      </w:pPr>
    </w:p>
    <w:p>
      <w:pPr>
        <w:pStyle w:val="Default"/>
        <w:ind w:left="720"/>
        <w:jc w:val="both"/>
        <w:rPr>
          <w:noProof/>
          <w:sz w:val="23"/>
          <w:szCs w:val="23"/>
        </w:rPr>
      </w:pPr>
      <w:r>
        <w:rPr>
          <w:noProof/>
          <w:sz w:val="23"/>
        </w:rPr>
        <w:t xml:space="preserve">1. Befogenheten att anta delegerade akter ges till kommissionen med förbehåll för de villkor som anges i denna artikel. </w:t>
      </w:r>
    </w:p>
    <w:p>
      <w:pPr>
        <w:pStyle w:val="Default"/>
        <w:ind w:left="720"/>
        <w:jc w:val="both"/>
        <w:rPr>
          <w:noProof/>
          <w:sz w:val="23"/>
          <w:szCs w:val="23"/>
        </w:rPr>
      </w:pPr>
    </w:p>
    <w:p>
      <w:pPr>
        <w:pStyle w:val="Default"/>
        <w:ind w:left="720"/>
        <w:jc w:val="both"/>
        <w:rPr>
          <w:noProof/>
          <w:sz w:val="23"/>
          <w:szCs w:val="23"/>
        </w:rPr>
      </w:pPr>
      <w:r>
        <w:rPr>
          <w:noProof/>
          <w:sz w:val="23"/>
        </w:rPr>
        <w:t xml:space="preserve">2. Den befogenhet att anta delegerade akter som avses i artikel 19a ska ges till kommissionen tills vidare från och med den dag då denna förordning träder i kraft. </w:t>
      </w:r>
    </w:p>
    <w:p>
      <w:pPr>
        <w:pStyle w:val="Default"/>
        <w:ind w:left="720"/>
        <w:jc w:val="both"/>
        <w:rPr>
          <w:noProof/>
          <w:sz w:val="23"/>
          <w:szCs w:val="23"/>
        </w:rPr>
      </w:pPr>
    </w:p>
    <w:p>
      <w:pPr>
        <w:ind w:left="720"/>
        <w:rPr>
          <w:noProof/>
          <w:sz w:val="23"/>
          <w:szCs w:val="23"/>
        </w:rPr>
      </w:pPr>
      <w:r>
        <w:rPr>
          <w:noProof/>
          <w:sz w:val="23"/>
        </w:rPr>
        <w:t xml:space="preserve">3. Den delegering av befogenhet som avses i artikel 19a får när som helst återkallas av Europaparlamentet eller rådet. Ett beslut om återkallelse innebär att delegeringen av den befogenhet som anges i beslutet upphör att gälla. Beslutet får verkan dagen efter det att det offentliggörs i </w:t>
      </w:r>
      <w:r>
        <w:rPr>
          <w:i/>
          <w:noProof/>
          <w:sz w:val="23"/>
        </w:rPr>
        <w:t>Europeiska unionens officiella tidning</w:t>
      </w:r>
      <w:r>
        <w:rPr>
          <w:noProof/>
          <w:sz w:val="23"/>
        </w:rPr>
        <w:t>, eller vid ett senare i beslutet angivet datum. Det påverkar inte giltigheten av delegerade akter som redan har trätt i kraft.</w:t>
      </w:r>
    </w:p>
    <w:p>
      <w:pPr>
        <w:ind w:left="720"/>
        <w:rPr>
          <w:noProof/>
          <w:sz w:val="23"/>
          <w:szCs w:val="23"/>
        </w:rPr>
      </w:pPr>
    </w:p>
    <w:p>
      <w:pPr>
        <w:pStyle w:val="Default"/>
        <w:ind w:left="720"/>
        <w:jc w:val="both"/>
        <w:rPr>
          <w:noProof/>
          <w:sz w:val="23"/>
          <w:szCs w:val="23"/>
        </w:rPr>
      </w:pPr>
      <w:r>
        <w:rPr>
          <w:noProof/>
          <w:sz w:val="23"/>
        </w:rPr>
        <w:t xml:space="preserve">4. Innan kommissionen antar en delegerad akt, ska den samråda med experter som utsetts av varje medlemsstat i enlighet med principerna i det interinstitutionella avtalet om bättre lagstiftning av den 13 april 2016*. </w:t>
      </w:r>
    </w:p>
    <w:p>
      <w:pPr>
        <w:pStyle w:val="Default"/>
        <w:ind w:left="720"/>
        <w:jc w:val="both"/>
        <w:rPr>
          <w:noProof/>
          <w:sz w:val="23"/>
          <w:szCs w:val="23"/>
        </w:rPr>
      </w:pPr>
    </w:p>
    <w:p>
      <w:pPr>
        <w:pStyle w:val="Default"/>
        <w:ind w:left="720"/>
        <w:jc w:val="both"/>
        <w:rPr>
          <w:noProof/>
          <w:sz w:val="23"/>
          <w:szCs w:val="23"/>
        </w:rPr>
      </w:pPr>
      <w:r>
        <w:rPr>
          <w:noProof/>
          <w:sz w:val="23"/>
        </w:rPr>
        <w:t xml:space="preserve">5. Så snart kommissionen antar en delegerad akt ska den samtidigt delge Europaparlamentet och rådet denna. </w:t>
      </w:r>
    </w:p>
    <w:p>
      <w:pPr>
        <w:pStyle w:val="Default"/>
        <w:ind w:left="720"/>
        <w:jc w:val="both"/>
        <w:rPr>
          <w:noProof/>
          <w:sz w:val="23"/>
          <w:szCs w:val="23"/>
        </w:rPr>
      </w:pPr>
    </w:p>
    <w:p>
      <w:pPr>
        <w:pStyle w:val="Default"/>
        <w:ind w:left="720"/>
        <w:jc w:val="both"/>
        <w:rPr>
          <w:noProof/>
          <w:sz w:val="23"/>
          <w:szCs w:val="23"/>
        </w:rPr>
      </w:pPr>
      <w:r>
        <w:rPr>
          <w:noProof/>
          <w:sz w:val="23"/>
        </w:rPr>
        <w:t xml:space="preserve">6. En delegerad akt som antas enligt artikel 19a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p>
      <w:pPr>
        <w:pStyle w:val="Default"/>
        <w:ind w:left="720"/>
        <w:rPr>
          <w:noProof/>
          <w:sz w:val="23"/>
          <w:szCs w:val="23"/>
        </w:rPr>
      </w:pPr>
      <w:r>
        <w:rPr>
          <w:noProof/>
          <w:sz w:val="23"/>
        </w:rPr>
        <w:t>_________________________</w:t>
      </w:r>
    </w:p>
    <w:p>
      <w:pPr>
        <w:pStyle w:val="Default"/>
        <w:ind w:left="720"/>
        <w:rPr>
          <w:noProof/>
          <w:sz w:val="20"/>
          <w:szCs w:val="20"/>
        </w:rPr>
      </w:pPr>
      <w:r>
        <w:rPr>
          <w:noProof/>
          <w:sz w:val="20"/>
        </w:rPr>
        <w:t>*</w:t>
      </w:r>
      <w:r>
        <w:rPr>
          <w:noProof/>
        </w:rPr>
        <w:tab/>
      </w:r>
      <w:r>
        <w:rPr>
          <w:noProof/>
          <w:sz w:val="20"/>
        </w:rPr>
        <w:t>EUT L 123, 12.5.2016, s. 1.”</w:t>
      </w:r>
    </w:p>
    <w:p>
      <w:pPr>
        <w:pStyle w:val="Default"/>
        <w:ind w:left="720"/>
        <w:jc w:val="both"/>
        <w:rPr>
          <w:noProof/>
          <w:sz w:val="23"/>
          <w:szCs w:val="23"/>
        </w:rPr>
      </w:pPr>
    </w:p>
    <w:p>
      <w:pPr>
        <w:pStyle w:val="Default"/>
        <w:jc w:val="both"/>
        <w:rPr>
          <w:noProof/>
          <w:sz w:val="23"/>
          <w:szCs w:val="23"/>
        </w:rPr>
      </w:pPr>
    </w:p>
    <w:p>
      <w:pPr>
        <w:pStyle w:val="Default"/>
        <w:jc w:val="both"/>
        <w:rPr>
          <w:noProof/>
          <w:sz w:val="23"/>
          <w:szCs w:val="23"/>
        </w:rPr>
      </w:pPr>
      <w:r>
        <w:rPr>
          <w:noProof/>
          <w:sz w:val="23"/>
        </w:rPr>
        <w:t xml:space="preserve">3. Artikel 20 ska utgå.  </w:t>
      </w:r>
    </w:p>
    <w:p>
      <w:pPr>
        <w:pStyle w:val="Default"/>
        <w:ind w:left="720"/>
        <w:jc w:val="both"/>
        <w:rPr>
          <w:noProof/>
          <w:sz w:val="23"/>
          <w:szCs w:val="23"/>
        </w:rPr>
      </w:pPr>
    </w:p>
    <w:p>
      <w:pPr>
        <w:rPr>
          <w:noProof/>
        </w:rPr>
      </w:pPr>
    </w:p>
    <w:p>
      <w:pPr>
        <w:pStyle w:val="NumPar1"/>
        <w:rPr>
          <w:b/>
          <w:noProof/>
        </w:rPr>
      </w:pPr>
      <w:r>
        <w:rPr>
          <w:b/>
          <w:noProof/>
        </w:rPr>
        <w:t>Europaparlamentets och rådets förordning (EG) nr 805/2004 av den 21 april 2004 om införande av en europeisk exekutionstitel för obestridda fordringar</w:t>
      </w:r>
      <w:r>
        <w:rPr>
          <w:rStyle w:val="FootnoteReference"/>
          <w:b/>
          <w:noProof/>
        </w:rPr>
        <w:footnoteReference w:id="2"/>
      </w:r>
      <w:r>
        <w:rPr>
          <w:b/>
          <w:noProof/>
        </w:rPr>
        <w:t xml:space="preserve"> </w:t>
      </w:r>
    </w:p>
    <w:p>
      <w:pPr>
        <w:rPr>
          <w:noProof/>
        </w:rPr>
      </w:pPr>
    </w:p>
    <w:p>
      <w:pPr>
        <w:rPr>
          <w:noProof/>
        </w:rPr>
      </w:pPr>
      <w:r>
        <w:rPr>
          <w:noProof/>
        </w:rPr>
        <w:t>I syfte att uppdatera förordning (EG) nr 805/2004, bör befogenheten att anta akter i enlighet med artikel 290 i fördraget delegeras till kommissionen med avseende på ändring av bilagorna till den förordningen i syfte att uppdatera standardformulären.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rPr>
          <w:noProof/>
        </w:rPr>
      </w:pPr>
    </w:p>
    <w:p>
      <w:pPr>
        <w:rPr>
          <w:noProof/>
        </w:rPr>
      </w:pPr>
      <w:r>
        <w:rPr>
          <w:noProof/>
        </w:rPr>
        <w:t>Förordning (EG) nr 805/2004 ska därför ändras på följande sätt:</w:t>
      </w:r>
    </w:p>
    <w:p>
      <w:pPr>
        <w:rPr>
          <w:noProof/>
        </w:rPr>
      </w:pPr>
    </w:p>
    <w:p>
      <w:pPr>
        <w:rPr>
          <w:noProof/>
        </w:rPr>
      </w:pPr>
      <w:r>
        <w:rPr>
          <w:noProof/>
        </w:rPr>
        <w:lastRenderedPageBreak/>
        <w:t xml:space="preserve">1. Artikel 31 ska ersättas med följande: </w:t>
      </w:r>
    </w:p>
    <w:p>
      <w:pPr>
        <w:rPr>
          <w:noProof/>
        </w:rPr>
      </w:pPr>
    </w:p>
    <w:p>
      <w:pPr>
        <w:ind w:left="720"/>
        <w:jc w:val="center"/>
        <w:rPr>
          <w:i/>
          <w:iCs/>
          <w:noProof/>
        </w:rPr>
      </w:pPr>
      <w:r>
        <w:rPr>
          <w:i/>
          <w:noProof/>
        </w:rPr>
        <w:t>”Artikel 31</w:t>
      </w:r>
    </w:p>
    <w:p>
      <w:pPr>
        <w:ind w:left="720"/>
        <w:jc w:val="center"/>
        <w:rPr>
          <w:b/>
          <w:iCs/>
          <w:noProof/>
        </w:rPr>
      </w:pPr>
      <w:r>
        <w:rPr>
          <w:b/>
          <w:noProof/>
        </w:rPr>
        <w:t>Ändring av bilagorna</w:t>
      </w:r>
    </w:p>
    <w:p>
      <w:pPr>
        <w:ind w:left="720"/>
        <w:rPr>
          <w:noProof/>
        </w:rPr>
      </w:pPr>
    </w:p>
    <w:p>
      <w:pPr>
        <w:ind w:left="720"/>
        <w:rPr>
          <w:noProof/>
        </w:rPr>
      </w:pPr>
      <w:r>
        <w:rPr>
          <w:noProof/>
        </w:rPr>
        <w:t>Kommissionen ska ges befogenhet att anta delegerade akter i enlighet med artikel 31a med avseende på ändring av bilagorna i syfte att uppdatera standardformulären.”</w:t>
      </w:r>
    </w:p>
    <w:p>
      <w:pPr>
        <w:rPr>
          <w:i/>
          <w:iCs/>
          <w:noProof/>
        </w:rPr>
      </w:pPr>
    </w:p>
    <w:p>
      <w:pPr>
        <w:rPr>
          <w:noProof/>
        </w:rPr>
      </w:pPr>
      <w:r>
        <w:rPr>
          <w:noProof/>
        </w:rPr>
        <w:t xml:space="preserve">2. Följande artikel ska införas som artikel 31a:  </w:t>
      </w:r>
    </w:p>
    <w:p>
      <w:pPr>
        <w:rPr>
          <w:noProof/>
        </w:rPr>
      </w:pPr>
    </w:p>
    <w:p>
      <w:pPr>
        <w:ind w:left="720"/>
        <w:jc w:val="center"/>
        <w:rPr>
          <w:i/>
          <w:iCs/>
          <w:noProof/>
        </w:rPr>
      </w:pPr>
      <w:r>
        <w:rPr>
          <w:noProof/>
        </w:rPr>
        <w:t>”</w:t>
      </w:r>
      <w:r>
        <w:rPr>
          <w:i/>
          <w:noProof/>
        </w:rPr>
        <w:t>Artikel 31a</w:t>
      </w:r>
    </w:p>
    <w:p>
      <w:pPr>
        <w:ind w:left="720"/>
        <w:jc w:val="center"/>
        <w:rPr>
          <w:b/>
          <w:iCs/>
          <w:noProof/>
        </w:rPr>
      </w:pPr>
      <w:r>
        <w:rPr>
          <w:b/>
          <w:noProof/>
        </w:rPr>
        <w:t>Utövande av delegeringen</w:t>
      </w:r>
    </w:p>
    <w:p>
      <w:pPr>
        <w:ind w:left="720"/>
        <w:rPr>
          <w:noProof/>
        </w:rPr>
      </w:pPr>
    </w:p>
    <w:p>
      <w:pPr>
        <w:ind w:left="720"/>
        <w:rPr>
          <w:noProof/>
        </w:rPr>
      </w:pPr>
      <w:r>
        <w:rPr>
          <w:noProof/>
        </w:rPr>
        <w:t xml:space="preserve">1. Befogenheten att anta delegerade akter ges till kommissionen med förbehåll för de villkor som anges i denna artikel. </w:t>
      </w:r>
    </w:p>
    <w:p>
      <w:pPr>
        <w:ind w:left="720"/>
        <w:rPr>
          <w:noProof/>
        </w:rPr>
      </w:pPr>
    </w:p>
    <w:p>
      <w:pPr>
        <w:ind w:left="720"/>
        <w:rPr>
          <w:noProof/>
        </w:rPr>
      </w:pPr>
      <w:r>
        <w:rPr>
          <w:noProof/>
        </w:rPr>
        <w:t xml:space="preserve">2. Den befogenhet att anta delegerade akter som avses i artikel 31 ska ges till kommissionen tills vidare från och med den dag då denna förordning träder i kraft. </w:t>
      </w:r>
    </w:p>
    <w:p>
      <w:pPr>
        <w:ind w:left="720"/>
        <w:rPr>
          <w:noProof/>
        </w:rPr>
      </w:pPr>
    </w:p>
    <w:p>
      <w:pPr>
        <w:ind w:left="720"/>
        <w:rPr>
          <w:noProof/>
        </w:rPr>
      </w:pPr>
      <w:r>
        <w:rPr>
          <w:noProof/>
        </w:rPr>
        <w:t xml:space="preserve">3. Den delegering av befogenhet som avses i artikel 31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ind w:left="720"/>
        <w:rPr>
          <w:noProof/>
        </w:rPr>
      </w:pPr>
    </w:p>
    <w:p>
      <w:pPr>
        <w:ind w:left="720"/>
        <w:rPr>
          <w:noProof/>
        </w:rPr>
      </w:pPr>
      <w:r>
        <w:rPr>
          <w:noProof/>
        </w:rPr>
        <w:t xml:space="preserve">4. Innan kommissionen antar en delegerad akt, ska den samråda med experter som utsetts av varje medlemsstat i enlighet med principerna i det interinstitutionella avtalet om bättre lagstiftning av den 13 april 2016*. </w:t>
      </w:r>
    </w:p>
    <w:p>
      <w:pPr>
        <w:ind w:left="720"/>
        <w:rPr>
          <w:noProof/>
        </w:rPr>
      </w:pPr>
    </w:p>
    <w:p>
      <w:pPr>
        <w:ind w:left="720"/>
        <w:rPr>
          <w:noProof/>
        </w:rPr>
      </w:pPr>
      <w:r>
        <w:rPr>
          <w:noProof/>
        </w:rPr>
        <w:t xml:space="preserve">5. Så snart kommissionen antar en delegerad akt ska den samtidigt delge Europaparlamentet och rådet denna. </w:t>
      </w:r>
    </w:p>
    <w:p>
      <w:pPr>
        <w:ind w:left="720"/>
        <w:rPr>
          <w:noProof/>
        </w:rPr>
      </w:pPr>
    </w:p>
    <w:p>
      <w:pPr>
        <w:ind w:left="720"/>
        <w:rPr>
          <w:noProof/>
        </w:rPr>
      </w:pPr>
      <w:r>
        <w:rPr>
          <w:noProof/>
        </w:rPr>
        <w:t xml:space="preserve">6. En delegerad akt som antas enligt artikel 31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p>
      <w:pPr>
        <w:ind w:left="720"/>
        <w:rPr>
          <w:noProof/>
        </w:rPr>
      </w:pPr>
      <w:r>
        <w:rPr>
          <w:noProof/>
        </w:rPr>
        <w:lastRenderedPageBreak/>
        <w:t>________________________</w:t>
      </w:r>
    </w:p>
    <w:p>
      <w:pPr>
        <w:ind w:left="720"/>
        <w:rPr>
          <w:noProof/>
          <w:sz w:val="20"/>
          <w:szCs w:val="20"/>
        </w:rPr>
      </w:pPr>
      <w:r>
        <w:rPr>
          <w:noProof/>
          <w:sz w:val="20"/>
        </w:rPr>
        <w:t>*</w:t>
      </w:r>
      <w:r>
        <w:rPr>
          <w:noProof/>
        </w:rPr>
        <w:tab/>
      </w:r>
      <w:r>
        <w:rPr>
          <w:noProof/>
          <w:sz w:val="20"/>
        </w:rPr>
        <w:t>EUT L 123, 12.5.2016, s. 1.”</w:t>
      </w:r>
    </w:p>
    <w:p>
      <w:pPr>
        <w:ind w:left="720"/>
        <w:rPr>
          <w:noProof/>
        </w:rPr>
      </w:pPr>
    </w:p>
    <w:p>
      <w:pPr>
        <w:rPr>
          <w:noProof/>
        </w:rPr>
      </w:pPr>
      <w:r>
        <w:rPr>
          <w:noProof/>
        </w:rPr>
        <w:t xml:space="preserve">   3. Artikel 32 ska utgå. </w:t>
      </w:r>
    </w:p>
    <w:p>
      <w:pPr>
        <w:rPr>
          <w:noProof/>
        </w:rPr>
      </w:pPr>
    </w:p>
    <w:p>
      <w:pPr>
        <w:rPr>
          <w:noProof/>
        </w:rPr>
      </w:pPr>
    </w:p>
    <w:p>
      <w:pPr>
        <w:pStyle w:val="NumPar1"/>
        <w:rPr>
          <w:b/>
          <w:noProof/>
        </w:rPr>
      </w:pPr>
      <w:r>
        <w:rPr>
          <w:b/>
          <w:noProof/>
        </w:rPr>
        <w:t>Europaparlamentets och rådets förordning (EG) nr 1393/2007 av den 13 november 2007 om delgivning i medlemsstaterna av rättegångshandlingar och andra handlingar i mål och ärenden av civil eller kommersiell natur (”delgivning av handlingar”) och om upphävande av rådets förordning (EG) nr 1348/2000</w:t>
      </w:r>
      <w:r>
        <w:rPr>
          <w:rStyle w:val="FootnoteReference"/>
          <w:b/>
          <w:noProof/>
        </w:rPr>
        <w:footnoteReference w:id="3"/>
      </w:r>
      <w:r>
        <w:rPr>
          <w:b/>
          <w:noProof/>
        </w:rPr>
        <w:t xml:space="preserve"> </w:t>
      </w:r>
    </w:p>
    <w:p>
      <w:pPr>
        <w:rPr>
          <w:noProof/>
        </w:rPr>
      </w:pPr>
    </w:p>
    <w:p>
      <w:pPr>
        <w:rPr>
          <w:noProof/>
        </w:rPr>
      </w:pPr>
      <w:r>
        <w:rPr>
          <w:noProof/>
        </w:rPr>
        <w:t>I syfte att uppdatera förordning (EG) nr 1393/2007, bör befogenheten att anta akter i enlighet med artikel 290 i fördraget delegeras till kommissionen med avseende på ändring av bilagorna I och II till den förordningen i syfte att uppdatera standardformulären eller att göra tekniska ändringar.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rPr>
          <w:noProof/>
        </w:rPr>
      </w:pPr>
    </w:p>
    <w:p>
      <w:pPr>
        <w:rPr>
          <w:noProof/>
        </w:rPr>
      </w:pPr>
      <w:r>
        <w:rPr>
          <w:noProof/>
        </w:rPr>
        <w:t>Förordning (EG) nr 1393/2007 ska därför ändras på följande sätt:</w:t>
      </w:r>
    </w:p>
    <w:p>
      <w:pPr>
        <w:rPr>
          <w:noProof/>
        </w:rPr>
      </w:pPr>
    </w:p>
    <w:p>
      <w:pPr>
        <w:rPr>
          <w:noProof/>
        </w:rPr>
      </w:pPr>
      <w:r>
        <w:rPr>
          <w:noProof/>
        </w:rPr>
        <w:t xml:space="preserve">1. Artikel 17 ska ersättas med följande: </w:t>
      </w:r>
    </w:p>
    <w:p>
      <w:pPr>
        <w:rPr>
          <w:noProof/>
        </w:rPr>
      </w:pPr>
    </w:p>
    <w:p>
      <w:pPr>
        <w:ind w:left="720"/>
        <w:jc w:val="center"/>
        <w:rPr>
          <w:i/>
          <w:iCs/>
          <w:noProof/>
        </w:rPr>
      </w:pPr>
      <w:r>
        <w:rPr>
          <w:i/>
          <w:noProof/>
        </w:rPr>
        <w:t>”Artikel 17</w:t>
      </w:r>
    </w:p>
    <w:p>
      <w:pPr>
        <w:ind w:left="720"/>
        <w:jc w:val="center"/>
        <w:rPr>
          <w:b/>
          <w:iCs/>
          <w:noProof/>
        </w:rPr>
      </w:pPr>
      <w:r>
        <w:rPr>
          <w:b/>
          <w:noProof/>
        </w:rPr>
        <w:t>Ändring av bilagorna</w:t>
      </w:r>
    </w:p>
    <w:p>
      <w:pPr>
        <w:ind w:left="720"/>
        <w:rPr>
          <w:noProof/>
        </w:rPr>
      </w:pPr>
    </w:p>
    <w:p>
      <w:pPr>
        <w:ind w:left="720"/>
        <w:rPr>
          <w:noProof/>
        </w:rPr>
      </w:pPr>
      <w:r>
        <w:rPr>
          <w:noProof/>
        </w:rPr>
        <w:t>Kommissionen ska ges befogenhet att anta delegerade akter i enlighet med artikel 17a med avseende på ändring av bilagorna I och II i syfte att uppdatera standardformulären eller att göra tekniska ändringar av dessa formulär.”</w:t>
      </w:r>
    </w:p>
    <w:p>
      <w:pPr>
        <w:ind w:left="720"/>
        <w:rPr>
          <w:noProof/>
        </w:rPr>
      </w:pPr>
    </w:p>
    <w:p>
      <w:pPr>
        <w:rPr>
          <w:noProof/>
        </w:rPr>
      </w:pPr>
      <w:r>
        <w:rPr>
          <w:noProof/>
        </w:rPr>
        <w:t xml:space="preserve">2. Följande artikel ska införas som artikel 17a:  </w:t>
      </w:r>
    </w:p>
    <w:p>
      <w:pPr>
        <w:rPr>
          <w:noProof/>
        </w:rPr>
      </w:pPr>
    </w:p>
    <w:p>
      <w:pPr>
        <w:ind w:left="720"/>
        <w:jc w:val="center"/>
        <w:rPr>
          <w:i/>
          <w:iCs/>
          <w:noProof/>
        </w:rPr>
      </w:pPr>
      <w:r>
        <w:rPr>
          <w:noProof/>
        </w:rPr>
        <w:t>”</w:t>
      </w:r>
      <w:r>
        <w:rPr>
          <w:i/>
          <w:noProof/>
        </w:rPr>
        <w:t>Artikel 17a</w:t>
      </w:r>
    </w:p>
    <w:p>
      <w:pPr>
        <w:ind w:left="720"/>
        <w:jc w:val="center"/>
        <w:rPr>
          <w:b/>
          <w:iCs/>
          <w:noProof/>
        </w:rPr>
      </w:pPr>
      <w:r>
        <w:rPr>
          <w:b/>
          <w:noProof/>
        </w:rPr>
        <w:lastRenderedPageBreak/>
        <w:t>Utövande av delegeringen</w:t>
      </w:r>
    </w:p>
    <w:p>
      <w:pPr>
        <w:ind w:left="720"/>
        <w:rPr>
          <w:noProof/>
        </w:rPr>
      </w:pPr>
    </w:p>
    <w:p>
      <w:pPr>
        <w:ind w:left="720"/>
        <w:rPr>
          <w:noProof/>
        </w:rPr>
      </w:pPr>
      <w:r>
        <w:rPr>
          <w:noProof/>
        </w:rPr>
        <w:t xml:space="preserve">1. Befogenheten att anta delegerade akter ges till kommissionen med förbehåll för de villkor som anges i denna artikel. </w:t>
      </w:r>
    </w:p>
    <w:p>
      <w:pPr>
        <w:ind w:left="720"/>
        <w:rPr>
          <w:noProof/>
        </w:rPr>
      </w:pPr>
    </w:p>
    <w:p>
      <w:pPr>
        <w:ind w:left="720"/>
        <w:rPr>
          <w:noProof/>
        </w:rPr>
      </w:pPr>
      <w:r>
        <w:rPr>
          <w:noProof/>
        </w:rPr>
        <w:t xml:space="preserve">2. Den befogenhet att anta delegerade akter som avses i artikel 17 ska ges till kommissionen tills vidare från och med den dag då denna förordning träder i kraft. </w:t>
      </w:r>
    </w:p>
    <w:p>
      <w:pPr>
        <w:ind w:left="720"/>
        <w:rPr>
          <w:noProof/>
        </w:rPr>
      </w:pPr>
    </w:p>
    <w:p>
      <w:pPr>
        <w:ind w:left="720"/>
        <w:rPr>
          <w:noProof/>
        </w:rPr>
      </w:pPr>
      <w:r>
        <w:rPr>
          <w:noProof/>
        </w:rPr>
        <w:t xml:space="preserve">3. Den delegering av befogenhet som avses i artikel 17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ind w:left="720"/>
        <w:rPr>
          <w:noProof/>
        </w:rPr>
      </w:pPr>
    </w:p>
    <w:p>
      <w:pPr>
        <w:ind w:left="720"/>
        <w:rPr>
          <w:noProof/>
        </w:rPr>
      </w:pPr>
      <w:r>
        <w:rPr>
          <w:noProof/>
        </w:rPr>
        <w:t xml:space="preserve">4. Innan kommissionen antar en delegerad akt, ska den samråda med experter som utsetts av varje medlemsstat i enlighet med principerna i det interinstitutionella avtalet om bättre lagstiftning av den 13 april 2016*. </w:t>
      </w:r>
    </w:p>
    <w:p>
      <w:pPr>
        <w:ind w:left="720"/>
        <w:rPr>
          <w:noProof/>
        </w:rPr>
      </w:pPr>
    </w:p>
    <w:p>
      <w:pPr>
        <w:ind w:left="720"/>
        <w:rPr>
          <w:noProof/>
        </w:rPr>
      </w:pPr>
      <w:r>
        <w:rPr>
          <w:noProof/>
        </w:rPr>
        <w:t xml:space="preserve">5. Så snart kommissionen antar en delegerad akt ska den samtidigt delge Europaparlamentet och rådet denna. </w:t>
      </w:r>
    </w:p>
    <w:p>
      <w:pPr>
        <w:ind w:left="720"/>
        <w:rPr>
          <w:noProof/>
        </w:rPr>
      </w:pPr>
    </w:p>
    <w:p>
      <w:pPr>
        <w:ind w:left="720"/>
        <w:rPr>
          <w:noProof/>
        </w:rPr>
      </w:pPr>
      <w:r>
        <w:rPr>
          <w:noProof/>
        </w:rPr>
        <w:t xml:space="preserve">6. En delegerad akt som antas enligt artikel 17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p>
      <w:pPr>
        <w:ind w:left="720"/>
        <w:rPr>
          <w:noProof/>
        </w:rPr>
      </w:pPr>
      <w:r>
        <w:rPr>
          <w:noProof/>
        </w:rPr>
        <w:t>________________________</w:t>
      </w:r>
    </w:p>
    <w:p>
      <w:pPr>
        <w:ind w:left="720"/>
        <w:rPr>
          <w:noProof/>
          <w:sz w:val="20"/>
          <w:szCs w:val="20"/>
        </w:rPr>
      </w:pPr>
      <w:r>
        <w:rPr>
          <w:noProof/>
          <w:sz w:val="20"/>
        </w:rPr>
        <w:t>*</w:t>
      </w:r>
      <w:r>
        <w:rPr>
          <w:noProof/>
        </w:rPr>
        <w:tab/>
      </w:r>
      <w:r>
        <w:rPr>
          <w:noProof/>
          <w:sz w:val="20"/>
        </w:rPr>
        <w:t>EUT L 123, 12.5.2016, s. 1.”</w:t>
      </w:r>
    </w:p>
    <w:p>
      <w:pPr>
        <w:ind w:left="720"/>
        <w:rPr>
          <w:noProof/>
        </w:rPr>
      </w:pPr>
    </w:p>
    <w:p>
      <w:pPr>
        <w:rPr>
          <w:i/>
          <w:iCs/>
          <w:noProof/>
        </w:rPr>
      </w:pPr>
    </w:p>
    <w:p>
      <w:pPr>
        <w:rPr>
          <w:iCs/>
          <w:noProof/>
        </w:rPr>
      </w:pPr>
      <w:r>
        <w:rPr>
          <w:noProof/>
        </w:rPr>
        <w:t xml:space="preserve">3. Artikel 18 ska utgå. </w:t>
      </w:r>
    </w:p>
    <w:p>
      <w:pPr>
        <w:rPr>
          <w:i/>
          <w:iCs/>
          <w:noProof/>
        </w:rPr>
      </w:pPr>
    </w:p>
    <w:p>
      <w:pPr>
        <w:ind w:firstLine="720"/>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rPr>
          <w:lang w:val="de-DE"/>
        </w:rPr>
        <w:tab/>
        <w:t>EGT L 174, 27.6.2001, s. 1.</w:t>
      </w:r>
    </w:p>
  </w:footnote>
  <w:footnote w:id="2">
    <w:p>
      <w:pPr>
        <w:pStyle w:val="FootnoteText"/>
        <w:rPr>
          <w:lang w:val="de-DE"/>
        </w:rPr>
      </w:pPr>
      <w:r>
        <w:rPr>
          <w:rStyle w:val="FootnoteReference"/>
        </w:rPr>
        <w:footnoteRef/>
      </w:r>
      <w:r>
        <w:rPr>
          <w:lang w:val="de-DE"/>
        </w:rPr>
        <w:tab/>
        <w:t>EUT L 143, 30.4.2004, s. 15.</w:t>
      </w:r>
    </w:p>
  </w:footnote>
  <w:footnote w:id="3">
    <w:p>
      <w:pPr>
        <w:pStyle w:val="FootnoteText"/>
        <w:rPr>
          <w:lang w:val="fr-BE"/>
        </w:rPr>
      </w:pPr>
      <w:r>
        <w:rPr>
          <w:rStyle w:val="FootnoteReference"/>
        </w:rPr>
        <w:footnoteRef/>
      </w:r>
      <w:r>
        <w:tab/>
        <w:t>EUT L 324, 10.12.2007, s.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D08E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96FF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662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0027F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268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8893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E69A0"/>
    <w:lvl w:ilvl="0">
      <w:start w:val="1"/>
      <w:numFmt w:val="decimal"/>
      <w:pStyle w:val="ListNumber"/>
      <w:lvlText w:val="%1."/>
      <w:lvlJc w:val="left"/>
      <w:pPr>
        <w:tabs>
          <w:tab w:val="num" w:pos="360"/>
        </w:tabs>
        <w:ind w:left="360" w:hanging="360"/>
      </w:pPr>
    </w:lvl>
  </w:abstractNum>
  <w:abstractNum w:abstractNumId="7">
    <w:nsid w:val="FFFFFF89"/>
    <w:multiLevelType w:val="singleLevel"/>
    <w:tmpl w:val="411083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4: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59"/>
    <w:docVar w:name="DQCResult_UnknownFonts" w:val="0;0"/>
    <w:docVar w:name="DQCResult_UnknownStyles" w:val="0;34"/>
    <w:docVar w:name="DQCStatus" w:val="Green"/>
    <w:docVar w:name="DQCVersion" w:val="3"/>
    <w:docVar w:name="DQCWithWarnings" w:val="0"/>
    <w:docVar w:name="LW_ACCOMPAGNANT" w:val="till"/>
    <w:docVar w:name="LW_ACCOMPAGNANT.CP" w:val="till"/>
    <w:docVar w:name="LW_ANNEX_NBR_FIRST" w:val="1"/>
    <w:docVar w:name="LW_ANNEX_NBR_LAST" w:val="1"/>
    <w:docVar w:name="LW_CONFIDENCE" w:val=" "/>
    <w:docVar w:name="LW_CONST_RESTREINT_UE" w:val="RESTREINT UE"/>
    <w:docVar w:name="LW_CORRIGENDUM" w:val="&lt;UNUSED&gt;"/>
    <w:docVar w:name="LW_COVERPAGE_GUID" w:val="FDC0A0C530374884B2A54985578B8554"/>
    <w:docVar w:name="LW_CROSSREFERENCE" w:val="&lt;UNUSED&gt;"/>
    <w:docVar w:name="LW_DocType" w:val="ANNEX"/>
    <w:docVar w:name="LW_EMISSION" w:val="14.12.2016"/>
    <w:docVar w:name="LW_EMISSION_ISODATE" w:val="2016-12-14"/>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 w:val="om anpassning till artikel 290 i fördraget om Europeiska unionens funktionssätt av ett antal rättsakter på området rättsliga frågor som föreskriver tillämpning av det föreskrivande förfarandet med kontroll _x000b_(Text av betydelse för EES)_x000b_"/>
    <w:docVar w:name="LW_OBJETACTEPRINCIPAL.CP" w:val="om anpassning till artikel 290 i fördraget om Europeiska unionens funktionssätt av ett antal rättsakter på området rättsliga frågor som föreskriver tillämpning av det föreskrivande förfarandet med kontroll _x000b_(Text av betydelse för EES)_x000b_"/>
    <w:docVar w:name="LW_PART_NBR" w:val="1"/>
    <w:docVar w:name="LW_PART_NBR_TOTAL" w:val="1"/>
    <w:docVar w:name="LW_REF.INST.NEW" w:val="COM"/>
    <w:docVar w:name="LW_REF.INST.NEW_ADOPTED" w:val="final"/>
    <w:docVar w:name="LW_REF.INST.NEW_TEXT" w:val="(2016) 798"/>
    <w:docVar w:name="LW_REF.INTERNE" w:val="&lt;UNUSED&gt;"/>
    <w:docVar w:name="LW_SUPERTITRE" w:val="&lt;UNUSED&gt;"/>
    <w:docVar w:name="LW_TITRE.OBJ.CP" w:val="&lt;UNUSED&gt;"/>
    <w:docVar w:name="LW_TYPE.DOC" w:val="BILAGOR"/>
    <w:docVar w:name="LW_TYPE.DOC.CP" w:val="BILAGOR"/>
    <w:docVar w:name="LW_TYPEACTEPRINCIPAL" w:val="Förslag till_x000b__x000b_EUROPAPARLAMENTETS OCH RÅDETS FÖRORDNING_x000b_"/>
    <w:docVar w:name="LW_TYPEACTEPRINCIPAL.CP" w:val="Förslag till_x000b__x000b_EUROPAPARLAMENTETS OCH RÅDETS FÖRORDNING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6</Pages>
  <Words>1436</Words>
  <Characters>8029</Characters>
  <Application>Microsoft Office Word</Application>
  <DocSecurity>0</DocSecurity>
  <Lines>205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KRAUS Jonas (DGT)</dc:creator>
  <cp:lastModifiedBy>DIGIT/A3</cp:lastModifiedBy>
  <cp:revision>7</cp:revision>
  <dcterms:created xsi:type="dcterms:W3CDTF">2017-03-09T12:13:00Z</dcterms:created>
  <dcterms:modified xsi:type="dcterms:W3CDTF">2017-03-13T06:54:00Z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