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7A05E00399CD411B830ACBCB1EB0CB41" style="width:450.75pt;height:361.5pt">
            <v:imagedata r:id="rId12" o:title=""/>
          </v:shape>
        </w:pict>
      </w:r>
    </w:p>
    <w:bookmarkEnd w:id="0"/>
    <w:p>
      <w:pPr>
        <w:pStyle w:val="Pagedecouverture"/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Heading1"/>
        <w:numPr>
          <w:ilvl w:val="0"/>
          <w:numId w:val="2"/>
        </w:numPr>
        <w:spacing w:before="120"/>
        <w:rPr>
          <w:noProof/>
          <w:color w:val="auto"/>
        </w:rPr>
      </w:pPr>
      <w:bookmarkStart w:id="1" w:name="_GoBack"/>
      <w:bookmarkEnd w:id="1"/>
      <w:r>
        <w:rPr>
          <w:rFonts w:ascii="Times New Roman" w:hAnsi="Times New Roman"/>
          <w:noProof/>
          <w:color w:val="000000" w:themeColor="text1"/>
        </w:rPr>
        <w:lastRenderedPageBreak/>
        <w:t>Introduzzjoni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iCs/>
          <w:noProof/>
        </w:rPr>
      </w:pPr>
      <w:r>
        <w:rPr>
          <w:rFonts w:ascii="Times" w:hAnsi="Times"/>
          <w:i/>
          <w:noProof/>
          <w:color w:val="000000"/>
        </w:rPr>
        <w:t xml:space="preserve">Mill-2015 </w:t>
      </w:r>
      <w:r>
        <w:rPr>
          <w:rFonts w:ascii="Times" w:hAnsi="Times" w:cs="Times"/>
          <w:i/>
          <w:noProof/>
          <w:color w:val="000000"/>
        </w:rPr>
        <w:t>’</w:t>
      </w:r>
      <w:r>
        <w:rPr>
          <w:rFonts w:ascii="Times" w:hAnsi="Times"/>
          <w:i/>
          <w:noProof/>
          <w:color w:val="000000"/>
        </w:rPr>
        <w:t>l hawn, biex tiġi indirizzata l-kriżi serja tar-refuġjati, il-Kummissjoni Ewropea ilha taħdem b’mod intensiv biex tistabbilixxi l-komponenti differenti kollha tal-politika komprensiva tal-migrazzjoni, kif mitlub mill-Kunsill Ewropew u l-Parlament Ewropew ripetutament. Dan jinkludi kemm miżuri għal żmien qasir kif ukoll għal żmien twil, mill-indirizzar tal-flussi migratorji barra mill-UE u</w:t>
      </w:r>
      <w:r>
        <w:rPr>
          <w:noProof/>
        </w:rPr>
        <w:t xml:space="preserve"> </w:t>
      </w:r>
      <w:r>
        <w:rPr>
          <w:rFonts w:ascii="Times" w:hAnsi="Times"/>
          <w:i/>
          <w:noProof/>
        </w:rPr>
        <w:t>t-twaqqif tal-flussi irregolari lejn u fl-Ewropa, għall-iżgurar tal-kontroll effettiv tal-fruntieri esterni tagħna b’mod partikolari permezz tat-twaqqif tal-Aġenzija Ewropea għall-Gwardja tal-Fruntiera u tal-Kosta, għar-riforma tas-Sistema Ewropea Komuni tal-Ażil u l-provvediment ta’ mezzi mtejba għall-migrazzjoni legali, inkluż permezz tal-istabbiliment ta’ qafas komuni tal-UE għar-risistemazzjoni.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iCs/>
          <w:noProof/>
          <w:color w:val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iCs/>
          <w:noProof/>
          <w:color w:val="000000"/>
        </w:rPr>
      </w:pPr>
      <w:r>
        <w:rPr>
          <w:rFonts w:ascii="Times" w:hAnsi="Times"/>
          <w:i/>
          <w:noProof/>
          <w:color w:val="000000"/>
        </w:rPr>
        <w:t>L-iskemi temporanji ta’ rilokazzjoni</w:t>
      </w:r>
      <w:r>
        <w:rPr>
          <w:rStyle w:val="FootnoteReference"/>
          <w:rFonts w:ascii="Times" w:hAnsi="Times"/>
          <w:i/>
          <w:noProof/>
          <w:color w:val="000000"/>
        </w:rPr>
        <w:footnoteReference w:id="2"/>
      </w:r>
      <w:r>
        <w:rPr>
          <w:rFonts w:ascii="Times" w:hAnsi="Times"/>
          <w:i/>
          <w:noProof/>
          <w:color w:val="000000"/>
        </w:rPr>
        <w:t xml:space="preserve"> u ta’ risistemazzjoni</w:t>
      </w:r>
      <w:r>
        <w:rPr>
          <w:rStyle w:val="FootnoteReference"/>
          <w:rFonts w:ascii="Times" w:hAnsi="Times"/>
          <w:i/>
          <w:noProof/>
          <w:color w:val="000000"/>
        </w:rPr>
        <w:footnoteReference w:id="3"/>
      </w:r>
      <w:r>
        <w:rPr>
          <w:rFonts w:ascii="Times" w:hAnsi="Times"/>
          <w:i/>
          <w:noProof/>
          <w:color w:val="000000"/>
        </w:rPr>
        <w:t xml:space="preserve"> ta’ emerġenza huma fatturi ewlenin tar-rispons tal-Unjoni biex il-migrazzjoni tiġi ġestita aħjar u biex il-prinċipju ta’ responsabbiltà u solidarjetà jiġi kkunsidrat fil-prattika. Flimkien mal-miżuri l-oħrajn kollha meħtieġa jew li issa huma fis-seħħ sabiex jitnaqqsu, b’mod sostenibbli, il-flussi ta’ migranti irregolari lejn l-Ewropa, dawn is-sistemi huma komponenti importanti mill-istrateġija usa’ biex jerġa’ jinkiseb il-kontroll tas-sitwazzjoni.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iCs/>
          <w:noProof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iCs/>
          <w:noProof/>
          <w:color w:val="000000"/>
        </w:rPr>
      </w:pPr>
      <w:r>
        <w:rPr>
          <w:rFonts w:ascii="Times" w:hAnsi="Times"/>
          <w:i/>
          <w:noProof/>
          <w:color w:val="000000"/>
        </w:rPr>
        <w:t>Ma jistax ikun hemm kondiviżjoni ġusta tar-responsabbiltà mingħajr solidarjetà. Il-miżuri u l-proposti tal-Kummissjoni huma bbażati fuq dan il-prinċipju u ma jistgħux jiġu diżassoċjati minn xulxin. Skont id-Dikjarazzjoni ta’ Malta tal-Kapijiet ta’ Stat jew tal-Gvern</w:t>
      </w:r>
      <w:r>
        <w:rPr>
          <w:rStyle w:val="FootnoteReference"/>
          <w:rFonts w:ascii="Times" w:hAnsi="Times"/>
          <w:i/>
          <w:noProof/>
          <w:color w:val="000000"/>
        </w:rPr>
        <w:footnoteReference w:id="4"/>
      </w:r>
      <w:r>
        <w:rPr>
          <w:rFonts w:ascii="Times" w:hAnsi="Times"/>
          <w:i/>
          <w:noProof/>
          <w:color w:val="000000"/>
        </w:rPr>
        <w:t xml:space="preserve">, l-elementi kollha tal-politika komprensiva tal-UE dwar il-migrazzjoni jridu jiġu implimentati. Il-tkomplija tat-trasferimenti ta’ Dublin lill-Greċja rrakkomandati mill-Kummissjoni fil-15 ta’ Marzu 2017 ma jistgħux jiġu sseparati mir-responsabbiltà kollettiva biex tittaffa l-pressjoni fuq il-Greċja mill-implimentazzjoni tal-obbligi skont id-Deċiżjonijiet tal-Kunsill dwar ir-rilokazzjoni. Barra minn hekk, filwaqt li huwa essenzjali li s-sistemi ta’ rilokazzjoni ta’ emerġenza jiġu implimentati b’mod sħiħ fi żmien qasir biex tittaffa l-pressjoni minn fuq l-Italja u l-Greċja; huwa importanti wkoll, b’mod parallel, li titħaffef il-ħidma fuq ir-riforma tas-Sistema Ewropea Komuni tal-Ażil, partikolarment dwar ir-Regolament ta’ Dublin. Din ir-riforma tiżgura li l-Ewropa jkollha politika dwar l-ażil ġusta iżda effikaċi bbażata fuq tqassim ċar u ġust tar-responsabbiltà fost l-Istati Membri kollha, inklużi għodod strutturali biex jiġu indirizzati sitwazzjonijiet ta’ pressjoni partikolari.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iCs/>
          <w:noProof/>
          <w:color w:val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iCs/>
          <w:noProof/>
        </w:rPr>
      </w:pPr>
      <w:r>
        <w:rPr>
          <w:i/>
          <w:noProof/>
        </w:rPr>
        <w:t>Għalkemm fl-2016 l-għadd ta’ wasliet ta’ migranti naqsu b’mod sinifikanti, il-Greċja għadha taħt pressjoni kbira minħabba li fit-territorju tagħha għad hemm mat-62,300 migrant. Il-Greċja trid ukoll tuża r-riżorsi fuq l-implimentazzjoni tad-Dikjarazzjoni UE -Turkija u tiżgura l-operat ta’ kuljum tal-proċessi ta’ ritorn lejn it-Turkija ta’ migranti irregolari li jkunu vvjaġġaw mit-Turkija lejn il-gżejjer Griegi wara l-20 ta’ Marzu 2016. F’dak li jirrigwarda l-Italja, fl-2016 ġie rreġistrat rekord ġdid ta’ wasliet, 181,436</w:t>
      </w:r>
      <w:r>
        <w:rPr>
          <w:rStyle w:val="FootnoteReference"/>
          <w:i/>
          <w:noProof/>
        </w:rPr>
        <w:footnoteReference w:id="5"/>
      </w:r>
      <w:r>
        <w:rPr>
          <w:i/>
          <w:noProof/>
        </w:rPr>
        <w:t xml:space="preserve"> (18 fil-mija aktar meta mqabbel mal-2015), li minnhom 14 fil-mija kienu minorenni mhux akkumpanjati. Il-miżuri mressqa riċentement mill-Italja</w:t>
      </w:r>
      <w:r>
        <w:rPr>
          <w:rStyle w:val="FootnoteReference"/>
          <w:i/>
          <w:noProof/>
        </w:rPr>
        <w:footnoteReference w:id="6"/>
      </w:r>
      <w:r>
        <w:rPr>
          <w:i/>
          <w:noProof/>
        </w:rPr>
        <w:t xml:space="preserve"> biex iżżid l-isforzi biex tirritorna dawk il-migranti li mhumiex intitolati li jibqgħu fl-UE ntlaqgħu u jenħtieġ li jiġu implimentati malajr. Ir-rilokazzjoni jenħtieġ li ttaffi l-pressjoni minn fuq l-Italja billi tinqasam ir-responsabbiltà f’dak li jirrigwarda t-trattament ta’ dawk il-migranti li b’mod ċar jeħtieġu l-protezzjoni internazzjonali.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iCs/>
          <w:noProof/>
          <w:color w:val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noProof/>
          <w:color w:val="000000"/>
        </w:rPr>
      </w:pPr>
      <w:r>
        <w:rPr>
          <w:i/>
          <w:noProof/>
          <w:color w:val="000000"/>
        </w:rPr>
        <w:t>Il-Kummissjoni kienet qed tirrapporta fuq bażi ta’ kull xahar dwar l-implimentazzjoni tas-sistemi ta’ rilokazzjoni u risistemazzjoni. Filwaqt li rigward ir-risistemazzjoni l-progress kien wieħed promettenti, ma jistax jingħad l-istess dwar ir-rilokazzjoni fejn il-progress ġenerali sar bil-mod. Biex tinkoraġġixxi implimentazzjoni rapida tal-obbligi ta’ rilokazzjoni, u abbażi tas-sitwazzjoni fil-post, il-Kummissjoni stabbiliet</w:t>
      </w:r>
      <w:r>
        <w:rPr>
          <w:rStyle w:val="FootnoteReference"/>
          <w:i/>
          <w:noProof/>
          <w:color w:val="000000"/>
        </w:rPr>
        <w:footnoteReference w:id="7"/>
      </w:r>
      <w:r>
        <w:rPr>
          <w:i/>
          <w:noProof/>
          <w:color w:val="000000"/>
        </w:rPr>
        <w:t xml:space="preserve"> miri speċifiċi biex tiżgura r-rilokazzjoni ta’ dawk kollha eliġibbli fl-Italja u fil-Greċja b’mod effikaċi u mingħajr xkiel fil-perjodu ta’ żmien stipulat mid-Deċiżjonijiet tal-Kunsill. Il-Kummissjoni talbet b’mod bilaterali lill-Istati Membri sabiex iżidu l-isforzi tagħhom biex jilħqu l-miri stabbiliti u, b’mod partikolari, jissodisfaw l-obbligi tagħhom. Dawk l-Istati Membri u l-Pajjiżi Assoċjati li kienu diġà attivi fl-ambitu ta’ rilokazzjoni rreaġixxew b’mod pożittiv u kkomunikaw lill-Kummissjoni l-ippjanar tagħhom kull xahar. Madankollu, ir-rispons minn Stati Membri inqas attivi kien imħallat.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noProof/>
          <w:color w:val="000000"/>
        </w:rPr>
      </w:pPr>
    </w:p>
    <w:p>
      <w:pPr>
        <w:widowControl w:val="0"/>
        <w:tabs>
          <w:tab w:val="left" w:pos="360"/>
          <w:tab w:val="left" w:pos="71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iCs/>
          <w:noProof/>
          <w:color w:val="000000"/>
        </w:rPr>
      </w:pPr>
      <w:r>
        <w:rPr>
          <w:i/>
          <w:noProof/>
          <w:color w:val="000000"/>
        </w:rPr>
        <w:t>Il-kundizzjonijiet preliminari operattivi kollha qegħdin hemm biex isiru l-proċessi ta’ rilokazzjoni u biex jgħinu lill-Istati Membri jilħqu l-objettivi stabbiliti. Għadd ta’ Stati Membri u Pajjiżi Assoċjati qed iwittu t-triq.  Jeħtieġ issa li l-oħrajn isegwu.</w:t>
      </w:r>
      <w:r>
        <w:rPr>
          <w:rStyle w:val="Emphasis"/>
          <w:noProof/>
        </w:rPr>
        <w:t xml:space="preserve"> Jekk l-Istati Membri kollha jilħqu u jwettqu l-obbligi tagħhom, sa Settembru 2017 il-migranti kollha eliġibbli fl-Italja u l-Greċja jistgħu jiġu rilokati. </w:t>
      </w:r>
      <w:r>
        <w:rPr>
          <w:i/>
          <w:noProof/>
          <w:color w:val="000000"/>
        </w:rPr>
        <w:t>Issa huwa essenzjali li l-Istati Membri kollha jsaħħu u jikkoordinaw l-isforzi tagħhom u li l-partijiet ikkonċernati kollha involuti jikkooperaw flimkien b’mod effiċjenti sabiex jintlaħaq progress tanġibbli dwar dan l-element ewlieni tal-politika globali dwar il-migrazzjoni tal-Unjoni Ewropea, kif mitlub mill-Kapijiet ta’ Stat jew ta’ Gvern.</w:t>
      </w:r>
    </w:p>
    <w:p>
      <w:pPr>
        <w:pStyle w:val="Heading1"/>
        <w:numPr>
          <w:ilvl w:val="0"/>
          <w:numId w:val="2"/>
        </w:numPr>
        <w:spacing w:after="120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t>Rilokazzjoni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Għalkemm ir-ritmu tar-rilokazzjonijiet żdied b’mod progressiv u mit-28 ta’ Frar ġew rilokati 13,546 persuna (9,610 mill-Greċja u 3,936 mill-Italja), dan in-numru jirrappreżenta inqas minn 14 % tal-obbligu legali li ġie allokat sa issa mill-Kunsill (106,000 għall-Italja u l-Greċja). Bir-ritmu preżenti, in-numru totali ta’ persuni rilokati se jkun ħafna inqas mill-obbligi stabbiliti għal Settembru 2017. 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b/>
          <w:noProof/>
        </w:rPr>
        <w:t>Franza</w:t>
      </w:r>
      <w:r>
        <w:rPr>
          <w:noProof/>
        </w:rPr>
        <w:t xml:space="preserve"> huwa l-pajjiż li sa issa rriloka l-akbar numru ta’ applikanti (2,758), segwit mill-</w:t>
      </w:r>
      <w:r>
        <w:rPr>
          <w:b/>
          <w:noProof/>
        </w:rPr>
        <w:t>Ġermanja</w:t>
      </w:r>
      <w:r>
        <w:rPr>
          <w:noProof/>
        </w:rPr>
        <w:t xml:space="preserve"> (2,626) u </w:t>
      </w:r>
      <w:r>
        <w:rPr>
          <w:b/>
          <w:noProof/>
        </w:rPr>
        <w:t>n-Netherlands</w:t>
      </w:r>
      <w:r>
        <w:rPr>
          <w:noProof/>
        </w:rPr>
        <w:t xml:space="preserve"> (1,486). Madankollu, </w:t>
      </w:r>
      <w:r>
        <w:rPr>
          <w:noProof/>
          <w:color w:val="000000"/>
        </w:rPr>
        <w:t xml:space="preserve">kif jidher mid-dejta tal-Annessi, żewġ Stati Membri, </w:t>
      </w:r>
      <w:r>
        <w:rPr>
          <w:b/>
          <w:noProof/>
          <w:color w:val="000000"/>
        </w:rPr>
        <w:t>Malta</w:t>
      </w:r>
      <w:r>
        <w:rPr>
          <w:noProof/>
          <w:color w:val="000000"/>
        </w:rPr>
        <w:t xml:space="preserve"> u </w:t>
      </w:r>
      <w:r>
        <w:rPr>
          <w:b/>
          <w:noProof/>
          <w:color w:val="000000"/>
        </w:rPr>
        <w:t>l-Finlandja</w:t>
      </w:r>
      <w:r>
        <w:rPr>
          <w:noProof/>
          <w:color w:val="000000"/>
        </w:rPr>
        <w:t xml:space="preserve">, sa issa sejrin tajjeb biex jilħqu l-obbligi tagħhom fiż-żmien stipulat kemm għall-Italja kif ukoll għall-Greċja. Anki </w:t>
      </w:r>
      <w:r>
        <w:rPr>
          <w:b/>
          <w:noProof/>
          <w:color w:val="000000"/>
        </w:rPr>
        <w:t>l-Lussemburgu</w:t>
      </w:r>
      <w:r>
        <w:rPr>
          <w:noProof/>
          <w:color w:val="000000"/>
        </w:rPr>
        <w:t xml:space="preserve"> u </w:t>
      </w:r>
      <w:r>
        <w:rPr>
          <w:b/>
          <w:noProof/>
          <w:color w:val="000000"/>
        </w:rPr>
        <w:t>l-Portugall</w:t>
      </w:r>
      <w:r>
        <w:rPr>
          <w:noProof/>
          <w:color w:val="000000"/>
        </w:rPr>
        <w:t xml:space="preserve"> qed jagħmlu progress b’mod kostanti rigward l-obbligi tagħhom għall-Greċja u l-Italja. Barra minn hekk, minkejja l-parteċipazzjoni volontarja fis-sistema, </w:t>
      </w:r>
      <w:r>
        <w:rPr>
          <w:b/>
          <w:noProof/>
          <w:color w:val="000000"/>
        </w:rPr>
        <w:t>il-Pajjiżi Assoċjati</w:t>
      </w:r>
      <w:r>
        <w:rPr>
          <w:noProof/>
          <w:color w:val="000000"/>
        </w:rPr>
        <w:t>, ġeneralment sejrin tajjeb biex jissodisfaw l-impenji tagħhom fiż-żmien stipulat. Fl-aħħar nett, l-Iżvezja qed torganizza ruħha biex tilħaq l-obbligi tagħha ta’ rilokazzjoni għall-Italja u l-Greċja bejn Ġunju u Settembru 2017.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 w:themeColor="text1"/>
        </w:rPr>
      </w:pPr>
      <w:r>
        <w:rPr>
          <w:noProof/>
          <w:color w:val="000000"/>
        </w:rPr>
        <w:t xml:space="preserve">Sfortunatament, is-sitwazzjoni hija diżappuntanti għal Stati Membri oħra. </w:t>
      </w:r>
      <w:r>
        <w:rPr>
          <w:b/>
          <w:noProof/>
          <w:color w:val="000000"/>
        </w:rPr>
        <w:t>L-Ungerija</w:t>
      </w:r>
      <w:r>
        <w:rPr>
          <w:noProof/>
          <w:color w:val="000000"/>
        </w:rPr>
        <w:t xml:space="preserve">, </w:t>
      </w:r>
      <w:r>
        <w:rPr>
          <w:b/>
          <w:noProof/>
          <w:color w:val="000000"/>
        </w:rPr>
        <w:t>l-Awstrija</w:t>
      </w:r>
      <w:r>
        <w:rPr>
          <w:noProof/>
          <w:color w:val="000000"/>
        </w:rPr>
        <w:t xml:space="preserve"> u </w:t>
      </w:r>
      <w:r>
        <w:rPr>
          <w:b/>
          <w:noProof/>
          <w:color w:val="000000"/>
        </w:rPr>
        <w:t>l-Polonja</w:t>
      </w:r>
      <w:r>
        <w:rPr>
          <w:noProof/>
          <w:color w:val="000000"/>
        </w:rPr>
        <w:t xml:space="preserve"> għadhom qegħdin jirrifjutaw li jipparteċipaw fis-sistema ta’ rilokazzjoni. </w:t>
      </w:r>
      <w:r>
        <w:rPr>
          <w:b/>
          <w:noProof/>
          <w:color w:val="000000"/>
        </w:rPr>
        <w:t>Ir-Repubblika Ċeka</w:t>
      </w:r>
      <w:r>
        <w:rPr>
          <w:noProof/>
          <w:color w:val="000000"/>
        </w:rPr>
        <w:t xml:space="preserve"> għadha ma ħaditx impenji minn Mejju 2016 u ma rrilokat l-ebda migrant minn Awwissu 2016, li jfisser li rrilokat inqas minn 1 % tal-allokazzjoni assenjata tagħha. </w:t>
      </w:r>
      <w:r>
        <w:rPr>
          <w:b/>
          <w:noProof/>
        </w:rPr>
        <w:t>Il-Bulgarija</w:t>
      </w:r>
      <w:r>
        <w:rPr>
          <w:noProof/>
        </w:rPr>
        <w:t xml:space="preserve">, </w:t>
      </w:r>
      <w:r>
        <w:rPr>
          <w:b/>
          <w:noProof/>
        </w:rPr>
        <w:t>il-Kroazja</w:t>
      </w:r>
      <w:r>
        <w:rPr>
          <w:noProof/>
        </w:rPr>
        <w:t xml:space="preserve"> u </w:t>
      </w:r>
      <w:r>
        <w:rPr>
          <w:b/>
          <w:noProof/>
          <w:color w:val="000000"/>
        </w:rPr>
        <w:t>s-Slovakkja</w:t>
      </w:r>
      <w:r>
        <w:rPr>
          <w:noProof/>
        </w:rPr>
        <w:t xml:space="preserve"> qed jirrilokaw b’mod limitat ħafna (bejn 1 % u 2 % tal-allokazzjonijiet assenjati lilhom).</w:t>
      </w:r>
      <w:r>
        <w:rPr>
          <w:noProof/>
          <w:color w:val="000000"/>
        </w:rPr>
        <w:t xml:space="preserve">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 w:themeColor="text1"/>
        </w:rPr>
      </w:pPr>
      <w:r>
        <w:rPr>
          <w:noProof/>
          <w:color w:val="000000"/>
        </w:rPr>
        <w:t>Barra minn hekk, minkejja l-isforzi riċenti sabiex jgħaġġlu l-proċess ta’ rilokazzjoni,</w:t>
      </w:r>
      <w:r>
        <w:rPr>
          <w:b/>
          <w:noProof/>
          <w:color w:val="000000"/>
        </w:rPr>
        <w:t xml:space="preserve"> il-Belġju, il-Ġermanja</w:t>
      </w:r>
      <w:r>
        <w:rPr>
          <w:noProof/>
          <w:color w:val="000000"/>
        </w:rPr>
        <w:t xml:space="preserve"> u </w:t>
      </w:r>
      <w:r>
        <w:rPr>
          <w:b/>
          <w:noProof/>
          <w:color w:val="000000"/>
        </w:rPr>
        <w:t>Spanja</w:t>
      </w:r>
      <w:r>
        <w:rPr>
          <w:noProof/>
          <w:color w:val="000000"/>
        </w:rPr>
        <w:t xml:space="preserve"> sa issa rrilokaw madwar 10 % tal-allokazzjoni assenjata tagħhom, u Spanja mhijiex qed tieħu impenji fuq bażi ta’ kull xahar. Fl-aħħar nett, xi Stati Membri li għall-ewwel kienu attivi ħafna naqqsu l-parteċipazzjoni tagħhom u qed jintalbu biex ikomplu bl-istess ritmu li kellhom qabel.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noProof/>
          <w:color w:val="000000"/>
          <w:u w:val="single"/>
        </w:rPr>
      </w:pPr>
      <w:r>
        <w:rPr>
          <w:b/>
          <w:noProof/>
          <w:color w:val="000000"/>
          <w:u w:val="single"/>
        </w:rPr>
        <w:t>Il-Greċja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noProof/>
          <w:color w:val="000000"/>
          <w:u w:val="single"/>
        </w:rPr>
      </w:pPr>
    </w:p>
    <w:p>
      <w:pPr>
        <w:jc w:val="both"/>
        <w:rPr>
          <w:noProof/>
        </w:rPr>
      </w:pPr>
      <w:r>
        <w:rPr>
          <w:noProof/>
          <w:color w:val="000000"/>
        </w:rPr>
        <w:t xml:space="preserve">Barra mid-9,000 li diġà ġew rilokati, bħalissa fil-Greċja jinsabu madwar 20,000 persuna li jistgħu jkunu eliġibbli għar-rilokazzjoni. Bit-tkomplija tal-implimentazzjoni tad-Dikjarazzjoni UE-Turkija, huwa mistenni li s-sitwazzjoni migratorja tibqa’ stabbli. </w:t>
      </w:r>
      <w:r>
        <w:rPr>
          <w:b/>
          <w:noProof/>
          <w:color w:val="000000"/>
        </w:rPr>
        <w:t>B’dan ir-ritmu ta’ rilokazzjoni ta’ madwar 1,000 persuna kull xahar, sa Settembru 2017, l-għadd totali ta’ persuni rilokati mill-Greċja se jkun ta’ madwar 16,400, li jirrappreżenta 57 % tat-total tal-persuni eliġibbli għar-rilokazzjoni.</w:t>
      </w:r>
      <w:r>
        <w:rPr>
          <w:rStyle w:val="FootnoteReference"/>
          <w:noProof/>
          <w:color w:val="000000"/>
        </w:rPr>
        <w:footnoteReference w:id="8"/>
      </w:r>
      <w:r>
        <w:rPr>
          <w:b/>
          <w:noProof/>
          <w:color w:val="000000"/>
        </w:rPr>
        <w:t xml:space="preserve"> Dan il-perċentwal mhux se jkun biżżejjed biex itaffi l-piż fuq il-Greċja.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noProof/>
          <w:color w:val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b/>
          <w:noProof/>
          <w:color w:val="000000"/>
        </w:rPr>
        <w:t>Jekk il-mira ta’ 3,000 fix-xahar indikata fil-pjan ta’ azzjoni konġunt</w:t>
      </w:r>
      <w:r>
        <w:rPr>
          <w:rStyle w:val="FootnoteReference"/>
          <w:b/>
          <w:noProof/>
          <w:color w:val="000000"/>
        </w:rPr>
        <w:footnoteReference w:id="9"/>
      </w:r>
      <w:r>
        <w:rPr>
          <w:b/>
          <w:noProof/>
          <w:color w:val="000000"/>
        </w:rPr>
        <w:t xml:space="preserve"> approvat mill-Kunsill Ewropew</w:t>
      </w:r>
      <w:r>
        <w:rPr>
          <w:rStyle w:val="FootnoteReference"/>
          <w:b/>
          <w:noProof/>
          <w:color w:val="000000"/>
        </w:rPr>
        <w:footnoteReference w:id="10"/>
      </w:r>
      <w:r>
        <w:rPr>
          <w:b/>
          <w:noProof/>
          <w:color w:val="000000"/>
        </w:rPr>
        <w:t xml:space="preserve"> tiġi ssodisfata, in-numru totali ta’ persuni rilokati sa Settembru 2017 għandu jkun bejn 28,400 u 30,400. Billi tintlaħaq il-mira, huwa probabbli li l-maġġoranza l-kbira ta’ migranti li mistennija li jkunu eliġibbli għal rilokazzjoni fil-Greċja se jiġu rilokati, għaldaqstant jinkiseb l-objettiv ewlieni ta’ din il-miżura ta’ emerġenza adottata f’Settembru 2015.</w:t>
      </w:r>
      <w:r>
        <w:rPr>
          <w:noProof/>
          <w:color w:val="000000"/>
        </w:rPr>
        <w:t xml:space="preserve">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noProof/>
          <w:color w:val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  <w:u w:color="000000"/>
        </w:rPr>
      </w:pPr>
      <w:r>
        <w:rPr>
          <w:noProof/>
          <w:color w:val="000000"/>
        </w:rPr>
        <w:t>Ftit pajjiżi biss (</w:t>
      </w:r>
      <w:r>
        <w:rPr>
          <w:b/>
          <w:noProof/>
          <w:color w:val="000000"/>
          <w:u w:color="000000"/>
        </w:rPr>
        <w:t>l-Estonja, l-Irlanda, il-Latvja</w:t>
      </w:r>
      <w:r>
        <w:rPr>
          <w:noProof/>
          <w:color w:val="000000"/>
        </w:rPr>
        <w:t xml:space="preserve">, </w:t>
      </w:r>
      <w:r>
        <w:rPr>
          <w:b/>
          <w:noProof/>
          <w:color w:val="000000"/>
          <w:u w:color="000000"/>
        </w:rPr>
        <w:t>il-Litwanja,</w:t>
      </w:r>
      <w:r>
        <w:rPr>
          <w:noProof/>
          <w:color w:val="000000"/>
        </w:rPr>
        <w:t xml:space="preserve"> </w:t>
      </w:r>
      <w:r>
        <w:rPr>
          <w:b/>
          <w:noProof/>
          <w:color w:val="000000"/>
          <w:u w:color="000000"/>
        </w:rPr>
        <w:t>il-Lussemburgu,</w:t>
      </w:r>
      <w:r>
        <w:rPr>
          <w:noProof/>
          <w:color w:val="000000"/>
        </w:rPr>
        <w:t xml:space="preserve"> </w:t>
      </w:r>
      <w:r>
        <w:rPr>
          <w:b/>
          <w:noProof/>
          <w:color w:val="000000"/>
          <w:u w:color="000000"/>
        </w:rPr>
        <w:t>Malta, il-Portugall u l-Finlandja</w:t>
      </w:r>
      <w:r>
        <w:rPr>
          <w:noProof/>
          <w:color w:val="000000"/>
        </w:rPr>
        <w:t xml:space="preserve">) sejrin tajjeb biex jilħqu l-obbligi tagħhom ta’ rilokazzjoni għall-Greċja. L-issodisfar tal-miri huwa għalhekk possibbli biss jekk l-Istati Membri </w:t>
      </w:r>
      <w:r>
        <w:rPr>
          <w:noProof/>
          <w:color w:val="000000"/>
          <w:u w:val="single" w:color="000000"/>
        </w:rPr>
        <w:t>kollha</w:t>
      </w:r>
      <w:r>
        <w:rPr>
          <w:noProof/>
          <w:color w:val="000000"/>
        </w:rPr>
        <w:t xml:space="preserve"> jimpenjaw ruħhom biex jittrasferixxu fuq bażi regolari ta’ kull xahar u skont in-numru tal-allokazzjonijiet assenjati lilhom. B’mod partikolari, dawk l-Istati Membri li għadhom ma rrilokaw l-ebda migrant jew ftit biss (</w:t>
      </w:r>
      <w:r>
        <w:rPr>
          <w:b/>
          <w:noProof/>
          <w:color w:val="000000"/>
          <w:u w:color="000000"/>
        </w:rPr>
        <w:t>ir-Repubblika Ċeka, l-Ungerija, il-Kroazja, l-Awstrija, il-Polonja u s-Slovakkja</w:t>
      </w:r>
      <w:r>
        <w:rPr>
          <w:noProof/>
          <w:color w:val="000000"/>
        </w:rPr>
        <w:t xml:space="preserve">) jenħtieġ li jibdew jagħmlu dan minnufih. </w:t>
      </w:r>
      <w:r>
        <w:rPr>
          <w:b/>
          <w:noProof/>
          <w:color w:val="000000"/>
          <w:u w:color="000000"/>
        </w:rPr>
        <w:t>Spanja</w:t>
      </w:r>
      <w:r>
        <w:rPr>
          <w:noProof/>
          <w:color w:val="000000"/>
        </w:rPr>
        <w:t xml:space="preserve"> jenħtieġ li wkoll timpenja ruħha għal rilokazzjoni fuq bażi ta’ kull xahar skont in-numru tal-allokazzjoni assenjat lilha u </w:t>
      </w:r>
      <w:r>
        <w:rPr>
          <w:b/>
          <w:noProof/>
          <w:color w:val="000000"/>
          <w:u w:color="000000"/>
        </w:rPr>
        <w:t>l-Bulgarija, Ċipru, il-Litwanja, il-Lussemburgu, il-Portugall, ir-Rumanija</w:t>
      </w:r>
      <w:r>
        <w:rPr>
          <w:noProof/>
          <w:color w:val="000000"/>
        </w:rPr>
        <w:t xml:space="preserve"> </w:t>
      </w:r>
      <w:r>
        <w:rPr>
          <w:b/>
          <w:noProof/>
          <w:color w:val="000000"/>
          <w:u w:color="000000"/>
        </w:rPr>
        <w:t>u s-Slovenja</w:t>
      </w:r>
      <w:r>
        <w:rPr>
          <w:noProof/>
          <w:color w:val="000000"/>
        </w:rPr>
        <w:t xml:space="preserve"> jenħtieġ li jerġgħu jibdew jimpenjaw ruħhom għal rilokazzjoni fuq bażi ta’ kull xahar. </w:t>
      </w:r>
      <w:r>
        <w:rPr>
          <w:b/>
          <w:noProof/>
          <w:color w:val="000000"/>
          <w:u w:color="000000"/>
        </w:rPr>
        <w:t>Il-Belġju</w:t>
      </w:r>
      <w:r>
        <w:rPr>
          <w:noProof/>
          <w:color w:val="000000"/>
        </w:rPr>
        <w:t>, li riċentement indika li beħsiebu jħaffef il-proċess ta’ rilokazzjoni,</w:t>
      </w:r>
      <w:r>
        <w:rPr>
          <w:b/>
          <w:noProof/>
          <w:color w:val="000000"/>
          <w:u w:color="000000"/>
        </w:rPr>
        <w:t xml:space="preserve"> </w:t>
      </w:r>
      <w:r>
        <w:rPr>
          <w:noProof/>
          <w:color w:val="000000"/>
        </w:rPr>
        <w:t xml:space="preserve">u </w:t>
      </w:r>
      <w:r>
        <w:rPr>
          <w:b/>
          <w:noProof/>
          <w:color w:val="000000"/>
          <w:u w:color="000000"/>
        </w:rPr>
        <w:t>l-Ġermanja</w:t>
      </w:r>
      <w:r>
        <w:rPr>
          <w:noProof/>
          <w:color w:val="000000"/>
        </w:rPr>
        <w:t xml:space="preserve">, jenħtieġ li jżidu l-impenji tagħhom u r-rilokazzjoni ta’ kull xahar skont in-numru tar-rilokazzjonijiet assenjati lilhom. Min-naħa tagħhom, </w:t>
      </w:r>
      <w:r>
        <w:rPr>
          <w:b/>
          <w:noProof/>
          <w:color w:val="000000"/>
          <w:u w:color="000000"/>
        </w:rPr>
        <w:t>Franza u n-Netherlands</w:t>
      </w:r>
      <w:r>
        <w:rPr>
          <w:noProof/>
          <w:color w:val="000000"/>
        </w:rPr>
        <w:t xml:space="preserve"> jenħtieġ li jkomplu, bħala minimu, bl-isforzi kurrenti tagħhom ta’ kull xahar u l-istess jenħtieġ li jagħmlu l-Istati Membri u l-Pajjiżi Assoċjati li diġà sejrin tajjeb biex jilħqu l-obbligi tagħhom fiż-żmien stipulat. L-Istati Membri kollha għandhom joffru aktar postijiet għar-rilokazzjoni tal-minorenni mhux akkumpanjati, inklużi minorenni miżżewġa, juru iżjed flessibbiltà u jaċċettaw is-sehem ġust tagħhom tal-persuni vulnerabbli.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  <w:u w:color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 w:themeColor="text1"/>
          <w:u w:color="000000"/>
        </w:rPr>
      </w:pPr>
      <w:r>
        <w:rPr>
          <w:noProof/>
          <w:color w:val="000000" w:themeColor="text1"/>
          <w:u w:color="000000"/>
        </w:rPr>
        <w:t xml:space="preserve">L-issodisfar ta’ dawn il-miri fil-biċċa l-kbira jaqa’ f’idejn l-Istati Membri ta’ rilokazzjoni, minħabba li l-Greċja u l-aġenziji tal-UE u l-organizzazzjonijiet internazzjonali involuti fl-implimentazzjoni tal-mekkaniżmu għamlu dak li huwa meħtieġ sabiex ir-rilokazzjoni taħdem. </w:t>
      </w:r>
      <w:r>
        <w:rPr>
          <w:b/>
          <w:noProof/>
          <w:color w:val="000000" w:themeColor="text1"/>
          <w:u w:color="000000"/>
        </w:rPr>
        <w:t>Il-Greċja</w:t>
      </w:r>
      <w:r>
        <w:rPr>
          <w:noProof/>
          <w:color w:val="000000" w:themeColor="text1"/>
          <w:u w:color="000000"/>
        </w:rPr>
        <w:t xml:space="preserve"> implimentat il-parti l-kbira tar-rakkomandazzjonijiet stabbilit mill-Kummissjoni fir-rapporti tagħha ta’ kull xahar, l-aktar biex tirreġistra malajr kemm jista’ jkun il-migranti kollha, inklużi dawk li huma eliġibbli għal rilokazzjoni, bl-appoġġ tal-Uffiċċju Ewropew ta’ Appoġġ fil-Qasam tal-Ażil (EASO) u l-Kummissarju Għoli tan-Nazzjonijiet Uniti għar-Refuġjati (UNHCR) – sa Marzu 2017 il-Greċja se tirreġistra l-migranti kollha li bħalissa jinsabu fil-Greċja (jiġifieri xahar iktar kmieni milli kien ippjanat oriġinarjament). </w:t>
      </w:r>
      <w:r>
        <w:rPr>
          <w:b/>
          <w:noProof/>
          <w:color w:val="000000" w:themeColor="text1"/>
          <w:u w:color="000000"/>
        </w:rPr>
        <w:t>L-EASO</w:t>
      </w:r>
      <w:r>
        <w:rPr>
          <w:noProof/>
          <w:color w:val="000000" w:themeColor="text1"/>
          <w:u w:color="000000"/>
        </w:rPr>
        <w:t xml:space="preserve"> qed jimplimenta Pjan Operazzjonali ġdid li jippermetti li jiddaħħal persunal temporanju biex jiżgura l-preżenza kontinwa tal-esperti u l-kontribut tiegħu kien kruċjali biex tiġi ggarantita l-kwalità tal-fajls ta’ rilokazzjoni u biex jiġi appoġġat il-persunal b’anqas esperjenza fis-Servizz tal-Ażil fil-Greċja. Bis-saħħa tal-appoġġ koordinat tal-</w:t>
      </w:r>
      <w:r>
        <w:rPr>
          <w:b/>
          <w:noProof/>
          <w:color w:val="000000" w:themeColor="text1"/>
          <w:u w:color="000000"/>
        </w:rPr>
        <w:t>UNHCR</w:t>
      </w:r>
      <w:r>
        <w:rPr>
          <w:noProof/>
          <w:color w:val="000000" w:themeColor="text1"/>
          <w:u w:color="000000"/>
        </w:rPr>
        <w:t xml:space="preserve"> u </w:t>
      </w:r>
      <w:r>
        <w:rPr>
          <w:b/>
          <w:noProof/>
          <w:color w:val="000000" w:themeColor="text1"/>
          <w:u w:color="000000"/>
        </w:rPr>
        <w:t>l-Organizzazzjoni Internazzjonali għall-Migrazzjoni (IOM),</w:t>
      </w:r>
      <w:r>
        <w:rPr>
          <w:noProof/>
          <w:color w:val="000000" w:themeColor="text1"/>
          <w:u w:color="000000"/>
        </w:rPr>
        <w:t xml:space="preserve"> il-proċess ta’ rilokazzjoni qed isir dejjem aktar effiċjenti. L-UNHCR kien essenzjali fit-tfassil tal-eżerċizzju ta’ prereġistrazzjoni tal-massa u biex tiġi żgurata akkomodazzjoni xierqa tal-applikanti għar-rilokazzjoni, filwaqt li l-Organizzazzjoni Internazzjonali għall-Migrazzjoni (IOM) tiżgura li l-applikanti kollha jgħaddu minn kontrolli tas-saħħa u jirċievu informazzjoni ta’ orjentazzjoni qabel it-tluq, li juri flessibbiltà għall-kundizzjonijiet imposti mill-Istati Membri u żieda kontinwa fil-kapaċità tagħha.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 w:themeColor="text1"/>
          <w:u w:color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noProof/>
          <w:color w:val="000000"/>
          <w:u w:val="single"/>
        </w:rPr>
      </w:pPr>
      <w:r>
        <w:rPr>
          <w:b/>
          <w:noProof/>
          <w:color w:val="000000"/>
          <w:u w:val="single"/>
        </w:rPr>
        <w:t>L-Italja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noProof/>
          <w:color w:val="000000"/>
          <w:u w:color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noProof/>
          <w:color w:val="000000"/>
          <w:u w:color="000000"/>
        </w:rPr>
      </w:pPr>
      <w:r>
        <w:rPr>
          <w:noProof/>
          <w:color w:val="000000"/>
          <w:u w:color="000000"/>
        </w:rPr>
        <w:t>Fl-2016, fl-Italja waslu madwar 20,700 Eritrean, iżda sa issa l-awtoritajiet Taljani rreġistraw bejn 5,300 u 5,800 biss għar-rilokazzjoni.</w:t>
      </w:r>
      <w:r>
        <w:rPr>
          <w:b/>
          <w:noProof/>
          <w:color w:val="000000"/>
          <w:u w:color="000000"/>
        </w:rPr>
        <w:t xml:space="preserve"> B’dan ir-ritmu ta’ rilokazzjoni ta’ madwar 750 persuna kull xahar, sa Settembru 2017, l-għadd totali ta’ persuni rilokati mill-Italja se jkun ta’ madwar 9,200, li attwalment jirrappreżenta 44 % tat-total tal-persuni eliġibbli għar-rilokazzjoni.</w:t>
      </w:r>
      <w:r>
        <w:rPr>
          <w:rStyle w:val="FootnoteReference"/>
          <w:b/>
          <w:noProof/>
          <w:color w:val="000000"/>
          <w:u w:color="000000"/>
        </w:rPr>
        <w:footnoteReference w:id="11"/>
      </w:r>
      <w:r>
        <w:rPr>
          <w:noProof/>
          <w:color w:val="000000"/>
          <w:u w:color="000000"/>
        </w:rPr>
        <w:t xml:space="preserve"> </w:t>
      </w:r>
      <w:r>
        <w:rPr>
          <w:b/>
          <w:noProof/>
          <w:color w:val="000000"/>
          <w:u w:color="000000"/>
        </w:rPr>
        <w:t xml:space="preserve">Dan il-perċentwal mhux se jkun biżżejjed biex itaffi l-piż fuq l-Italja. Barra minn hekk, dan jista’ jinbidel minħabba pressjoni migratorja futura.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  <w:u w:color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  <w:u w:color="000000"/>
        </w:rPr>
      </w:pPr>
      <w:r>
        <w:rPr>
          <w:b/>
          <w:noProof/>
          <w:color w:val="000000"/>
          <w:u w:color="000000"/>
        </w:rPr>
        <w:t>Jekk il-mira ta’ 1,500 fix-xahar tiġi ssodisfata, sa Settembru 2017 in-numru totali ta’ persuni rilokati għandu jkun bejn l-11,200 u l-14,200.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98"/>
        <w:jc w:val="both"/>
        <w:rPr>
          <w:noProof/>
          <w:color w:val="000000"/>
          <w:u w:color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  <w:u w:color="000000"/>
        </w:rPr>
      </w:pPr>
      <w:r>
        <w:rPr>
          <w:noProof/>
          <w:color w:val="000000"/>
          <w:u w:color="000000"/>
        </w:rPr>
        <w:t>Tmien pajjiżi biss (</w:t>
      </w:r>
      <w:r>
        <w:rPr>
          <w:b/>
          <w:noProof/>
          <w:color w:val="000000"/>
          <w:u w:color="000000"/>
        </w:rPr>
        <w:t>il-Ġermanja, Franza, Malta, in-Netherlands, in-Norveġja, il-Finlandja, il-Portugall</w:t>
      </w:r>
      <w:r>
        <w:rPr>
          <w:noProof/>
          <w:color w:val="000000"/>
          <w:u w:color="000000"/>
        </w:rPr>
        <w:t xml:space="preserve"> u </w:t>
      </w:r>
      <w:r>
        <w:rPr>
          <w:b/>
          <w:noProof/>
          <w:color w:val="000000"/>
          <w:u w:color="000000"/>
        </w:rPr>
        <w:t>l-Iżvizzera</w:t>
      </w:r>
      <w:r>
        <w:rPr>
          <w:noProof/>
          <w:color w:val="000000"/>
          <w:u w:color="000000"/>
        </w:rPr>
        <w:t>) huma impenjati bis-sħiħ fir-rilokazzjoni mill-Italja. Stati Membri oħrajn (</w:t>
      </w:r>
      <w:r>
        <w:rPr>
          <w:b/>
          <w:noProof/>
          <w:color w:val="000000"/>
          <w:u w:color="000000"/>
        </w:rPr>
        <w:t>il-Belġju</w:t>
      </w:r>
      <w:r>
        <w:rPr>
          <w:noProof/>
          <w:color w:val="000000"/>
          <w:u w:color="000000"/>
        </w:rPr>
        <w:t xml:space="preserve">, </w:t>
      </w:r>
      <w:r>
        <w:rPr>
          <w:b/>
          <w:noProof/>
          <w:color w:val="000000"/>
          <w:u w:color="000000"/>
        </w:rPr>
        <w:t>il-Kroazja, il-Latvja, ir-Rumanija u Spanja</w:t>
      </w:r>
      <w:r>
        <w:rPr>
          <w:noProof/>
          <w:color w:val="000000"/>
          <w:u w:color="000000"/>
        </w:rPr>
        <w:t xml:space="preserve">) sa issa rrilokaw biss numru żgħir ta’ persuni. Oħrajn </w:t>
      </w:r>
      <w:r>
        <w:rPr>
          <w:b/>
          <w:noProof/>
          <w:color w:val="000000"/>
          <w:u w:color="000000"/>
        </w:rPr>
        <w:t>(il-Kroazja, Ċipru, il-Lussemburgu, ir-Rumanija, is-Slovenja</w:t>
      </w:r>
      <w:r>
        <w:rPr>
          <w:noProof/>
          <w:color w:val="000000"/>
          <w:u w:color="000000"/>
        </w:rPr>
        <w:t xml:space="preserve"> u </w:t>
      </w:r>
      <w:r>
        <w:rPr>
          <w:b/>
          <w:noProof/>
          <w:color w:val="000000"/>
          <w:u w:color="000000"/>
        </w:rPr>
        <w:t>Spanja</w:t>
      </w:r>
      <w:r>
        <w:rPr>
          <w:noProof/>
          <w:color w:val="000000"/>
          <w:u w:color="000000"/>
        </w:rPr>
        <w:t>) mhux qed jimpenjaw ruħhom fuq bażi ta’ kull xahar. Ħafna Stati Membri għadhom ma rrilokaw l-ebda persuna mill-Italja (</w:t>
      </w:r>
      <w:r>
        <w:rPr>
          <w:b/>
          <w:noProof/>
          <w:color w:val="000000"/>
          <w:u w:color="000000"/>
        </w:rPr>
        <w:t>il-Bulgarija</w:t>
      </w:r>
      <w:r>
        <w:rPr>
          <w:noProof/>
          <w:color w:val="000000"/>
          <w:u w:color="000000"/>
        </w:rPr>
        <w:t xml:space="preserve">, </w:t>
      </w:r>
      <w:r>
        <w:rPr>
          <w:b/>
          <w:noProof/>
          <w:color w:val="000000"/>
          <w:u w:color="000000"/>
        </w:rPr>
        <w:t>ir-Repubblika Ċeka, l-Estonja, l-Irlanda, l-Ungerija, il-Litwanja, l-Awstrija, il-Polonja u s-Slovakkja</w:t>
      </w:r>
      <w:r>
        <w:rPr>
          <w:noProof/>
          <w:color w:val="000000"/>
          <w:u w:color="000000"/>
        </w:rPr>
        <w:t xml:space="preserve">).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  <w:u w:color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  <w:u w:color="000000"/>
        </w:rPr>
      </w:pPr>
      <w:r>
        <w:rPr>
          <w:b/>
          <w:noProof/>
          <w:color w:val="000000"/>
          <w:u w:color="000000"/>
        </w:rPr>
        <w:t>Biex jintlaħqu l-miri jenħtieġ li l-Istati Membri kollha jimpenjaw ruħhom biex jittrasferixxu u jirrilokaw fuq bażi regolari ta’ kull xahar u skont in-numru tal-allokazzjonijiet assenjat lilhom.</w:t>
      </w:r>
      <w:r>
        <w:rPr>
          <w:noProof/>
          <w:color w:val="000000"/>
          <w:u w:color="000000"/>
        </w:rPr>
        <w:t xml:space="preserve"> Saru arranġamenti mal-Europol u l-awtoritajiet Taljani biex jiġi ffaċilitat il-proċess ta’ kontrolli ta’ sigurtà addizzjonali, inklużi l-intervisti ta’ sigurtà. Għaldaqstant Stati Membri inqas attivi li sa issa ġġustifikaw ir-rata baxxa ta’ rilokazzjoni tagħhom minħabba tħassib ta’ sigurtà</w:t>
      </w:r>
      <w:r>
        <w:rPr>
          <w:rStyle w:val="FootnoteReference"/>
          <w:noProof/>
          <w:color w:val="000000"/>
          <w:u w:color="000000"/>
        </w:rPr>
        <w:footnoteReference w:id="12"/>
      </w:r>
      <w:r>
        <w:rPr>
          <w:noProof/>
          <w:color w:val="000000"/>
          <w:u w:color="000000"/>
        </w:rPr>
        <w:t xml:space="preserve"> jenħtieġ li jżidu l-isforzi tagħhom immedjatament. Fl-istess waqt, dawk l-Istati Membri li huma inqas magħrufa għall-applikanti jenħtieġ li jtejbu l-komunikazzjoni ta’ informazzjoni, inklużi s-sessjonijiet ta’ orjentazzjoni kulturali.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  <w:u w:color="000000"/>
        </w:rPr>
      </w:pPr>
    </w:p>
    <w:p>
      <w:pPr>
        <w:jc w:val="both"/>
        <w:rPr>
          <w:noProof/>
          <w:color w:val="000000"/>
          <w:u w:color="000000"/>
        </w:rPr>
      </w:pPr>
      <w:r>
        <w:rPr>
          <w:noProof/>
          <w:color w:val="000000"/>
          <w:u w:color="000000"/>
        </w:rPr>
        <w:t>Min-naħa tagħha, l-</w:t>
      </w:r>
      <w:r>
        <w:rPr>
          <w:b/>
          <w:noProof/>
          <w:color w:val="000000"/>
          <w:u w:color="000000"/>
        </w:rPr>
        <w:t>Italja</w:t>
      </w:r>
      <w:r>
        <w:rPr>
          <w:noProof/>
          <w:color w:val="000000"/>
          <w:u w:color="000000"/>
        </w:rPr>
        <w:t xml:space="preserve"> għandha turi iżjed flessibbiltà rigward ir-raġunijiet addizzjonali biex jiġu permessi intervisti ta’ sigurtà tal-Europol. Barra minn hekk, l-Italja tenħtieġ li tidentifika u tirreġistra għar-rilokazzjoni dawk il-persuni kollha eliġibbli malajr kemm jista’ jkun u b’mod kontinwu. Għal dan l-għan, l-Italja tenħtieġ li żżid in-numru tal-persunal li huwa responsabbli għall-ipproċessar tal-applikazzjonijiet fl-Unità ta’ Dublin, jekk meħtieġ b’appoġġ tal-EASO, inklużi t-timijiet mobbli tal-EASO diġà eżistenti li jirreġistraw migranti eliġibbli għar-rilokazzjoni lil hinn miċ-ċentri ta’ rilokazzjoni oriġinali. L-Italja jenħtieġ li tiċċentralizza wkoll l-applikanti fi ftit siti ta’ rilokazzjoni, għall-anqas matul l-aħħar stadji tal-proċedura, b’tali mod li l-ewwel fażi tat-tluq, inkluż l-ispezzjonijiet tas-saħħa u s-sessjonijiet ta’ orjentazzjoni kulturali, isiru b’mod aktar effiċjenti u jitnaqqsu r-riskji ta’ ħarba, peress li l-applikazzjonijiet jiġu pproċessati aktar malajr.</w:t>
      </w:r>
      <w:r>
        <w:rPr>
          <w:b/>
          <w:noProof/>
          <w:color w:val="000000"/>
          <w:u w:color="000000"/>
        </w:rPr>
        <w:t xml:space="preserve"> </w:t>
      </w:r>
      <w:r>
        <w:rPr>
          <w:noProof/>
          <w:color w:val="000000"/>
          <w:u w:color="000000"/>
        </w:rPr>
        <w:t>Fl-aħħar nett</w:t>
      </w:r>
      <w:r>
        <w:rPr>
          <w:b/>
          <w:noProof/>
          <w:color w:val="000000"/>
          <w:u w:color="000000"/>
        </w:rPr>
        <w:t xml:space="preserve">, </w:t>
      </w:r>
      <w:r>
        <w:rPr>
          <w:noProof/>
          <w:color w:val="000000"/>
          <w:u w:color="000000"/>
        </w:rPr>
        <w:t xml:space="preserve">l-Italja jenħtieġ li tiċċara b’mod urġenti l-proċeduri li jippermettu r-rilokazzjoni ta’ minorenni mhux akkumpanjati (inkluż billi tiġi ffaċilitata l-ħatra ta’ tuturi), tagħmel użu mill-parir u l-appoġġ ulterjuri tal-EASO, u toħloq ċentru wieħed jew aktar ta’ rilokazzjoni speċifiċi għall-minorenni mhux akkumpanjati biex jitħaffu l-proċeduri. </w:t>
      </w:r>
    </w:p>
    <w:p>
      <w:pPr>
        <w:jc w:val="both"/>
        <w:rPr>
          <w:noProof/>
          <w:color w:val="000000"/>
          <w:u w:color="000000"/>
        </w:rPr>
      </w:pPr>
    </w:p>
    <w:p>
      <w:pPr>
        <w:jc w:val="both"/>
        <w:rPr>
          <w:noProof/>
          <w:color w:val="000000"/>
          <w:u w:color="000000"/>
        </w:rPr>
      </w:pPr>
      <w:r>
        <w:rPr>
          <w:b/>
          <w:noProof/>
          <w:color w:val="000000"/>
          <w:u w:val="single"/>
        </w:rPr>
        <w:t>Biex jinkisbu l-miri kemm għall-Greċja kif ukoll għall-Italja huwa essenzjali li</w:t>
      </w:r>
      <w:r>
        <w:rPr>
          <w:noProof/>
          <w:color w:val="000000"/>
          <w:u w:color="000000"/>
        </w:rPr>
        <w:t>:</w:t>
      </w:r>
    </w:p>
    <w:p>
      <w:pPr>
        <w:pStyle w:val="ListParagraph"/>
        <w:numPr>
          <w:ilvl w:val="0"/>
          <w:numId w:val="28"/>
        </w:numPr>
        <w:jc w:val="both"/>
        <w:rPr>
          <w:noProof/>
          <w:color w:val="000000"/>
          <w:u w:color="000000"/>
        </w:rPr>
      </w:pPr>
      <w:r>
        <w:rPr>
          <w:noProof/>
        </w:rPr>
        <w:t xml:space="preserve"> </w:t>
      </w:r>
      <w:r>
        <w:rPr>
          <w:noProof/>
          <w:color w:val="000000"/>
          <w:u w:color="000000"/>
        </w:rPr>
        <w:t>l-Istati Membri kollha</w:t>
      </w:r>
      <w:r>
        <w:rPr>
          <w:noProof/>
          <w:color w:val="000000"/>
        </w:rPr>
        <w:t xml:space="preserve">jimpenjaw ruħhom u jittrasferixxu b’mod stabbli kull xahar skont in-numru ta’ rilokazzjonijiet assenjati lilhom, jirrispettaw iż-żmien stipulat ta’ rispons kif stabbilit fil-protokolli ta’ rilokazzjoni u jtejbu s-sistemi ta’ akkoljenza u l-integrazzjoni tagħhom biex jevitaw li jkun hemm dewmien fit-trasferimenti, billi jużaw bis-sħiħ il-fondi tal-UE; </w:t>
      </w:r>
    </w:p>
    <w:p>
      <w:pPr>
        <w:pStyle w:val="ListParagraph"/>
        <w:numPr>
          <w:ilvl w:val="0"/>
          <w:numId w:val="28"/>
        </w:numPr>
        <w:jc w:val="both"/>
        <w:rPr>
          <w:noProof/>
          <w:color w:val="000000"/>
          <w:u w:color="000000"/>
        </w:rPr>
      </w:pPr>
      <w:r>
        <w:rPr>
          <w:noProof/>
          <w:color w:val="000000"/>
          <w:u w:color="000000"/>
        </w:rPr>
        <w:t xml:space="preserve">L-ebda Stat Membru ma jagħżel dak li jaqbillu, jew jiddeċiedi b’mod arbitrarju jekk jaċċettax talba għar-rilokazzjoni. Iċ-ċaħdiet jenħtieġ li jkunu bbażati biss fuq il-kriterji stabbiliti fid-Deċiżjonijiet tal-Kunsill; </w:t>
      </w:r>
    </w:p>
    <w:p>
      <w:pPr>
        <w:pStyle w:val="ListParagraph"/>
        <w:numPr>
          <w:ilvl w:val="0"/>
          <w:numId w:val="28"/>
        </w:numPr>
        <w:jc w:val="both"/>
        <w:rPr>
          <w:noProof/>
          <w:color w:val="000000"/>
          <w:u w:color="000000"/>
        </w:rPr>
      </w:pPr>
      <w:r>
        <w:rPr>
          <w:noProof/>
          <w:color w:val="000000"/>
          <w:u w:color="000000"/>
        </w:rPr>
        <w:t>L-Italja tidentifika u tirreġistra malajr il-migranti kollha li jaslu u li jkunu eliġibbli għar-rilokazzjoni, turi iżjed flessibbiltà rigward ir-raġunijiet li jippermettu li jsiru l-intervisti ta’ sigurtà tal-Europol, tiċċentralizza l-applikanti għall-aħħar fażi tal-proċedura, f’numru anqas ta’ strutturi ta’ akkoljenza u tibda tirriloka l-minorenni mhux akkumpanjati mill-aktar fis possibbli.</w:t>
      </w:r>
    </w:p>
    <w:p>
      <w:pPr>
        <w:pStyle w:val="Heading1"/>
        <w:numPr>
          <w:ilvl w:val="0"/>
          <w:numId w:val="2"/>
        </w:numPr>
        <w:spacing w:after="120"/>
        <w:rPr>
          <w:noProof/>
          <w:color w:val="auto"/>
        </w:rPr>
      </w:pPr>
      <w:r>
        <w:rPr>
          <w:rFonts w:ascii="Times New Roman" w:hAnsi="Times New Roman"/>
          <w:noProof/>
          <w:color w:val="000000" w:themeColor="text1"/>
        </w:rPr>
        <w:t xml:space="preserve">Risistemazzjoni </w:t>
      </w:r>
    </w:p>
    <w:p>
      <w:pPr>
        <w:jc w:val="both"/>
        <w:rPr>
          <w:noProof/>
        </w:rPr>
      </w:pPr>
      <w:r>
        <w:rPr>
          <w:noProof/>
        </w:rPr>
        <w:t>Sa issa nkiseb progress sinifikanti rigward ir-risistemazzjoni, diġà tlestew aktar sew minn nofs it-22,504 risistemazzjoni miftiehma skont il-Konklużjonijiet tal-20 ta’ Lulju 2015. Mis-6 ta’ Frar 2016, ġew risistemati 454 persuna, l-aktar mit-Turkija, il-Ġordan u l-Libanu.</w:t>
      </w:r>
      <w:r>
        <w:rPr>
          <w:i/>
          <w:noProof/>
        </w:rPr>
        <w:t xml:space="preserve"> </w:t>
      </w:r>
      <w:r>
        <w:rPr>
          <w:noProof/>
        </w:rPr>
        <w:t xml:space="preserve">Mis-27 ta’ Frar 2017, ġew risistemati </w:t>
      </w:r>
      <w:r>
        <w:rPr>
          <w:b/>
          <w:noProof/>
        </w:rPr>
        <w:t>14,422</w:t>
      </w:r>
      <w:r>
        <w:rPr>
          <w:noProof/>
        </w:rPr>
        <w:t xml:space="preserve"> persuna lejn 21 Stat (</w:t>
      </w:r>
      <w:r>
        <w:rPr>
          <w:b/>
          <w:noProof/>
        </w:rPr>
        <w:t>l-Awstrija, il-Belġju, ir-Repubblika Ċeka, id-Danimarka, l-Estonja, il-Finlandja, Franza, il-Ġermanja, l-Iżlanda, l-Irlanda, l-Italja, il-Latvja, il-Liechtenstein, il-Litwanja, in-Netherlands, in-Norveġja, il-Portugall, Spanja, l-Iżvezja, l-Iżvizzera u r-Renju Unit</w:t>
      </w:r>
      <w:r>
        <w:rPr>
          <w:noProof/>
        </w:rPr>
        <w:t xml:space="preserve">). </w:t>
      </w:r>
      <w:r>
        <w:rPr>
          <w:b/>
          <w:noProof/>
        </w:rPr>
        <w:t>L-Estonja, l-Irlanda, in-Netherlands, il-Finlandja, l-Iżvezja,</w:t>
      </w:r>
      <w:r>
        <w:rPr>
          <w:noProof/>
        </w:rPr>
        <w:t xml:space="preserve"> u </w:t>
      </w:r>
      <w:r>
        <w:rPr>
          <w:b/>
          <w:noProof/>
        </w:rPr>
        <w:t>r-Renju Unit,</w:t>
      </w:r>
      <w:r>
        <w:rPr>
          <w:noProof/>
        </w:rPr>
        <w:t xml:space="preserve"> kif ukoll</w:t>
      </w:r>
      <w:r>
        <w:rPr>
          <w:b/>
          <w:noProof/>
        </w:rPr>
        <w:t xml:space="preserve"> il-Pajjiżi Assoċjati: l-Iżlanda, il-Liechtenstein</w:t>
      </w:r>
      <w:r>
        <w:rPr>
          <w:noProof/>
        </w:rPr>
        <w:t xml:space="preserve"> u </w:t>
      </w:r>
      <w:r>
        <w:rPr>
          <w:b/>
          <w:noProof/>
        </w:rPr>
        <w:t>l-Iżvizzera</w:t>
      </w:r>
      <w:r>
        <w:rPr>
          <w:noProof/>
        </w:rPr>
        <w:t xml:space="preserve">, diġà ssodisfaw l-impenji tagħhom. 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Il-maġġoranza tal-Istati li pparteċipaw fis-sistema indikaw li l-isforzi ta' risistemazzjoni tagħhom kienu primarjament, iżda mhux kompletament diretti lejn Sirjani li jgħixu fil-Ġordan, fil-Libanu u fit-Turkija. Dan jinkludi sforzi mill-Istati Membri biex jirrisistemaw is-Sirjani mit-Turkija skont id-Dikjarazzjoni UE-Turkija tat-18 ta’ Marzu 2016.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Mill-4 ta' April 2016,</w:t>
      </w:r>
      <w:r>
        <w:rPr>
          <w:b/>
          <w:noProof/>
        </w:rPr>
        <w:t xml:space="preserve"> 3,565</w:t>
      </w:r>
      <w:r>
        <w:rPr>
          <w:noProof/>
        </w:rPr>
        <w:t xml:space="preserve"> Sirjan ġew risistemati mit-Turkija skont il-parti tar-risistemazzjoni tal-iskema 1:1 tad-Dikjarazzjoni UE-Turkija. B’kollox, mill-aħħar perjodu ta’ rappurtar ġew risistemati 467 persuna skont dan il-mekkaniżmu u l-għadd ta’ impenji li jifdal huwa ta’ 12,108. Sa issa r-risistemazzjonijiet taħt l-iskema 1:1 saru </w:t>
      </w:r>
      <w:r>
        <w:rPr>
          <w:b/>
          <w:noProof/>
        </w:rPr>
        <w:t>fil-Belġju, l-Estonja, il-Finlandja, Franza, il-Ġermanja, l-Italja, il-Latvja, il-Litwanja, il-Lussemburgu, in-Netherlands, in-Norveġja, il-Portugall, Spanja</w:t>
      </w:r>
      <w:r>
        <w:rPr>
          <w:noProof/>
        </w:rPr>
        <w:t xml:space="preserve"> u</w:t>
      </w:r>
      <w:r>
        <w:rPr>
          <w:b/>
          <w:noProof/>
        </w:rPr>
        <w:t xml:space="preserve"> l-Iżvezja</w:t>
      </w:r>
      <w:r>
        <w:rPr>
          <w:noProof/>
        </w:rPr>
        <w:t xml:space="preserve">. Barra minn hekk, mill-4 ta’ April </w:t>
      </w:r>
      <w:r>
        <w:rPr>
          <w:b/>
          <w:noProof/>
        </w:rPr>
        <w:t>in-Norveġja</w:t>
      </w:r>
      <w:r>
        <w:rPr>
          <w:noProof/>
        </w:rPr>
        <w:t xml:space="preserve"> sa issa irrisistemat 150 Sirjan mit-Turkija</w:t>
      </w:r>
      <w:r>
        <w:rPr>
          <w:rStyle w:val="FootnoteReference"/>
          <w:noProof/>
        </w:rPr>
        <w:footnoteReference w:id="13"/>
      </w:r>
      <w:r>
        <w:rPr>
          <w:noProof/>
        </w:rPr>
        <w:t>.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L-Istati Membri li jkunu għadhom ma rrisistemawx skont il-Konklużjonijiet tal-20 ta’ Lulju 2015 u dawk li għadhom ’il bogħod milli jilħqu l-miri tagħhom jenħtieġ li jżidu l-isforzi tagħhom ukoll. B’mod partikolari, l-Istati Membri li għadhom ma rrisistemawx skont l-iskemi li għaddejjin bħalissa fil-livell tal-UE (</w:t>
      </w:r>
      <w:r>
        <w:rPr>
          <w:b/>
          <w:noProof/>
        </w:rPr>
        <w:t>il-Bulgarija, Ċipru, il-Greċja, il-Kroazja, Malta, il-Polonja, ir-Rumanija, is-Slovakkja</w:t>
      </w:r>
      <w:r>
        <w:rPr>
          <w:noProof/>
        </w:rPr>
        <w:t xml:space="preserve"> u </w:t>
      </w:r>
      <w:r>
        <w:rPr>
          <w:b/>
          <w:noProof/>
        </w:rPr>
        <w:t>s-Slovenja</w:t>
      </w:r>
      <w:r>
        <w:rPr>
          <w:noProof/>
        </w:rPr>
        <w:t xml:space="preserve">) kif ukoll </w:t>
      </w:r>
      <w:r>
        <w:rPr>
          <w:b/>
          <w:noProof/>
        </w:rPr>
        <w:t>fir-Repubblika Ċeka, id-Danimarka</w:t>
      </w:r>
      <w:r>
        <w:rPr>
          <w:noProof/>
        </w:rPr>
        <w:t xml:space="preserve"> u</w:t>
      </w:r>
      <w:r>
        <w:rPr>
          <w:b/>
          <w:noProof/>
        </w:rPr>
        <w:t xml:space="preserve"> l-Portugall,</w:t>
      </w:r>
      <w:r>
        <w:rPr>
          <w:noProof/>
        </w:rPr>
        <w:t xml:space="preserve"> li ma rrappurtaw l-ebda progress f’diversi xhur, jenħtieġ li jagħtu prijorità biex itejbu l-isforzi tagħhom.</w:t>
      </w:r>
    </w:p>
    <w:p>
      <w:pPr>
        <w:jc w:val="both"/>
        <w:rPr>
          <w:noProof/>
        </w:rPr>
      </w:pPr>
    </w:p>
    <w:p>
      <w:pPr>
        <w:jc w:val="both"/>
        <w:rPr>
          <w:b/>
          <w:noProof/>
          <w:sz w:val="32"/>
          <w:szCs w:val="32"/>
        </w:rPr>
      </w:pPr>
      <w:r>
        <w:rPr>
          <w:b/>
          <w:noProof/>
          <w:color w:val="000000" w:themeColor="text1"/>
          <w:sz w:val="32"/>
        </w:rPr>
        <w:t xml:space="preserve">4. It-triq 'il quddiem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Għal din l-aħħar sena, il-Kummissjoni kienet qed tirrapporta fuq bażi ta’ kull xahar, biex tmexxi ‘l quddiem l-implimentazzjoni tad-Deċiżjonijiet tal-Kunsill dwar ir-rilokazzjoni f’kooperazzjoni mill-qrib mal-Italja u l-Greċja, l-Istati Membri, l-aġenziji tal-UE u l-organizzazzjonijiet internazzjonali. Il-prekundizzjonijiet u l-infrastruttura operattiva biex isiru r-rilokazzjonijiet issa huma kompletament fis-seħħ. Il-hotspots ġew stabbiliti, il-proċeduri biex tiġi ffaċilitata r-rilokazzjoni qegħdin fis-seħħ, u l-aġenziji tal-UE u organizzazzjonijiet internazzjonali qed jaħdmu id f’id mal-Istati Membri inkluż mal-Italja u mal-Greċja f’timijiet operattivi Ewropej b’mod sħiħ.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Madankollu, ir-riżultati tar-rilokazzjoni ma jirriflettix il-progress tal-bażi tal-ħidma ta’ tħejjija. Filwaqt li sar progress rigward ir-rilokazzjoni, il-proċess ma kienx uniformi u irregolari. L-isforzi konġunti wasslu għal proċess rapidu u progressiv ta’ rilokazzjoni sa Settembru 2016, iżda huma biss ftit l-Istati Membri li sejrin tajjeb biex jilħqu l-obbligi tagħhom skont id-Deċiżjoni tal-Kunsill. Bir-ritmu preżenti, in-numru totali ta’ persuni rilokati se jkun ħafna inqas mill-miri stabbiliti għal Settembru 2017. Issa, fix-xhur li ġejjin, wasal iż-żmien biex jiżdied b’mod konsiderevoli l-għadd ta’ trasferimenti ta’ kull xahar għall-Istati Membri kollha.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noProof/>
          <w:color w:val="000000"/>
          <w:u w:color="000000"/>
        </w:rPr>
      </w:pPr>
      <w:r>
        <w:rPr>
          <w:noProof/>
          <w:color w:val="000000"/>
        </w:rPr>
        <w:t xml:space="preserve">Meta adotta d-Deċiżjonijiet tal-Kunsill f’Settembru 2015, il-Kunsill stabbilixxa perjodu ta’ sentejn li kien meqjus adegwat għal mekkaniżmu ta’ emerġenza. Fis-sbatax-il xahar mill-bidu tal-implimentazzjoni tad-Deċiżjonijiet, </w:t>
      </w:r>
      <w:r>
        <w:rPr>
          <w:b/>
          <w:noProof/>
          <w:color w:val="000000"/>
        </w:rPr>
        <w:t>il-pressjoni tibqa’ għolja kemm fil-Greċja kif ukoll fl-Italja b’inqas minn 14 % rilokati sa issa</w:t>
      </w:r>
      <w:r>
        <w:rPr>
          <w:noProof/>
          <w:color w:val="000000"/>
        </w:rPr>
        <w:t>.</w:t>
      </w:r>
      <w:r>
        <w:rPr>
          <w:b/>
          <w:noProof/>
          <w:color w:val="000000"/>
        </w:rPr>
        <w:t xml:space="preserve"> Huwa kruċjali li l-Istati Membri jsaħħu l-isforzi tagħhom b’urġenza u jilħqu l-miri ta’ rilokazzjoni ta’ kull xahar — li jsiru mill-anqas 3,000 rilokazzjoni mill-Greċja u mill-anqas 1,500 rilokazzjoni mill-Italja. Il-mira għall-Greċja ġiet approvata mill-Kunsill Ewropew.</w:t>
      </w:r>
      <w:r>
        <w:rPr>
          <w:noProof/>
          <w:color w:val="000000"/>
        </w:rPr>
        <w:t xml:space="preserve"> Dawn il-miri għandhom l-għan li jiżguraw ir-rilokazzjoni ta’ dawk kollha eliġibbli attwalment fl-Italja u l-Greċja b’mod effettiv u f’waqtu, filwaqt li jiġu evitati kwalunkwe ostakoli operattiv u loġistiċi li jistgħu jinħolqu li kieku l-maġġoranza ta’ trasferimenti li jifdal kellhom isiru fl-aħħar xhur qabel Settembru. </w:t>
      </w:r>
      <w:r>
        <w:rPr>
          <w:b/>
          <w:noProof/>
          <w:color w:val="000000"/>
        </w:rPr>
        <w:t>L-Italja, il-Greċja, l-aġenziji tal-UE u l-organizzazzjonijiet internazzjonali żiedu l-kapaċitajiet tagħhom biex jilħqu l-miri. Jinsabu lesti u fuq stand-by biex iwettqu l-miri ta’ kull xahar.</w:t>
      </w:r>
      <w:r>
        <w:rPr>
          <w:noProof/>
          <w:color w:val="000000"/>
        </w:rPr>
        <w:t xml:space="preserve"> B’mod partikolari, fil-Greċja, bħalissa 9,000 ruħ jinsabu lesti biex jiġu rilokati iżda hemm nuqqas ta’ impenji. </w:t>
      </w:r>
      <w:r>
        <w:rPr>
          <w:b/>
          <w:noProof/>
          <w:color w:val="000000"/>
        </w:rPr>
        <w:t xml:space="preserve">Issa huwa l-kompitu tal-Istati Membri l-oħra biex iwettqu l-obbligi tagħhom bl-istess mod.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  <w:u w:color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</w:rPr>
      </w:pPr>
      <w:r>
        <w:rPr>
          <w:noProof/>
          <w:color w:val="000000" w:themeColor="text1"/>
        </w:rPr>
        <w:t xml:space="preserve">Is-suċċess tas-sistema ta’ rilokazzjoni se jitkejjel skont jekk il-persuni kollha eliġibbli għal rilokazzjoni jiġux effettivament trasferiti lil Stat Membru ieħor kif previst fid-Deċiżjonijiet tal-Kunsill u jekk l-Istati Membri kollha jipparteċipawx b’mod attiv fis-sistema b’kooperazzjoni leali. </w:t>
      </w:r>
      <w:r>
        <w:rPr>
          <w:b/>
          <w:noProof/>
          <w:color w:val="000000"/>
        </w:rPr>
        <w:t>Meta wieħed iqis l-għadd attwali fil-Greċja u l-Italja, ir-rilokazzjoni ta’ dawk il-migranti kollha li mistennijin ikunu eliġibbli jkun possibbli u vijabbli sa Settembru 2017</w:t>
      </w:r>
      <w:r>
        <w:rPr>
          <w:noProof/>
          <w:color w:val="000000" w:themeColor="text1"/>
        </w:rPr>
        <w:t>. Issa huwa ż-żmien biex il-ħtiġijiet tal-Kapijiet ta’ Stat jew ta’ Gvern isiru azzjonijiet konkreti.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Il-Kummissjoni tħeġġeġ lill-Presidenza Maltija tal-Kunsill u lill-Istati Membri biex isegwu r-rakkomandazzjonijiet tal-Kummissjoni u l-miri fil-laqgħa li jmiss tal-Kunsill tal-Ġustizzja u l-Affarijiet Interni fl-aħħar ta’ Marzu biex jiżguraw rata ogħla ta’ rilokazzjonijiet qabel Settembru 2017 b’mod koordinat.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</w:rPr>
      </w:pPr>
      <w:r>
        <w:rPr>
          <w:noProof/>
          <w:color w:val="000000"/>
        </w:rPr>
        <w:t>Jekk l-Istati Membri ma jżidux ir-rilokazzjonijiet tagħhom fi żmien qasir, u jekk</w:t>
      </w:r>
      <w:r>
        <w:rPr>
          <w:noProof/>
        </w:rPr>
        <w:t xml:space="preserve"> il-pressjoni fuq il-Greċja u l-Italja ma tonqosx, il-Kummissjoni mhux se toqgħod lura milli tuża s-setgħat tagħha skont kif stabbilit fit-Trattati. 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</w:rPr>
        <w:t xml:space="preserve">In-nuqqas ta’ implimentazzjoni tas-sistema ta’ rilokazzjoni mhux biss jonqos milli jtaffi l-pressjoni fuq il-Greċja u l-Italja iżda se jaffettwa ukoll b’mod negattiv il-progress fl-aspetti l-oħra tar-rispons komprensiv tal-UE għall-kriżi tal-migrazzjoni u tar-refuġjati. Fi kwalunkwe każ, skont id-Deċiżjonijiet tal-Kunsill, </w:t>
      </w:r>
      <w:r>
        <w:rPr>
          <w:noProof/>
          <w:color w:val="000000"/>
        </w:rPr>
        <w:t>l-obbligi legali tal-Istati Membri ma jiqfux wara Settembru 2017. Għalhekk, il-proċedura ta’ rilokazzjoni stabbilita f’dawn id-Deċiżjonijiet trid titwettaq mill-Istati Membri għal applikanti eliġibbli fi żmien raġonevoli.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</w:rPr>
      </w:pP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</w:rPr>
        <w:t xml:space="preserve">B’mod parallel, l-Istati Membri jenħtieġ li jkomplu jwettqu l-obbligi tagħhom ta’ risistemazzjoni; b’mod partikolari, </w:t>
      </w:r>
      <w:r>
        <w:rPr>
          <w:b/>
          <w:noProof/>
        </w:rPr>
        <w:t>dawk li jkunu għadhom ma rrisistemaw l-ebda persuna u dawk li għadhom taħt il-mira kif stabbilit fil-Konklużjonijiet tal-20 ta’ Lulju 2015 jenħtieġ li jżidu l-isforzi tagħhom.</w:t>
      </w:r>
    </w:p>
    <w:p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C Square Sans Pro">
    <w:charset w:val="00"/>
    <w:family w:val="swiss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40238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F’Settembru 2015, il-Kunsill adotta żewġ Deċiżjonijiet legalment vinkolanti li jistabbilixxu mekkaniżmu temporanju għal rilokazzjoni tal-applikanti li jeħtieġu b’mod ċar il-protezzjoni internazzjonali mill-Italja u l-Greċja. </w:t>
      </w:r>
      <w:r>
        <w:rPr>
          <w:color w:val="000000"/>
        </w:rPr>
        <w:t>B’kollox, skont l-ewwel u t-tieni Deċiżjoni tal-Kunsill 39,600 persuna huma eliġibbli għar-rilokazzjoni mill-Italja u 66,400 mill-Greċja. Bħala segwitu tad-Dikjarazzjoni UE-Turkija, f’Settembru 2016 ġiet adottata Deċiżjoni li tirreferi għall-bqija tal-54,000 post li kienu għadhom ma ġewx allokati lill-Istati Membri, u li tagħmilhom disponibbli għall-finijiet ta’ ammissjoni legali tas-Sirjani fl-UE mit-Turkija. Sa issa, l-Istati Membri indikaw l-intenzjoni tagħhom li jdaħħlu legalment 34,000 Sirjan mit-Turkija minn dawk l-54,000 inkluż permezz ta’ risistemazzjoni. It-tieni Deċiżjoni tal-Kunsill ta’ Settembru 2015 li tinkludi l-allokazzjoni ta’ 120,000 applikant għall-ażil ġiet ikkontestata quddiem il-Qorti mill-Ungerija u s-Slovakkja billi invokaw għadd kbir ta’ argumenti. Is-sentenza hija mistennija fl-2017.</w:t>
      </w:r>
    </w:p>
  </w:footnote>
  <w:footnote w:id="3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color w:val="000000"/>
        </w:rPr>
        <w:t>F’Lulju 2015, l-Istati Membri u l-Pajjiżi Assoċjati ta’ Dublin qablu li jirrisistemaw 22,504 persuna fi bżonn ta’ protezzjoni internazzjonali minn barra l-UE.</w:t>
      </w:r>
    </w:p>
  </w:footnote>
  <w:footnote w:id="4">
    <w:p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http://www.consilium.europa.eu/en/press/press-releases/2017/01/03-malta-declaration/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Sors: Il-Ministeru tal-Intern tal-Italja.</w:t>
      </w:r>
    </w:p>
  </w:footnote>
  <w:footnote w:id="6">
    <w:p>
      <w:pPr>
        <w:ind w:left="720" w:hanging="720"/>
        <w:jc w:val="both"/>
        <w:rPr>
          <w:lang w:eastAsia="en-US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tab/>
      </w:r>
      <w:r>
        <w:rPr>
          <w:sz w:val="20"/>
        </w:rPr>
        <w:t>Decreto-Legge 17 febbraio 2017, n. 13, Disposizioni urgenti per l'accelerazione dei procedimenti in materia di protezione internazionale, nonche' per il contrasto dell'immigrazione illegale. (GU Serie Generale n.40 del 17-2-2017). Ippubblikat f’GURI Nru 40 tas-17 ta’ Frar 2017, u daħal fis-seħħ fit-18 ta’ Frar 2017.</w:t>
      </w:r>
    </w:p>
  </w:footnote>
  <w:footnote w:id="7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COM (2016)791 finali. Il-Kummissjoni pproponiet approċċ inkrimentali f’żewġ stadji biex tagħti lill-Istati Membri biżżejjed żmien biex jippjanaw u jikkoordinaw l-isforzi tagħhom u jiżguraw żieda progressiva tal-kapaċitajiet biex jiġi evitat kwalunkwe xkiel loġistiku. L-ewwel fażi, biex iżżid ir-rilokazzjonijiet mill-Greċja minn 1,000 kull xahar għal 2,000 xahar u mill-Italja minn 400 għal kull xahar għal 1,000 kull xahar u, it-tieni fażi, minn April 2017, tkompli żżid ir-rilokazzjonijiet mill-Greċja minn 2,000 kull xahar għal 3,000 kull u mill-Italja minn 1,000 kull xahar għal 1,500 kull xahar.</w:t>
      </w:r>
    </w:p>
  </w:footnote>
  <w:footnote w:id="8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F’April, se tkun disponibbli dejta aktar ċara wara li titlesta l-proċedura ta’ reġistrazzjoni.</w:t>
      </w:r>
    </w:p>
  </w:footnote>
  <w:footnote w:id="9">
    <w:p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COM(2016) 792 finali, Anness 1. </w:t>
      </w:r>
    </w:p>
  </w:footnote>
  <w:footnote w:id="10">
    <w:p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http://www.consilium.europa.eu/mt/press/press-releases/2016/12/15-euco-conclusions-final/</w:t>
      </w:r>
    </w:p>
  </w:footnote>
  <w:footnote w:id="11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color w:val="000000"/>
          <w:u w:color="000000"/>
        </w:rPr>
        <w:t>In-numru ta’ persuni eliġibbli għal rilokazzjoni li huma attwalment preżenti fl-Italja u li jistgħu jkunu eliġibbli għar-rilokazzjoni mhux magħruf għal kollox.</w:t>
      </w:r>
    </w:p>
  </w:footnote>
  <w:footnote w:id="12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Pereżempju, l-Estonja u l-Irlanda impenjaw ruħhom darba, iżda billi dak iż-żmien ma ngħatawx il-permess li jwettqu intervisti ta’ sigurtà, ma reġgħux ħadu impenji oħrajn għalissa. Barra minn hekk, il-Litwanja rrifjutat l-ewwel talbiet għal rilokazzjoni mibgħuta mill-Italja; minkejja li l-Litwanja kienet qed timpenja ruħha kważi kull xahar, l-Italja ma bagħtet l-ebda talbiet għal rilokazzjoni.</w:t>
      </w:r>
    </w:p>
  </w:footnote>
  <w:footnote w:id="13">
    <w:p>
      <w:pPr>
        <w:pStyle w:val="FootnoteText"/>
        <w:ind w:left="720" w:hanging="72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Għalkemm in-Norveġja tapplika proċeduri operattivi standard ta’ risistemazzjoni miftiehma mat-Turkija fl-ambitu tal-iskema 1:1, in-numru ta’ risistemazzjonijiet fin-Norveġja fil-kuntest tal-iskema 1:1 ma jiġix ikkunsidrat għall-finijiet ta’ kalkoli ta’ ritorn ta’ Sirjani mill-Greċja.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972573"/>
    <w:multiLevelType w:val="hybridMultilevel"/>
    <w:tmpl w:val="D9E4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2373E"/>
    <w:multiLevelType w:val="hybridMultilevel"/>
    <w:tmpl w:val="0FB4B6D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121CF"/>
    <w:multiLevelType w:val="hybridMultilevel"/>
    <w:tmpl w:val="61CC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B3F4C"/>
    <w:multiLevelType w:val="hybridMultilevel"/>
    <w:tmpl w:val="2A8C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8386D"/>
    <w:multiLevelType w:val="hybridMultilevel"/>
    <w:tmpl w:val="486A75EE"/>
    <w:lvl w:ilvl="0" w:tplc="1AB86BDC">
      <w:start w:val="2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4594D"/>
    <w:multiLevelType w:val="multilevel"/>
    <w:tmpl w:val="F79CD2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5642FC3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25D80F54"/>
    <w:multiLevelType w:val="hybridMultilevel"/>
    <w:tmpl w:val="6B2E6698"/>
    <w:lvl w:ilvl="0" w:tplc="1AB86BDC">
      <w:start w:val="2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34B49"/>
    <w:multiLevelType w:val="hybridMultilevel"/>
    <w:tmpl w:val="DB24A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341A5"/>
    <w:multiLevelType w:val="hybridMultilevel"/>
    <w:tmpl w:val="4A423ABE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3F136F51"/>
    <w:multiLevelType w:val="hybridMultilevel"/>
    <w:tmpl w:val="6954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91769"/>
    <w:multiLevelType w:val="hybridMultilevel"/>
    <w:tmpl w:val="A74C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033F5"/>
    <w:multiLevelType w:val="hybridMultilevel"/>
    <w:tmpl w:val="DE94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E7444"/>
    <w:multiLevelType w:val="hybridMultilevel"/>
    <w:tmpl w:val="65B8E2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6393A"/>
    <w:multiLevelType w:val="hybridMultilevel"/>
    <w:tmpl w:val="149ACD8E"/>
    <w:lvl w:ilvl="0" w:tplc="C4FEFB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91EF5"/>
    <w:multiLevelType w:val="hybridMultilevel"/>
    <w:tmpl w:val="EDB28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42B0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51F4E"/>
    <w:multiLevelType w:val="hybridMultilevel"/>
    <w:tmpl w:val="528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2">
    <w:nsid w:val="7D4339EB"/>
    <w:multiLevelType w:val="hybridMultilevel"/>
    <w:tmpl w:val="4386CAF8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>
    <w:nsid w:val="7F7A3C99"/>
    <w:multiLevelType w:val="hybridMultilevel"/>
    <w:tmpl w:val="F7CC192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10"/>
  </w:num>
  <w:num w:numId="11">
    <w:abstractNumId w:val="10"/>
  </w:num>
  <w:num w:numId="12">
    <w:abstractNumId w:val="19"/>
  </w:num>
  <w:num w:numId="13">
    <w:abstractNumId w:val="7"/>
  </w:num>
  <w:num w:numId="14">
    <w:abstractNumId w:val="21"/>
  </w:num>
  <w:num w:numId="15">
    <w:abstractNumId w:val="14"/>
  </w:num>
  <w:num w:numId="16">
    <w:abstractNumId w:val="6"/>
  </w:num>
  <w:num w:numId="17">
    <w:abstractNumId w:val="20"/>
  </w:num>
  <w:num w:numId="18">
    <w:abstractNumId w:val="16"/>
  </w:num>
  <w:num w:numId="19">
    <w:abstractNumId w:val="15"/>
  </w:num>
  <w:num w:numId="20">
    <w:abstractNumId w:val="18"/>
  </w:num>
  <w:num w:numId="21">
    <w:abstractNumId w:val="17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22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"/>
    <w:docVar w:name="LW_CORRIGENDUM" w:val="&lt;UNUSED&gt;"/>
    <w:docVar w:name="LW_COVERPAGE_GUID" w:val="7A05E00399CD411B830ACBCB1EB0CB41"/>
    <w:docVar w:name="LW_CROSSREFERENCE" w:val="&lt;UNUSED&gt;"/>
    <w:docVar w:name="LW_DocType" w:val="NORMAL"/>
    <w:docVar w:name="LW_EMISSION" w:val="2.3.2017"/>
    <w:docVar w:name="LW_EMISSION_ISODATE" w:val="2017-03-02"/>
    <w:docVar w:name="LW_EMISSION_LOCATION" w:val="BRX"/>
    <w:docVar w:name="LW_EMISSION_PREFIX" w:val="Brussell, "/>
    <w:docVar w:name="LW_EMISSION_SUFFIX" w:val=" "/>
    <w:docVar w:name="LW_ID_DOCTYPE_NONLW" w:val="CP-003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OUS.TITRE.OBJ.CP" w:val="&lt;UNUSED&gt;"/>
    <w:docVar w:name="LW_SUPERTITRE" w:val="&lt;UNUSED&gt;"/>
    <w:docVar w:name="LW_TITRE.OBJ.CP" w:val="LILL-PARLAMENT EWROPEW, LILL-KUNSILL EWROPEW U LILL-KUNSILL _x000b__x000b_L-G\u295?axar Rapport dwar ir-Rilokazzjoni u r-Risistemazzjoni_x000b__x000b__x000b__x0009_"/>
    <w:docVar w:name="LW_TYPE.DOC.CP" w:val="RAPPORT MILL-KUMMISSJON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7" w:uiPriority="39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aliases w:val="Char,Fußnote,Carattere,fn,Footnotes,Footnote ak,Footnote Text Char Char,fn Char Char,footnote text Char Char,Footnotes Char Char,Footnote ak Char Char,fn Char1,footnote text Char1,Footnotes Char1,ft,Footnote Text_EP-LC"/>
    <w:basedOn w:val="Normal"/>
    <w:link w:val="FootnoteTextChar"/>
    <w:uiPriority w:val="99"/>
    <w:qFormat/>
    <w:rPr>
      <w:sz w:val="20"/>
      <w:szCs w:val="20"/>
    </w:rPr>
  </w:style>
  <w:style w:type="character" w:customStyle="1" w:styleId="FootnoteTextChar">
    <w:name w:val="Footnote Text Char"/>
    <w:aliases w:val="Char Char,Fußnote Char,Carattere Char,fn Char,Footnotes Char,Footnote ak Char,Footnote Text Char Char Char,fn Char Char Char,footnote text Char Char Char,Footnotes Char Char Char,Footnote ak Char Char Char,fn Char1 Char,ft Char"/>
    <w:basedOn w:val="DefaultParagraphFont"/>
    <w:link w:val="FootnoteText"/>
    <w:uiPriority w:val="99"/>
  </w:style>
  <w:style w:type="character" w:styleId="FootnoteReference">
    <w:name w:val="footnote reference"/>
    <w:aliases w:val="Footnote Reference Superscript,Footnote symbol,BVI fnr,Footnote reference number,note TESI,Appel note de bas de p,Nota,SUPERS,Footnote number,EN Footnote Reference,-E Fußnotenzeichen,number Char Char,number,Ref,styl,styli,R, BVI fnr"/>
    <w:basedOn w:val="DefaultParagraphFont"/>
    <w:uiPriority w:val="99"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rFonts w:ascii="Verdana" w:hAnsi="Verdana" w:hint="default"/>
      <w:strike w:val="0"/>
      <w:dstrike w:val="0"/>
      <w:color w:val="0000FF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lang w:eastAsia="mt-MT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paragraph" w:styleId="TOC7">
    <w:name w:val="toc 7"/>
    <w:basedOn w:val="Normal"/>
    <w:next w:val="Normal"/>
    <w:uiPriority w:val="39"/>
    <w:unhideWhenUsed/>
    <w:pPr>
      <w:tabs>
        <w:tab w:val="right" w:leader="dot" w:pos="9071"/>
      </w:tabs>
      <w:spacing w:before="180" w:after="120"/>
    </w:pPr>
    <w:rPr>
      <w:rFonts w:eastAsiaTheme="minorHAnsi"/>
      <w:szCs w:val="22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paragraph" w:customStyle="1" w:styleId="Considrant">
    <w:name w:val="Considérant"/>
    <w:basedOn w:val="Normal"/>
    <w:pPr>
      <w:numPr>
        <w:numId w:val="14"/>
      </w:numPr>
      <w:spacing w:before="120" w:after="120"/>
      <w:jc w:val="both"/>
    </w:pPr>
    <w:rPr>
      <w:rFonts w:eastAsiaTheme="minorHAnsi"/>
      <w:szCs w:val="22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4">
    <w:name w:val="A4"/>
    <w:uiPriority w:val="99"/>
    <w:rPr>
      <w:rFonts w:cs="EC Square Sans Pro"/>
      <w:color w:val="000000"/>
      <w:sz w:val="20"/>
      <w:szCs w:val="20"/>
    </w:rPr>
  </w:style>
  <w:style w:type="paragraph" w:customStyle="1" w:styleId="Langue">
    <w:name w:val="Langue"/>
    <w:basedOn w:val="Normal"/>
    <w:next w:val="Normal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</w:rPr>
  </w:style>
  <w:style w:type="paragraph" w:customStyle="1" w:styleId="Nomdelinstitution">
    <w:name w:val="Nom de l'institution"/>
    <w:basedOn w:val="Normal"/>
    <w:next w:val="Normal"/>
    <w:rPr>
      <w:rFonts w:ascii="Arial" w:eastAsiaTheme="minorHAnsi" w:hAnsi="Arial" w:cs="Arial"/>
      <w:szCs w:val="22"/>
    </w:rPr>
  </w:style>
  <w:style w:type="paragraph" w:customStyle="1" w:styleId="Emission">
    <w:name w:val="Emission"/>
    <w:basedOn w:val="Normal"/>
    <w:next w:val="Normal"/>
    <w:pPr>
      <w:ind w:left="5103"/>
    </w:pPr>
    <w:rPr>
      <w:rFonts w:eastAsiaTheme="minorHAnsi"/>
      <w:szCs w:val="22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Rfrenceinstitutionnelle">
    <w:name w:val="Référence institutionnelle"/>
    <w:basedOn w:val="Normal"/>
    <w:next w:val="Normal"/>
    <w:pPr>
      <w:spacing w:after="240"/>
      <w:ind w:left="5103"/>
    </w:pPr>
    <w:rPr>
      <w:rFonts w:eastAsiaTheme="minorHAnsi"/>
      <w:szCs w:val="22"/>
    </w:rPr>
  </w:style>
  <w:style w:type="paragraph" w:customStyle="1" w:styleId="Confidentialit">
    <w:name w:val="Confidentialité"/>
    <w:basedOn w:val="Normal"/>
    <w:next w:val="Normal"/>
    <w:pPr>
      <w:spacing w:before="240" w:after="240"/>
      <w:ind w:left="5103"/>
    </w:pPr>
    <w:rPr>
      <w:rFonts w:eastAsiaTheme="minorHAnsi"/>
      <w:i/>
      <w:sz w:val="32"/>
      <w:szCs w:val="22"/>
    </w:rPr>
  </w:style>
  <w:style w:type="paragraph" w:customStyle="1" w:styleId="TypedudocumentPagedecouverture">
    <w:name w:val="Type du document (Page de couverture)"/>
    <w:basedOn w:val="Normal"/>
    <w:next w:val="Normal"/>
    <w:pPr>
      <w:spacing w:before="360"/>
      <w:jc w:val="center"/>
    </w:pPr>
    <w:rPr>
      <w:rFonts w:eastAsiaTheme="minorHAnsi"/>
      <w:b/>
      <w:szCs w:val="22"/>
    </w:rPr>
  </w:style>
  <w:style w:type="paragraph" w:customStyle="1" w:styleId="TitreobjetPagedecouverture">
    <w:name w:val="Titre objet (Page de couverture)"/>
    <w:basedOn w:val="Normal"/>
    <w:next w:val="Normal"/>
    <w:pPr>
      <w:spacing w:before="360" w:after="360"/>
      <w:jc w:val="center"/>
    </w:pPr>
    <w:rPr>
      <w:rFonts w:eastAsiaTheme="minorHAnsi"/>
      <w:b/>
      <w:szCs w:val="22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7" w:uiPriority="39"/>
    <w:lsdException w:name="footnote text" w:uiPriority="99" w:qFormat="1"/>
    <w:lsdException w:name="annotation text" w:uiPriority="99"/>
    <w:lsdException w:name="footer" w:uiPriority="99"/>
    <w:lsdException w:name="caption" w:qFormat="1"/>
    <w:lsdException w:name="footnote reference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aliases w:val="Char,Fußnote,Carattere,fn,Footnotes,Footnote ak,Footnote Text Char Char,fn Char Char,footnote text Char Char,Footnotes Char Char,Footnote ak Char Char,fn Char1,footnote text Char1,Footnotes Char1,ft,Footnote Text_EP-LC"/>
    <w:basedOn w:val="Normal"/>
    <w:link w:val="FootnoteTextChar"/>
    <w:uiPriority w:val="99"/>
    <w:qFormat/>
    <w:rPr>
      <w:sz w:val="20"/>
      <w:szCs w:val="20"/>
    </w:rPr>
  </w:style>
  <w:style w:type="character" w:customStyle="1" w:styleId="FootnoteTextChar">
    <w:name w:val="Footnote Text Char"/>
    <w:aliases w:val="Char Char,Fußnote Char,Carattere Char,fn Char,Footnotes Char,Footnote ak Char,Footnote Text Char Char Char,fn Char Char Char,footnote text Char Char Char,Footnotes Char Char Char,Footnote ak Char Char Char,fn Char1 Char,ft Char"/>
    <w:basedOn w:val="DefaultParagraphFont"/>
    <w:link w:val="FootnoteText"/>
    <w:uiPriority w:val="99"/>
  </w:style>
  <w:style w:type="character" w:styleId="FootnoteReference">
    <w:name w:val="footnote reference"/>
    <w:aliases w:val="Footnote Reference Superscript,Footnote symbol,BVI fnr,Footnote reference number,note TESI,Appel note de bas de p,Nota,SUPERS,Footnote number,EN Footnote Reference,-E Fußnotenzeichen,number Char Char,number,Ref,styl,styli,R, BVI fnr"/>
    <w:basedOn w:val="DefaultParagraphFont"/>
    <w:uiPriority w:val="99"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rFonts w:ascii="Verdana" w:hAnsi="Verdana" w:hint="default"/>
      <w:strike w:val="0"/>
      <w:dstrike w:val="0"/>
      <w:color w:val="0000FF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lang w:eastAsia="mt-MT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paragraph" w:styleId="TOC7">
    <w:name w:val="toc 7"/>
    <w:basedOn w:val="Normal"/>
    <w:next w:val="Normal"/>
    <w:uiPriority w:val="39"/>
    <w:unhideWhenUsed/>
    <w:pPr>
      <w:tabs>
        <w:tab w:val="right" w:leader="dot" w:pos="9071"/>
      </w:tabs>
      <w:spacing w:before="180" w:after="120"/>
    </w:pPr>
    <w:rPr>
      <w:rFonts w:eastAsiaTheme="minorHAnsi"/>
      <w:szCs w:val="22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paragraph" w:customStyle="1" w:styleId="Considrant">
    <w:name w:val="Considérant"/>
    <w:basedOn w:val="Normal"/>
    <w:pPr>
      <w:numPr>
        <w:numId w:val="14"/>
      </w:numPr>
      <w:spacing w:before="120" w:after="120"/>
      <w:jc w:val="both"/>
    </w:pPr>
    <w:rPr>
      <w:rFonts w:eastAsiaTheme="minorHAnsi"/>
      <w:szCs w:val="22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4">
    <w:name w:val="A4"/>
    <w:uiPriority w:val="99"/>
    <w:rPr>
      <w:rFonts w:cs="EC Square Sans Pro"/>
      <w:color w:val="000000"/>
      <w:sz w:val="20"/>
      <w:szCs w:val="20"/>
    </w:rPr>
  </w:style>
  <w:style w:type="paragraph" w:customStyle="1" w:styleId="Langue">
    <w:name w:val="Langue"/>
    <w:basedOn w:val="Normal"/>
    <w:next w:val="Normal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</w:rPr>
  </w:style>
  <w:style w:type="paragraph" w:customStyle="1" w:styleId="Nomdelinstitution">
    <w:name w:val="Nom de l'institution"/>
    <w:basedOn w:val="Normal"/>
    <w:next w:val="Normal"/>
    <w:rPr>
      <w:rFonts w:ascii="Arial" w:eastAsiaTheme="minorHAnsi" w:hAnsi="Arial" w:cs="Arial"/>
      <w:szCs w:val="22"/>
    </w:rPr>
  </w:style>
  <w:style w:type="paragraph" w:customStyle="1" w:styleId="Emission">
    <w:name w:val="Emission"/>
    <w:basedOn w:val="Normal"/>
    <w:next w:val="Normal"/>
    <w:pPr>
      <w:ind w:left="5103"/>
    </w:pPr>
    <w:rPr>
      <w:rFonts w:eastAsiaTheme="minorHAnsi"/>
      <w:szCs w:val="22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Rfrenceinstitutionnelle">
    <w:name w:val="Référence institutionnelle"/>
    <w:basedOn w:val="Normal"/>
    <w:next w:val="Normal"/>
    <w:pPr>
      <w:spacing w:after="240"/>
      <w:ind w:left="5103"/>
    </w:pPr>
    <w:rPr>
      <w:rFonts w:eastAsiaTheme="minorHAnsi"/>
      <w:szCs w:val="22"/>
    </w:rPr>
  </w:style>
  <w:style w:type="paragraph" w:customStyle="1" w:styleId="Confidentialit">
    <w:name w:val="Confidentialité"/>
    <w:basedOn w:val="Normal"/>
    <w:next w:val="Normal"/>
    <w:pPr>
      <w:spacing w:before="240" w:after="240"/>
      <w:ind w:left="5103"/>
    </w:pPr>
    <w:rPr>
      <w:rFonts w:eastAsiaTheme="minorHAnsi"/>
      <w:i/>
      <w:sz w:val="32"/>
      <w:szCs w:val="22"/>
    </w:rPr>
  </w:style>
  <w:style w:type="paragraph" w:customStyle="1" w:styleId="TypedudocumentPagedecouverture">
    <w:name w:val="Type du document (Page de couverture)"/>
    <w:basedOn w:val="Normal"/>
    <w:next w:val="Normal"/>
    <w:pPr>
      <w:spacing w:before="360"/>
      <w:jc w:val="center"/>
    </w:pPr>
    <w:rPr>
      <w:rFonts w:eastAsiaTheme="minorHAnsi"/>
      <w:b/>
      <w:szCs w:val="22"/>
    </w:rPr>
  </w:style>
  <w:style w:type="paragraph" w:customStyle="1" w:styleId="TitreobjetPagedecouverture">
    <w:name w:val="Titre objet (Page de couverture)"/>
    <w:basedOn w:val="Normal"/>
    <w:next w:val="Normal"/>
    <w:pPr>
      <w:spacing w:before="360" w:after="360"/>
      <w:jc w:val="center"/>
    </w:pPr>
    <w:rPr>
      <w:rFonts w:eastAsiaTheme="minorHAnsi"/>
      <w:b/>
      <w:szCs w:val="22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71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2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6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8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1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E4784CB7A28D3C4488AA7E5C40997F0C" ma:contentTypeVersion="0" ma:contentTypeDescription="Create a new document in this library." ma:contentTypeScope="" ma:versionID="87f420ba1f11c7aec4d310e74a2aaba0">
  <xsd:schema xmlns:xsd="http://www.w3.org/2001/XMLSchema" xmlns:xs="http://www.w3.org/2001/XMLSchema" xmlns:p="http://schemas.microsoft.com/office/2006/metadata/properties" xmlns:ns2="http://schemas.microsoft.com/sharepoint/v3/fields" xmlns:ns3="17b46552-d8b0-4a09-8203-d52bd02ecc12" targetNamespace="http://schemas.microsoft.com/office/2006/metadata/properties" ma:root="true" ma:fieldsID="506a4dc83becbeaf627cebdd8d251707" ns2:_="" ns3:_="">
    <xsd:import namespace="http://schemas.microsoft.com/sharepoint/v3/fields"/>
    <xsd:import namespace="17b46552-d8b0-4a09-8203-d52bd02ecc1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46552-d8b0-4a09-8203-d52bd02ecc1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17b46552-d8b0-4a09-8203-d52bd02ecc12">Not Started</EC_Collab_Status>
    <_Status xmlns="http://schemas.microsoft.com/sharepoint/v3/fields">Not Started</_Status>
    <EC_Collab_Reference xmlns="17b46552-d8b0-4a09-8203-d52bd02ecc12" xsi:nil="true"/>
    <EC_Collab_DocumentLanguage xmlns="17b46552-d8b0-4a09-8203-d52bd02ecc12">EN</EC_Collab_DocumentLangu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1D97-9D51-41C2-9284-0FCD455D0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9136E-8F95-4153-A9D0-499768384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7b46552-d8b0-4a09-8203-d52bd02ec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D0424-62BD-4E1C-A348-325CB223939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7b46552-d8b0-4a09-8203-d52bd02ecc12"/>
    <ds:schemaRef ds:uri="http://schemas.microsoft.com/sharepoint/v3/field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2099AA-8249-4B83-91D8-2063CB93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2899</Words>
  <Characters>20527</Characters>
  <Application>Microsoft Office Word</Application>
  <DocSecurity>0</DocSecurity>
  <Lines>315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2017-03-01T08:30:00Z</dcterms:created>
  <dcterms:modified xsi:type="dcterms:W3CDTF">2017-03-27T10:54:00Z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Classification">
    <vt:lpwstr> </vt:lpwstr>
  </property>
  <property fmtid="{D5CDD505-2E9C-101B-9397-08002B2CF9AE}" pid="6" name="ContentTypeId">
    <vt:lpwstr>0x010100258AA79CEB83498886A3A0868112325000E4784CB7A28D3C4488AA7E5C40997F0C</vt:lpwstr>
  </property>
</Properties>
</file>