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6A66D3AA1794C1A8AEEC6EDD6C0412A" style="width:450.7pt;height:375.45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p>
      <w:pPr>
        <w:pStyle w:val="Heading1"/>
        <w:numPr>
          <w:ilvl w:val="0"/>
          <w:numId w:val="2"/>
        </w:numPr>
        <w:spacing w:before="120"/>
        <w:rPr>
          <w:noProof/>
          <w:color w:val="auto"/>
        </w:rPr>
      </w:pPr>
      <w:bookmarkStart w:id="1" w:name="_GoBack"/>
      <w:bookmarkEnd w:id="1"/>
      <w:r>
        <w:rPr>
          <w:rFonts w:ascii="Times New Roman" w:hAnsi="Times New Roman"/>
          <w:noProof/>
          <w:color w:val="000000" w:themeColor="text1"/>
        </w:rPr>
        <w:lastRenderedPageBreak/>
        <w:t>Indledning</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i/>
          <w:iCs/>
          <w:noProof/>
        </w:rPr>
      </w:pPr>
      <w:r>
        <w:rPr>
          <w:rFonts w:ascii="Times" w:hAnsi="Times"/>
          <w:i/>
          <w:noProof/>
          <w:color w:val="000000"/>
        </w:rPr>
        <w:t xml:space="preserve">Siden 2015 har Europa-Kommissionen for at løse den alvorlige flygtningekrise arbejdet intensivt på at indføre alle de forskellige dele i en omfattende migrationspolitik, som Det Europæiske Råd og Europa-Parlamentet har efterlyst gentagne gange. Der er tale om foranstaltninger på både kort og lang sigt, der rækker fra at styre migrationsstrømmene uden for EU og </w:t>
      </w:r>
      <w:r>
        <w:rPr>
          <w:rFonts w:ascii="Times" w:hAnsi="Times"/>
          <w:i/>
          <w:noProof/>
        </w:rPr>
        <w:t>dæmme op for ulovlig indvandring til og inden for Europa over at sikre effektiv kontrol af vores ydre grænser, navnlig gennem oprettelsen af Det Europæiske Agentur for Grænse- og Kystbevogtning, til at reformere det fælles europæiske asylsystem og skabe bedre muligheder for lovlig indvandring, bl.a. gennem oprettelse af en fælles EU-ramme for genbosætning.</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i/>
          <w:iCs/>
          <w:noProof/>
          <w:color w:val="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i/>
          <w:iCs/>
          <w:noProof/>
          <w:color w:val="000000"/>
        </w:rPr>
      </w:pPr>
      <w:r>
        <w:rPr>
          <w:rFonts w:ascii="Times" w:hAnsi="Times"/>
          <w:i/>
          <w:noProof/>
          <w:color w:val="000000"/>
        </w:rPr>
        <w:t>De midlertidige omfordelings-</w:t>
      </w:r>
      <w:r>
        <w:rPr>
          <w:rStyle w:val="FootnoteReference"/>
          <w:rFonts w:ascii="Times" w:hAnsi="Times"/>
          <w:i/>
          <w:noProof/>
          <w:color w:val="000000"/>
        </w:rPr>
        <w:footnoteReference w:id="2"/>
      </w:r>
      <w:r>
        <w:rPr>
          <w:rFonts w:ascii="Times" w:hAnsi="Times"/>
          <w:i/>
          <w:noProof/>
          <w:color w:val="000000"/>
        </w:rPr>
        <w:t xml:space="preserve"> og genbosætningsordninger i nødsituationer</w:t>
      </w:r>
      <w:r>
        <w:rPr>
          <w:rStyle w:val="FootnoteReference"/>
          <w:rFonts w:ascii="Times" w:hAnsi="Times"/>
          <w:i/>
          <w:noProof/>
          <w:color w:val="000000"/>
        </w:rPr>
        <w:footnoteReference w:id="3"/>
      </w:r>
      <w:r>
        <w:rPr>
          <w:rFonts w:ascii="Times" w:hAnsi="Times"/>
          <w:i/>
          <w:noProof/>
          <w:color w:val="000000"/>
        </w:rPr>
        <w:t xml:space="preserve"> er centrale elementer i EU’s svar på en bedre styring af migrationsspørgsmålet og er udtryk for ansvars- og solidaritetsprincippet i praksis. Disse ordninger er, sammen med alle de øvrige nødvendige eller allerede indførte foranstaltninger for en bæredygtig reduktion af strømmen af ulovlig indvandring til Europa, vigtige komponenter i en bredere strategi, der skal genskabe kontrol over situationen.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i/>
          <w:iCs/>
          <w:noProof/>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i/>
          <w:iCs/>
          <w:noProof/>
          <w:color w:val="000000"/>
        </w:rPr>
      </w:pPr>
      <w:r>
        <w:rPr>
          <w:rFonts w:ascii="Times" w:hAnsi="Times"/>
          <w:i/>
          <w:noProof/>
          <w:color w:val="000000"/>
        </w:rPr>
        <w:t>Det er ikke muligt at opnå en rimelig ansvarsfordeling uden solidaritet. Kommissionens foranstaltninger og forslag tager udgangspunkt i dette princip og kan ikke adskilles fra hinanden. I overensstemmelse med stats- og regeringschefernes Maltaerklæring</w:t>
      </w:r>
      <w:r>
        <w:rPr>
          <w:rStyle w:val="FootnoteReference"/>
          <w:rFonts w:ascii="Times" w:hAnsi="Times"/>
          <w:i/>
          <w:noProof/>
          <w:color w:val="000000"/>
        </w:rPr>
        <w:footnoteReference w:id="4"/>
      </w:r>
      <w:r>
        <w:rPr>
          <w:rFonts w:ascii="Times" w:hAnsi="Times"/>
          <w:i/>
          <w:noProof/>
          <w:color w:val="000000"/>
        </w:rPr>
        <w:t xml:space="preserve"> skal alle elementer i EU´s omfattende migrationspolitik gennemføres. Genoptagelsen af Dublinoverførsler til Grækenland, som Kommissionen anbefalede den 15. marts 2017, kan ikke adskilles fra det fælles ansvar om at lette presset på Grækenland ved at gennemføre forpligtelserne i henhold til Rådets afgørelser om omfordeling. Det er vigtigt, at omfordelingsordninger i nødsituationer gennemføres fuldt ud på kort sigt for at lette presset på Italien og Grækenland. Det er imidlertid lige så vigtigt samtidigt at fremskynde arbejdet på at reformere det fælles europæiske asylsystem, navnlig Dublinforordningen. En sådan reform vil sikre, at Europa har en retfærdig, men effektiv asylpolitik, der er baseret på en klar og retfærdig ansvarsdeling blandt medlemsstaterne, herunder strukturelle redskaber til at imødekomme situationer med et særligt stort pres.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iCs/>
          <w:noProof/>
          <w:color w:val="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iCs/>
          <w:noProof/>
        </w:rPr>
      </w:pPr>
      <w:r>
        <w:rPr>
          <w:i/>
          <w:noProof/>
        </w:rPr>
        <w:t xml:space="preserve">Selvom antallet af migranter, der ankommer til Europa, er faldet betydeligt i 2016, er der fortsat et stort pres på Grækenland, hvor der fortsat befinder sig omkring 62 300 migranter. Grækenland skal desuden målrette ressourcer til gennemførelsen af EU’s og Tyrkiets erklæring og sikre de daglige tilbagesendelser til Tyrkiet af ulovlige migranter, der har </w:t>
      </w:r>
      <w:r>
        <w:rPr>
          <w:i/>
          <w:noProof/>
        </w:rPr>
        <w:lastRenderedPageBreak/>
        <w:t>krydset grænsen fra Tyrkiet til de græske øer efter den 20. marts 2016. Italien modtog i 2016 et rekordhøjt antal migranter, 181 436</w:t>
      </w:r>
      <w:r>
        <w:rPr>
          <w:rStyle w:val="FootnoteReference"/>
          <w:i/>
          <w:noProof/>
        </w:rPr>
        <w:footnoteReference w:id="5"/>
      </w:r>
      <w:r>
        <w:rPr>
          <w:i/>
          <w:noProof/>
        </w:rPr>
        <w:t xml:space="preserve"> (18 % flere end i 2015), hvoraf 14 % var uledsagede mindreårige. De foranstaltninger, som Italien har truffet for nylig</w:t>
      </w:r>
      <w:r>
        <w:rPr>
          <w:rStyle w:val="FootnoteReference"/>
          <w:i/>
          <w:noProof/>
        </w:rPr>
        <w:footnoteReference w:id="6"/>
      </w:r>
      <w:r>
        <w:rPr>
          <w:i/>
          <w:noProof/>
        </w:rPr>
        <w:t xml:space="preserve"> for at styrke bestræbelserne på at tilbagesende de migranter, der ikke har ret til at forblive i EU, er glædelige og bør gennemføres hurtigt. Omfordeling bør lette presset på Italien ved at dele ansvaret for at håndtere de migranter, der har et klart behov for international beskyttelse.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iCs/>
          <w:noProof/>
          <w:color w:val="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noProof/>
          <w:color w:val="000000"/>
        </w:rPr>
      </w:pPr>
      <w:r>
        <w:rPr>
          <w:i/>
          <w:noProof/>
          <w:color w:val="000000"/>
        </w:rPr>
        <w:t>Kommissionen har månedligt rapporteret om gennemførelsen af omfordelings- og genbosætningsordningerne. Fremskridtene med hensyn til genbosætning har været lovende, det samme kan imidlertid ikke siges om omfordeling, hvor de overordnede fremskridt har været ringe. For at tilskynde til hurtig gennemførelse af omfordelingsforpligtelserne, og med udgangspunkt i den faktiske situation, har Kommissionen fastsat</w:t>
      </w:r>
      <w:r>
        <w:rPr>
          <w:rStyle w:val="FootnoteReference"/>
          <w:i/>
          <w:noProof/>
          <w:color w:val="000000"/>
        </w:rPr>
        <w:footnoteReference w:id="7"/>
      </w:r>
      <w:r>
        <w:rPr>
          <w:i/>
          <w:noProof/>
          <w:color w:val="000000"/>
        </w:rPr>
        <w:t xml:space="preserve"> specifikke mål, der skal sikre en effektiv og enkel omfordeling af alle migranter i Italien og Grækenland, der kan omfordeles, inden for tidsfristen i Rådets afgørelser. Kommissionen har bilateralt opfordret medlemsstaterne til at øge indsatsen for at opfylde de fastsatte mål og ikke mindst deres forpligtelser. De medlemsstater og associerede lande, der allerede var aktive med hensyn til omfordeling, reagerede positivt og underrettede Kommissionen om deres månedlige planlægning. Reaktionen fra de mindre aktive medlemsstater derimod var blandet.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noProof/>
          <w:color w:val="000000"/>
        </w:rPr>
      </w:pPr>
    </w:p>
    <w:p>
      <w:pPr>
        <w:widowControl w:val="0"/>
        <w:tabs>
          <w:tab w:val="left" w:pos="360"/>
          <w:tab w:val="left" w:pos="7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iCs/>
          <w:noProof/>
          <w:color w:val="000000"/>
        </w:rPr>
      </w:pPr>
      <w:r>
        <w:rPr>
          <w:i/>
          <w:noProof/>
          <w:color w:val="000000"/>
        </w:rPr>
        <w:t>Alle operationelle forudsætninger for at gennemføre omfordelingsoperationerne og hjælpe medlemsstaterne med at nå de fastsatte mål er til stede. Nogle medlemsstater og associerede lande går forrest. Andre skal følge efter.</w:t>
      </w:r>
      <w:r>
        <w:rPr>
          <w:rStyle w:val="Emphasis"/>
          <w:noProof/>
        </w:rPr>
        <w:t xml:space="preserve"> Det vil være muligt at omfordele alle de berettigede migranter i Italien og Grækenland inden september 2017, hvis alle medlemsstater forfølger og lever op til deres forpligtelser. </w:t>
      </w:r>
      <w:r>
        <w:rPr>
          <w:i/>
          <w:noProof/>
          <w:color w:val="000000"/>
        </w:rPr>
        <w:t>En intensiveret og koordineret indsats fra alle medlemsstater og et robust samarbejde mellem alle berørte aktører er nu helt afgørende for at gøre konkrete fremskridt på dette centrale område i EU’s omfattende migrationspolitik, i overensstemmelse med opfordringen fra stats- og regeringslederne.</w:t>
      </w:r>
    </w:p>
    <w:p>
      <w:pPr>
        <w:pStyle w:val="Heading1"/>
        <w:numPr>
          <w:ilvl w:val="0"/>
          <w:numId w:val="2"/>
        </w:numPr>
        <w:spacing w:after="120"/>
        <w:rPr>
          <w:rFonts w:ascii="Times New Roman" w:hAnsi="Times New Roman" w:cs="Times New Roman"/>
          <w:noProof/>
          <w:color w:val="000000" w:themeColor="text1"/>
        </w:rPr>
      </w:pPr>
      <w:r>
        <w:rPr>
          <w:rFonts w:ascii="Times New Roman" w:hAnsi="Times New Roman"/>
          <w:noProof/>
          <w:color w:val="000000" w:themeColor="text1"/>
        </w:rPr>
        <w:t>Omfordeling</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r>
        <w:rPr>
          <w:noProof/>
          <w:color w:val="000000"/>
        </w:rPr>
        <w:t xml:space="preserve">Selvom omfordelingstempoet har været gradvist stigning med 13 546 omfordelte personer pr. 28. februar (9 610 fra Grækenland og 3 936 fra Italien), udgør andelen mindre end 14 % af den juridiske forpligtelse, som Rådet har fastsat indtil nu (106 000 for både Italien og Grækenland). Med det nuværende tempo vil det samlede antal omfordelte personer komme til at ligge langt fra de forpligtelser, der er fastsat for september 2017.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r>
        <w:rPr>
          <w:b/>
          <w:noProof/>
        </w:rPr>
        <w:t>Frankrig</w:t>
      </w:r>
      <w:r>
        <w:rPr>
          <w:noProof/>
        </w:rPr>
        <w:t xml:space="preserve"> er det land, der har omfordelt flest ansøgere (2 758 indtil videre) efterfulgt af </w:t>
      </w:r>
      <w:r>
        <w:rPr>
          <w:b/>
          <w:noProof/>
        </w:rPr>
        <w:t>Tyskland</w:t>
      </w:r>
      <w:r>
        <w:rPr>
          <w:noProof/>
        </w:rPr>
        <w:t xml:space="preserve"> (2 626) og </w:t>
      </w:r>
      <w:r>
        <w:rPr>
          <w:b/>
          <w:noProof/>
        </w:rPr>
        <w:t>Nederlandene</w:t>
      </w:r>
      <w:r>
        <w:rPr>
          <w:noProof/>
        </w:rPr>
        <w:t xml:space="preserve"> (1 486). Som det</w:t>
      </w:r>
      <w:r>
        <w:rPr>
          <w:noProof/>
          <w:color w:val="000000"/>
        </w:rPr>
        <w:t xml:space="preserve"> fremgår af dataene i bilagene er det imidlertid kun to medlemsstater, </w:t>
      </w:r>
      <w:r>
        <w:rPr>
          <w:b/>
          <w:noProof/>
          <w:color w:val="000000"/>
        </w:rPr>
        <w:t>Malta</w:t>
      </w:r>
      <w:r>
        <w:rPr>
          <w:noProof/>
          <w:color w:val="000000"/>
        </w:rPr>
        <w:t xml:space="preserve"> og </w:t>
      </w:r>
      <w:r>
        <w:rPr>
          <w:b/>
          <w:noProof/>
          <w:color w:val="000000"/>
        </w:rPr>
        <w:t>Finland</w:t>
      </w:r>
      <w:r>
        <w:rPr>
          <w:noProof/>
          <w:color w:val="000000"/>
        </w:rPr>
        <w:t xml:space="preserve">, der på nuværende tidspunkt er på vej </w:t>
      </w:r>
      <w:r>
        <w:rPr>
          <w:noProof/>
          <w:color w:val="000000"/>
        </w:rPr>
        <w:lastRenderedPageBreak/>
        <w:t xml:space="preserve">mod at overholde deres forpligtelser rettidigt for både Italien og Grækenland. </w:t>
      </w:r>
      <w:r>
        <w:rPr>
          <w:b/>
          <w:noProof/>
          <w:color w:val="000000"/>
        </w:rPr>
        <w:t>Luxembourg og</w:t>
      </w:r>
      <w:r>
        <w:rPr>
          <w:noProof/>
          <w:color w:val="000000"/>
        </w:rPr>
        <w:t xml:space="preserve"> </w:t>
      </w:r>
      <w:r>
        <w:rPr>
          <w:b/>
          <w:noProof/>
          <w:color w:val="000000"/>
        </w:rPr>
        <w:t xml:space="preserve">Portugal </w:t>
      </w:r>
      <w:r>
        <w:rPr>
          <w:noProof/>
          <w:color w:val="000000"/>
        </w:rPr>
        <w:t xml:space="preserve">viser også en støt fremgang mod at leve op til deres forpligtelser for Grækenland og Italien. På trods af deres frivillige deltagelse i ordningen er de </w:t>
      </w:r>
      <w:r>
        <w:rPr>
          <w:b/>
          <w:noProof/>
          <w:color w:val="000000"/>
        </w:rPr>
        <w:t>associerede lande</w:t>
      </w:r>
      <w:r>
        <w:rPr>
          <w:noProof/>
          <w:color w:val="000000"/>
        </w:rPr>
        <w:t xml:space="preserve"> generelt godt på vej til at overholde deres forpligtelser med hensyn til rettidig omfordeling. Endelig er </w:t>
      </w:r>
      <w:r>
        <w:rPr>
          <w:b/>
          <w:noProof/>
          <w:color w:val="000000"/>
        </w:rPr>
        <w:t>Sverige</w:t>
      </w:r>
      <w:r>
        <w:rPr>
          <w:noProof/>
          <w:color w:val="000000"/>
        </w:rPr>
        <w:t xml:space="preserve"> ved at forberede sig på at opfylde sine omfordelingsforpligtelser for Italien og Grækenland mellem juni og september 2017.</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themeColor="text1"/>
        </w:rPr>
      </w:pPr>
      <w:r>
        <w:rPr>
          <w:noProof/>
          <w:color w:val="000000"/>
        </w:rPr>
        <w:t xml:space="preserve">Desværre tegner der sig et mere skuffende billede for andre medlemsstater. </w:t>
      </w:r>
      <w:r>
        <w:rPr>
          <w:b/>
          <w:noProof/>
          <w:color w:val="000000"/>
        </w:rPr>
        <w:t>Ungarn,</w:t>
      </w:r>
      <w:r>
        <w:rPr>
          <w:noProof/>
          <w:color w:val="000000"/>
        </w:rPr>
        <w:t xml:space="preserve"> </w:t>
      </w:r>
      <w:r>
        <w:rPr>
          <w:b/>
          <w:noProof/>
          <w:color w:val="000000"/>
        </w:rPr>
        <w:t>Østrig</w:t>
      </w:r>
      <w:r>
        <w:rPr>
          <w:noProof/>
          <w:color w:val="000000"/>
        </w:rPr>
        <w:t xml:space="preserve"> og </w:t>
      </w:r>
      <w:r>
        <w:rPr>
          <w:b/>
          <w:noProof/>
          <w:color w:val="000000"/>
        </w:rPr>
        <w:t>Polen</w:t>
      </w:r>
      <w:r>
        <w:rPr>
          <w:noProof/>
          <w:color w:val="000000"/>
        </w:rPr>
        <w:t xml:space="preserve"> nægter fortsat at deltage i omfordelingsordningen. </w:t>
      </w:r>
      <w:r>
        <w:rPr>
          <w:b/>
          <w:noProof/>
          <w:color w:val="000000"/>
        </w:rPr>
        <w:t>Den Tjekkiske Republik</w:t>
      </w:r>
      <w:r>
        <w:rPr>
          <w:noProof/>
          <w:color w:val="000000"/>
        </w:rPr>
        <w:t xml:space="preserve"> har ikke forpligtet sig siden maj 2016 og har ikke gennemført nogen omfordelinger siden august 2016. Landet har omfordelt mindre end 1 % af sin kvote. </w:t>
      </w:r>
      <w:r>
        <w:rPr>
          <w:b/>
          <w:noProof/>
        </w:rPr>
        <w:t>Bulgarien</w:t>
      </w:r>
      <w:r>
        <w:rPr>
          <w:noProof/>
        </w:rPr>
        <w:t xml:space="preserve">, </w:t>
      </w:r>
      <w:r>
        <w:rPr>
          <w:b/>
          <w:noProof/>
        </w:rPr>
        <w:t>Kroatien</w:t>
      </w:r>
      <w:r>
        <w:rPr>
          <w:noProof/>
        </w:rPr>
        <w:t xml:space="preserve"> </w:t>
      </w:r>
      <w:r>
        <w:rPr>
          <w:noProof/>
          <w:color w:val="000000"/>
        </w:rPr>
        <w:t xml:space="preserve">og </w:t>
      </w:r>
      <w:r>
        <w:rPr>
          <w:b/>
          <w:noProof/>
          <w:color w:val="000000"/>
        </w:rPr>
        <w:t>Slovakiet</w:t>
      </w:r>
      <w:r>
        <w:rPr>
          <w:noProof/>
          <w:color w:val="000000"/>
        </w:rPr>
        <w:t xml:space="preserve"> har gennemført en meget begrænset omfordeling (mellem 1 % og 2 % af deres tildelte kvoter).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themeColor="text1"/>
        </w:rPr>
      </w:pPr>
      <w:r>
        <w:rPr>
          <w:noProof/>
          <w:color w:val="000000"/>
        </w:rPr>
        <w:t xml:space="preserve">Desuden har </w:t>
      </w:r>
      <w:r>
        <w:rPr>
          <w:b/>
          <w:noProof/>
          <w:color w:val="000000"/>
        </w:rPr>
        <w:t>Belgien, Tyskland</w:t>
      </w:r>
      <w:r>
        <w:rPr>
          <w:noProof/>
          <w:color w:val="000000"/>
        </w:rPr>
        <w:t xml:space="preserve"> og </w:t>
      </w:r>
      <w:r>
        <w:rPr>
          <w:b/>
          <w:noProof/>
          <w:color w:val="000000"/>
        </w:rPr>
        <w:t>Spanien</w:t>
      </w:r>
      <w:r>
        <w:rPr>
          <w:noProof/>
          <w:color w:val="000000"/>
        </w:rPr>
        <w:t>, trods deres seneste bestræbelser på at fremskynde omfordelingen, hidtil kun omfordelt ca. 10 % af deres kvote, og Spanien afgiver ikke nogen månedlige tilsagn. Endelig har nogle medlemsstater, der var meget aktive i begyndelsen, sænket tempoet for deres deltagelse og opfordres til at genoptage deres tidligere tempo.</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noProof/>
          <w:color w:val="000000"/>
          <w:u w:val="single"/>
        </w:rPr>
      </w:pPr>
      <w:r>
        <w:rPr>
          <w:b/>
          <w:noProof/>
          <w:color w:val="000000"/>
          <w:u w:val="single"/>
        </w:rPr>
        <w:t>Grækenland</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noProof/>
          <w:color w:val="000000"/>
          <w:u w:val="single"/>
        </w:rPr>
      </w:pPr>
    </w:p>
    <w:p>
      <w:pPr>
        <w:jc w:val="both"/>
        <w:rPr>
          <w:noProof/>
        </w:rPr>
      </w:pPr>
      <w:r>
        <w:rPr>
          <w:noProof/>
          <w:color w:val="000000"/>
        </w:rPr>
        <w:t>Udover de 9 000, der allerede er omfordelt, er der på nuværende tidspunkt omkring 20 000 personer</w:t>
      </w:r>
      <w:r>
        <w:rPr>
          <w:noProof/>
          <w:color w:val="000000"/>
          <w:sz w:val="16"/>
          <w:vertAlign w:val="superscript"/>
        </w:rPr>
        <w:t xml:space="preserve"> </w:t>
      </w:r>
      <w:r>
        <w:rPr>
          <w:noProof/>
          <w:color w:val="000000"/>
        </w:rPr>
        <w:t xml:space="preserve">i Grækenland, der kan komme i betragtning til omfordeling. Migrantsituationen forventes at forblive stabil med den fortsatte gennemførelse af EU’s og Tyrkiets erklæring. </w:t>
      </w:r>
      <w:r>
        <w:rPr>
          <w:b/>
          <w:noProof/>
          <w:color w:val="000000"/>
        </w:rPr>
        <w:t>Med den nuværende omfordeling på omkring 1 000 personer om måneden, vil der i alt være omfordelt ca. 16 400 personer fra Grækenland frem til september 2017, hvilket svarer til 57 % af det samlede antal personer, der kan komme i betragtning til omfordeling</w:t>
      </w:r>
      <w:r>
        <w:rPr>
          <w:rStyle w:val="FootnoteReference"/>
          <w:noProof/>
          <w:color w:val="000000"/>
        </w:rPr>
        <w:footnoteReference w:id="8"/>
      </w:r>
      <w:r>
        <w:rPr>
          <w:noProof/>
        </w:rPr>
        <w:t>.</w:t>
      </w:r>
      <w:r>
        <w:rPr>
          <w:b/>
          <w:noProof/>
          <w:color w:val="000000"/>
        </w:rPr>
        <w:t xml:space="preserve"> Dette er ikke tilstrækkeligt til at lette byrden.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noProof/>
          <w:color w:val="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r>
        <w:rPr>
          <w:b/>
          <w:noProof/>
          <w:color w:val="000000"/>
        </w:rPr>
        <w:t>Hvis målet på 3 000 om måneden, der er med i den fælles handlingsplan</w:t>
      </w:r>
      <w:r>
        <w:rPr>
          <w:rStyle w:val="FootnoteReference"/>
          <w:b/>
          <w:noProof/>
          <w:color w:val="000000"/>
        </w:rPr>
        <w:footnoteReference w:id="9"/>
      </w:r>
      <w:r>
        <w:rPr>
          <w:b/>
          <w:noProof/>
          <w:color w:val="000000"/>
        </w:rPr>
        <w:t>, og som Det Europæiske Råd</w:t>
      </w:r>
      <w:r>
        <w:rPr>
          <w:rStyle w:val="FootnoteReference"/>
          <w:b/>
          <w:noProof/>
          <w:color w:val="000000"/>
        </w:rPr>
        <w:footnoteReference w:id="10"/>
      </w:r>
      <w:r>
        <w:rPr>
          <w:b/>
          <w:noProof/>
          <w:color w:val="000000"/>
        </w:rPr>
        <w:t xml:space="preserve"> bakker op om, bliver opfyldt, vil det samlede antal personer, der er omfordelt frem til september 2017 være på mellem 28 400 og 30 400. Opfyldes dette mål, er det sandsynligt, at langt de fleste migranter i Grækenland, der forventes at komme i betragtning til omfordeling, vil være omfordelt, og den primære målsætning for denne nødforanstaltning, der blev vedtaget i september 2015, vil således være nået.</w:t>
      </w:r>
      <w:r>
        <w:rPr>
          <w:noProof/>
          <w:color w:val="000000"/>
        </w:rPr>
        <w:t xml:space="preserve">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noProof/>
          <w:color w:val="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u w:color="000000"/>
        </w:rPr>
      </w:pPr>
      <w:r>
        <w:rPr>
          <w:noProof/>
          <w:color w:val="000000"/>
        </w:rPr>
        <w:t>Kun nogle få lande (</w:t>
      </w:r>
      <w:r>
        <w:rPr>
          <w:b/>
          <w:noProof/>
          <w:color w:val="000000"/>
          <w:u w:color="000000"/>
        </w:rPr>
        <w:t>Estland, Irland, Letland,</w:t>
      </w:r>
      <w:r>
        <w:rPr>
          <w:noProof/>
          <w:color w:val="000000"/>
        </w:rPr>
        <w:t xml:space="preserve"> </w:t>
      </w:r>
      <w:r>
        <w:rPr>
          <w:b/>
          <w:noProof/>
          <w:color w:val="000000"/>
          <w:u w:color="000000"/>
        </w:rPr>
        <w:t>Litauen,</w:t>
      </w:r>
      <w:r>
        <w:rPr>
          <w:noProof/>
          <w:color w:val="000000"/>
        </w:rPr>
        <w:t xml:space="preserve"> </w:t>
      </w:r>
      <w:r>
        <w:rPr>
          <w:b/>
          <w:noProof/>
          <w:color w:val="000000"/>
          <w:u w:color="000000"/>
        </w:rPr>
        <w:t>Luxembourg,</w:t>
      </w:r>
      <w:r>
        <w:rPr>
          <w:noProof/>
          <w:color w:val="000000"/>
        </w:rPr>
        <w:t xml:space="preserve"> </w:t>
      </w:r>
      <w:r>
        <w:rPr>
          <w:b/>
          <w:noProof/>
          <w:color w:val="000000"/>
          <w:u w:color="000000"/>
        </w:rPr>
        <w:t xml:space="preserve">Malta, Portugal og Finland) </w:t>
      </w:r>
      <w:r>
        <w:rPr>
          <w:noProof/>
          <w:color w:val="000000"/>
        </w:rPr>
        <w:t xml:space="preserve">er godt på vej mod at overholde deres omfordelingsforpligtelser for Grækenland. Det er således kun muligt at nå målet, hvis </w:t>
      </w:r>
      <w:r>
        <w:rPr>
          <w:noProof/>
          <w:color w:val="000000"/>
          <w:u w:val="single" w:color="000000"/>
        </w:rPr>
        <w:t>alle</w:t>
      </w:r>
      <w:r>
        <w:rPr>
          <w:noProof/>
          <w:color w:val="000000"/>
        </w:rPr>
        <w:t xml:space="preserve"> medlemsstater giver tilsagn og overfører fast hver måned og i overensstemmelse med størrelsen af deres tildeling. Især de medlemsstater, der ikke har genbosat nogen eller kun et begrænset antal (</w:t>
      </w:r>
      <w:r>
        <w:rPr>
          <w:b/>
          <w:noProof/>
          <w:color w:val="000000"/>
          <w:u w:color="000000"/>
        </w:rPr>
        <w:t>Tjekkiet, Ungarn, Kroatien, Østrig, Polen og Slovakiet</w:t>
      </w:r>
      <w:r>
        <w:rPr>
          <w:noProof/>
          <w:color w:val="000000"/>
        </w:rPr>
        <w:t xml:space="preserve">), bør begynde at gøre det straks. </w:t>
      </w:r>
      <w:r>
        <w:rPr>
          <w:b/>
          <w:noProof/>
          <w:color w:val="000000"/>
          <w:u w:color="000000"/>
        </w:rPr>
        <w:t>Spanien</w:t>
      </w:r>
      <w:r>
        <w:rPr>
          <w:noProof/>
          <w:color w:val="000000"/>
        </w:rPr>
        <w:t xml:space="preserve"> bør også give tilsagn og omfordele hver måned i henhold til størrelsen af landets tildeling, og</w:t>
      </w:r>
      <w:r>
        <w:rPr>
          <w:b/>
          <w:noProof/>
          <w:color w:val="000000"/>
          <w:u w:color="000000"/>
        </w:rPr>
        <w:t xml:space="preserve"> Bulgarien, Cypern, Litauen, Luxembourg, Portugal, Rumænien</w:t>
      </w:r>
      <w:r>
        <w:rPr>
          <w:noProof/>
          <w:color w:val="000000"/>
        </w:rPr>
        <w:t xml:space="preserve"> </w:t>
      </w:r>
      <w:r>
        <w:rPr>
          <w:b/>
          <w:noProof/>
          <w:color w:val="000000"/>
          <w:u w:color="000000"/>
        </w:rPr>
        <w:t>og Slovenien</w:t>
      </w:r>
      <w:r>
        <w:rPr>
          <w:noProof/>
          <w:color w:val="000000"/>
        </w:rPr>
        <w:t xml:space="preserve"> bør igen begynde at give tilsagn og omfordele hver måned. Også </w:t>
      </w:r>
      <w:r>
        <w:rPr>
          <w:b/>
          <w:noProof/>
          <w:color w:val="000000"/>
          <w:u w:color="000000"/>
        </w:rPr>
        <w:t>Belgien,</w:t>
      </w:r>
      <w:r>
        <w:rPr>
          <w:noProof/>
          <w:color w:val="000000"/>
        </w:rPr>
        <w:t xml:space="preserve"> der for nyligt har givet udtryk for sin vilje til at </w:t>
      </w:r>
      <w:r>
        <w:rPr>
          <w:noProof/>
          <w:color w:val="000000"/>
        </w:rPr>
        <w:lastRenderedPageBreak/>
        <w:t>fremskynde omfordelingstempoet,</w:t>
      </w:r>
      <w:r>
        <w:rPr>
          <w:b/>
          <w:noProof/>
          <w:color w:val="000000"/>
          <w:u w:color="000000"/>
        </w:rPr>
        <w:t xml:space="preserve"> </w:t>
      </w:r>
      <w:r>
        <w:rPr>
          <w:noProof/>
          <w:color w:val="000000"/>
        </w:rPr>
        <w:t xml:space="preserve">og </w:t>
      </w:r>
      <w:r>
        <w:rPr>
          <w:b/>
          <w:noProof/>
          <w:color w:val="000000"/>
          <w:u w:color="000000"/>
        </w:rPr>
        <w:t xml:space="preserve">Tyskland </w:t>
      </w:r>
      <w:r>
        <w:rPr>
          <w:noProof/>
          <w:color w:val="000000"/>
        </w:rPr>
        <w:t xml:space="preserve">, bør sætte deres månedlige tilsagn og omfordelinger i vejret i henhold til størrelsen på deres tildelinger. </w:t>
      </w:r>
      <w:r>
        <w:rPr>
          <w:b/>
          <w:noProof/>
          <w:color w:val="000000"/>
          <w:u w:color="000000"/>
        </w:rPr>
        <w:t>Frankrig og Nederlandene</w:t>
      </w:r>
      <w:r>
        <w:rPr>
          <w:noProof/>
          <w:color w:val="000000"/>
        </w:rPr>
        <w:t xml:space="preserve"> bør på sin side som minimum fortsætte deres nuværende månedlige indsats, og det samme gælder for de medlemsstater og associerede lande, der allerede er på vej mod at opfylde deres forpligtelser til tiden. Alle medlemsstater bør tilbyde flere pladser til omfordeling, herunder til udledsagede mindreårige, udvise større fleksibilitet og acceptere deres rimelige andel af sårbare sager.</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u w:color="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themeColor="text1"/>
          <w:u w:color="000000"/>
        </w:rPr>
      </w:pPr>
      <w:r>
        <w:rPr>
          <w:noProof/>
          <w:color w:val="000000" w:themeColor="text1"/>
          <w:u w:color="000000"/>
        </w:rPr>
        <w:t xml:space="preserve">Opfyldelse af disse mål afhænger primært af medlemsstaternes omfordeling, eftersom Grækenland, EU's agenturer og internationale organisationer, der beskæftiger sig med gennemførelsen af ordningen, har gjort, hvad der er nødvendigt, for at omfordelingsordningen skal fungere. </w:t>
      </w:r>
      <w:r>
        <w:rPr>
          <w:b/>
          <w:noProof/>
          <w:color w:val="000000" w:themeColor="text1"/>
          <w:u w:color="000000"/>
        </w:rPr>
        <w:t>Grækenland</w:t>
      </w:r>
      <w:r>
        <w:rPr>
          <w:noProof/>
          <w:color w:val="000000" w:themeColor="text1"/>
          <w:u w:color="000000"/>
        </w:rPr>
        <w:t xml:space="preserve"> har gennemført de fleste af de henstillinger, Kommissionen har fremsat i sine månedlige rapporter, primært for så vidt angår hurtig registrering af alle migranter, herunder dem, der er berettiget til omfordeling. Med støtte fra Det Europæiske Asylstøttekontor (EASO) og De Forenede Nationers Højkommissariat for Flygtninge (UNHCR) vil Grækenland registrere alle migranter, der er i Grækenland i øjeblikket, inden marts 2017 (én måned tidligere end oprindeligt planlagt). </w:t>
      </w:r>
      <w:r>
        <w:rPr>
          <w:b/>
          <w:noProof/>
          <w:color w:val="000000" w:themeColor="text1"/>
          <w:u w:color="000000"/>
        </w:rPr>
        <w:t xml:space="preserve">EASO </w:t>
      </w:r>
      <w:r>
        <w:rPr>
          <w:noProof/>
          <w:color w:val="000000" w:themeColor="text1"/>
          <w:u w:color="000000"/>
        </w:rPr>
        <w:t xml:space="preserve">gennemfører en ny operationel plan, der giver mulighed for at ansætte midlertidigt personale for at sikre en konstant udstationering af eksperter. Dette input har været afgørende for at sikre kvaliteten af omfordelingssagerne og for at støtte uerfarent personale i den græske asyltjeneste. Takket være den koordinerede støtte fra </w:t>
      </w:r>
      <w:r>
        <w:rPr>
          <w:b/>
          <w:noProof/>
          <w:color w:val="000000" w:themeColor="text1"/>
          <w:u w:color="000000"/>
        </w:rPr>
        <w:t>UNHCR</w:t>
      </w:r>
      <w:r>
        <w:rPr>
          <w:noProof/>
          <w:color w:val="000000" w:themeColor="text1"/>
          <w:u w:color="000000"/>
        </w:rPr>
        <w:t xml:space="preserve"> og </w:t>
      </w:r>
      <w:r>
        <w:rPr>
          <w:b/>
          <w:noProof/>
          <w:color w:val="000000" w:themeColor="text1"/>
          <w:u w:color="000000"/>
        </w:rPr>
        <w:t>Den Internationale Organisation for Migration (IOM)</w:t>
      </w:r>
      <w:r>
        <w:rPr>
          <w:noProof/>
          <w:color w:val="000000" w:themeColor="text1"/>
          <w:u w:color="000000"/>
        </w:rPr>
        <w:t xml:space="preserve"> er omfordelingsprocessen blevet stadig mere effektiv. UNHCR har bidraget til udformningen af den omfattende forudgående registrering og til at sikre passende indkvartering i forbindelse med omfordeling af ansøgere, mens IOM sikrer, at alle ansøgere bliver undersøgt af en læge og bliver vejledt før afrejse, idet der udvises fleksibilitet med hensyn til de mange betingelser, som medlemsstater pålægger, samtidig med at kapaciteten løbende udbygges.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themeColor="text1"/>
          <w:u w:color="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noProof/>
          <w:color w:val="000000"/>
          <w:u w:val="single"/>
        </w:rPr>
      </w:pPr>
      <w:r>
        <w:rPr>
          <w:b/>
          <w:noProof/>
          <w:color w:val="000000"/>
          <w:u w:val="single"/>
        </w:rPr>
        <w:t>Italien</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noProof/>
          <w:color w:val="000000"/>
          <w:u w:color="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noProof/>
          <w:color w:val="000000"/>
          <w:u w:color="000000"/>
        </w:rPr>
      </w:pPr>
      <w:r>
        <w:rPr>
          <w:noProof/>
          <w:color w:val="000000"/>
          <w:u w:color="000000"/>
        </w:rPr>
        <w:t>I 2016 ankom der omkring 20 700 migranter fra Eritrea. De italienske myndigheder har imidlertid kun registreret mellem 5 300 og 5 800 til omfordeling.</w:t>
      </w:r>
      <w:r>
        <w:rPr>
          <w:b/>
          <w:noProof/>
          <w:color w:val="000000"/>
          <w:u w:color="000000"/>
        </w:rPr>
        <w:t xml:space="preserve"> Med det nuværende omfordelingstempo på omkring 750 personer om måneden, vil der i alt være omfordelt ca. 9 200 personer fra Italien frem til september 2017, hvilket svarer til 44 % af dem, der i dag kan komme i betragtning til omfordeling</w:t>
      </w:r>
      <w:r>
        <w:rPr>
          <w:rStyle w:val="FootnoteReference"/>
          <w:b/>
          <w:noProof/>
          <w:color w:val="000000"/>
          <w:u w:color="000000"/>
        </w:rPr>
        <w:footnoteReference w:id="11"/>
      </w:r>
      <w:r>
        <w:rPr>
          <w:noProof/>
        </w:rPr>
        <w:t>.</w:t>
      </w:r>
      <w:r>
        <w:rPr>
          <w:noProof/>
          <w:color w:val="000000"/>
          <w:u w:color="000000"/>
        </w:rPr>
        <w:t xml:space="preserve"> </w:t>
      </w:r>
      <w:r>
        <w:rPr>
          <w:b/>
          <w:noProof/>
          <w:color w:val="000000"/>
          <w:u w:color="000000"/>
        </w:rPr>
        <w:t xml:space="preserve">Dette er ikke tilstrækkeligt til at lette byrden. Dette kan desuden ændre sig i lyset af det fremtidige migrationspres.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u w:color="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u w:color="000000"/>
        </w:rPr>
      </w:pPr>
      <w:r>
        <w:rPr>
          <w:b/>
          <w:noProof/>
          <w:color w:val="000000"/>
          <w:u w:color="000000"/>
        </w:rPr>
        <w:t>Hvis målet på 1 500 pr. måned opfyldes, vil det samlede antal omfordelte personer frem til september 2017 være på mellem 11 200 og 14 200.</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noProof/>
          <w:color w:val="000000"/>
          <w:u w:color="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u w:color="000000"/>
        </w:rPr>
      </w:pPr>
      <w:r>
        <w:rPr>
          <w:noProof/>
          <w:color w:val="000000"/>
          <w:u w:color="000000"/>
        </w:rPr>
        <w:t>Kun otte lande (</w:t>
      </w:r>
      <w:r>
        <w:rPr>
          <w:b/>
          <w:noProof/>
          <w:color w:val="000000"/>
          <w:u w:color="000000"/>
        </w:rPr>
        <w:t>Tyskland, Frankrig, Malta, Nederlandene, Norge, Finland, Portugal</w:t>
      </w:r>
      <w:r>
        <w:rPr>
          <w:noProof/>
          <w:color w:val="000000"/>
          <w:u w:color="000000"/>
        </w:rPr>
        <w:t xml:space="preserve"> og </w:t>
      </w:r>
      <w:r>
        <w:rPr>
          <w:b/>
          <w:noProof/>
          <w:color w:val="000000"/>
          <w:u w:color="000000"/>
        </w:rPr>
        <w:t>Schweiz</w:t>
      </w:r>
      <w:r>
        <w:rPr>
          <w:noProof/>
          <w:color w:val="000000"/>
          <w:u w:color="000000"/>
        </w:rPr>
        <w:t>) er fuldt engagerede i omfordeling fra Italien. Andre medlemsstater (</w:t>
      </w:r>
      <w:r>
        <w:rPr>
          <w:b/>
          <w:noProof/>
          <w:color w:val="000000"/>
          <w:u w:color="000000"/>
        </w:rPr>
        <w:t>Belgien</w:t>
      </w:r>
      <w:r>
        <w:rPr>
          <w:noProof/>
          <w:color w:val="000000"/>
          <w:u w:color="000000"/>
        </w:rPr>
        <w:t xml:space="preserve">, </w:t>
      </w:r>
      <w:r>
        <w:rPr>
          <w:b/>
          <w:noProof/>
          <w:color w:val="000000"/>
          <w:u w:color="000000"/>
        </w:rPr>
        <w:t>Kroatien, Letland, Rumænien og Spanien</w:t>
      </w:r>
      <w:r>
        <w:rPr>
          <w:noProof/>
          <w:color w:val="000000"/>
          <w:u w:color="000000"/>
        </w:rPr>
        <w:t>) har indtil nu kun omfordelt få personer. Andre (</w:t>
      </w:r>
      <w:r>
        <w:rPr>
          <w:b/>
          <w:noProof/>
          <w:color w:val="000000"/>
          <w:u w:color="000000"/>
        </w:rPr>
        <w:t xml:space="preserve">Cypern, Kroatien, Luxembourg, Rumænien, Slovenien </w:t>
      </w:r>
      <w:r>
        <w:rPr>
          <w:noProof/>
          <w:color w:val="000000"/>
          <w:u w:color="000000"/>
        </w:rPr>
        <w:t>og</w:t>
      </w:r>
      <w:r>
        <w:rPr>
          <w:b/>
          <w:noProof/>
          <w:color w:val="000000"/>
          <w:u w:color="000000"/>
        </w:rPr>
        <w:t xml:space="preserve"> Spanien</w:t>
      </w:r>
      <w:r>
        <w:rPr>
          <w:noProof/>
          <w:color w:val="000000"/>
          <w:u w:color="000000"/>
        </w:rPr>
        <w:t>) afgiver tilsagn hver måned. Der er for mange medlemsstater, der endnu ikke har omfordelt en eneste person fra Italien (</w:t>
      </w:r>
      <w:r>
        <w:rPr>
          <w:b/>
          <w:noProof/>
          <w:color w:val="000000"/>
          <w:u w:color="000000"/>
        </w:rPr>
        <w:t>Bulgarien,</w:t>
      </w:r>
      <w:r>
        <w:rPr>
          <w:noProof/>
          <w:color w:val="000000"/>
          <w:u w:color="000000"/>
        </w:rPr>
        <w:t xml:space="preserve"> </w:t>
      </w:r>
      <w:r>
        <w:rPr>
          <w:b/>
          <w:noProof/>
          <w:color w:val="000000"/>
          <w:u w:color="000000"/>
        </w:rPr>
        <w:t>Tjekkiet, Estland, Irland, Ungarn, Litauen, Østrig, Polen og Slovakiet</w:t>
      </w:r>
      <w:r>
        <w:rPr>
          <w:noProof/>
          <w:color w:val="000000"/>
          <w:u w:color="000000"/>
        </w:rPr>
        <w:t xml:space="preserve">).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u w:color="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u w:color="000000"/>
        </w:rPr>
      </w:pPr>
      <w:r>
        <w:rPr>
          <w:b/>
          <w:noProof/>
          <w:color w:val="000000"/>
          <w:u w:color="000000"/>
        </w:rPr>
        <w:t>For at nå målet skal alle medlemsstater give tilsagn og overføre fast hver måned og i overensstemmelse med størrelsen af deres tildeling.</w:t>
      </w:r>
      <w:r>
        <w:rPr>
          <w:noProof/>
          <w:color w:val="000000"/>
          <w:u w:color="000000"/>
        </w:rPr>
        <w:t xml:space="preserve"> Der er oprettet ordninger med Europol og de italienske myndigheder for at tilbyde ekstraordinære supplerende sikkerhedstjek, herunder sikkerhedsinterview. De mindre aktive medlemsstater, der hidtil har begrundet deres lave omfordeling med sikkerhedsmæssige hensyn</w:t>
      </w:r>
      <w:r>
        <w:rPr>
          <w:rStyle w:val="FootnoteReference"/>
          <w:noProof/>
          <w:color w:val="000000"/>
          <w:u w:color="000000"/>
        </w:rPr>
        <w:footnoteReference w:id="12"/>
      </w:r>
      <w:r>
        <w:rPr>
          <w:noProof/>
          <w:color w:val="000000"/>
          <w:u w:color="000000"/>
        </w:rPr>
        <w:t xml:space="preserve">, bør derfor straks yde en ekstra indsats. De medlemsstater, som ikke er så kendte for ansøgere, bør samtidig forbedre informationsformidlingen, bl.a. i form af møder med kulturel vejledning.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u w:color="000000"/>
        </w:rPr>
      </w:pPr>
    </w:p>
    <w:p>
      <w:pPr>
        <w:jc w:val="both"/>
        <w:rPr>
          <w:noProof/>
          <w:color w:val="000000"/>
          <w:u w:color="000000"/>
        </w:rPr>
      </w:pPr>
      <w:r>
        <w:rPr>
          <w:b/>
          <w:noProof/>
          <w:color w:val="000000"/>
          <w:u w:color="000000"/>
        </w:rPr>
        <w:t>Italien</w:t>
      </w:r>
      <w:r>
        <w:rPr>
          <w:noProof/>
          <w:color w:val="000000"/>
          <w:u w:color="000000"/>
        </w:rPr>
        <w:t xml:space="preserve"> bør for sin del udvise mere fleksibilitet med hensyn til, på hvilken baggrund Europol kan foretage supplerende sikkerhedsinterview. Italien bør desuden så hurtigt som muligt og løbende udpege og registrere alle dem, der kan komme i betragtning til omfordeling. Til det formål bør Italien øge antallet af medarbejdere, der behandler ansøgninger i Dublinenheden, om nødvendigt med støtte fra EASO, herunder de allerede eksisterende mobile teams under EASO, der registrerer migranter, der kan komme i betragtning til omfordeling, ud over de oprindelige omfordelingscentre. Italien bør desuden koncentrere ansøgere på få omfordelingscentre, i det mindste i de sidste faser af proceduren. Dette vil effektivisere fasen forud for afrejsen, herunder de nødvendige helbredsundersøgelser og møder med kulturel vejledning, og bidrage til at reducere risiciene for, at migranter forsvinder, fordi omfordelingsansøgningerne vil blive behandlet hurtigere.</w:t>
      </w:r>
      <w:r>
        <w:rPr>
          <w:b/>
          <w:noProof/>
          <w:color w:val="000000"/>
          <w:u w:color="000000"/>
        </w:rPr>
        <w:t xml:space="preserve"> </w:t>
      </w:r>
      <w:r>
        <w:rPr>
          <w:noProof/>
          <w:color w:val="000000"/>
          <w:u w:color="000000"/>
        </w:rPr>
        <w:t>Endelig</w:t>
      </w:r>
      <w:r>
        <w:rPr>
          <w:b/>
          <w:noProof/>
          <w:color w:val="000000"/>
          <w:u w:color="000000"/>
        </w:rPr>
        <w:t xml:space="preserve"> </w:t>
      </w:r>
      <w:r>
        <w:rPr>
          <w:noProof/>
          <w:color w:val="000000"/>
          <w:u w:color="000000"/>
        </w:rPr>
        <w:t xml:space="preserve">bør Italien straks præcisere procedurerne for at kunne omfordele udledsagede mindreårige (herunder ved at kunne udpege værger), gøre brug af EASO's vejledning og supplerende støtte og oprette ét eller flere særlige omfordelingscentre for uledsagede mindreårige for at fremskynde procedurerne. </w:t>
      </w:r>
    </w:p>
    <w:p>
      <w:pPr>
        <w:jc w:val="both"/>
        <w:rPr>
          <w:noProof/>
          <w:color w:val="000000"/>
          <w:u w:color="000000"/>
        </w:rPr>
      </w:pPr>
    </w:p>
    <w:p>
      <w:pPr>
        <w:jc w:val="both"/>
        <w:rPr>
          <w:noProof/>
          <w:color w:val="000000"/>
          <w:u w:color="000000"/>
        </w:rPr>
      </w:pPr>
      <w:r>
        <w:rPr>
          <w:b/>
          <w:noProof/>
          <w:color w:val="000000"/>
          <w:u w:val="single"/>
        </w:rPr>
        <w:t>For at nå målene for både Grækenland og Italien er det afgørende,</w:t>
      </w:r>
      <w:r>
        <w:rPr>
          <w:noProof/>
        </w:rPr>
        <w:t xml:space="preserve"> at</w:t>
      </w:r>
      <w:r>
        <w:rPr>
          <w:noProof/>
          <w:color w:val="000000"/>
          <w:u w:color="000000"/>
        </w:rPr>
        <w:t>:</w:t>
      </w:r>
    </w:p>
    <w:p>
      <w:pPr>
        <w:pStyle w:val="ListParagraph"/>
        <w:numPr>
          <w:ilvl w:val="0"/>
          <w:numId w:val="28"/>
        </w:numPr>
        <w:jc w:val="both"/>
        <w:rPr>
          <w:noProof/>
          <w:color w:val="000000"/>
          <w:u w:color="000000"/>
        </w:rPr>
      </w:pPr>
      <w:r>
        <w:rPr>
          <w:noProof/>
          <w:color w:val="000000"/>
          <w:u w:color="000000"/>
        </w:rPr>
        <w:t xml:space="preserve">alle medlemsstater </w:t>
      </w:r>
      <w:r>
        <w:rPr>
          <w:noProof/>
          <w:color w:val="000000"/>
        </w:rPr>
        <w:t xml:space="preserve">giver tilsagn om og fast hver måned overfører i overensstemmelse med størrelsen af deres tildeling, overholder svartiden i omfordelingsprotokollerne og forbedrer deres modtagelses- og integrationsordninger for at undgå forsinkelser i overførsler og anvender EU's midler fuldt ud </w:t>
      </w:r>
    </w:p>
    <w:p>
      <w:pPr>
        <w:pStyle w:val="ListParagraph"/>
        <w:numPr>
          <w:ilvl w:val="0"/>
          <w:numId w:val="28"/>
        </w:numPr>
        <w:jc w:val="both"/>
        <w:rPr>
          <w:noProof/>
          <w:color w:val="000000"/>
          <w:u w:color="000000"/>
        </w:rPr>
      </w:pPr>
      <w:r>
        <w:rPr>
          <w:noProof/>
          <w:color w:val="000000"/>
          <w:u w:color="000000"/>
        </w:rPr>
        <w:t xml:space="preserve">ingen medlemsstat gør brug af "cherry picking" eller vilkårligt beslutter, om de vil imødekomme en omfordelingsanmodning. Afvisninger bør alene være baseret på de begrundelser, der er fastsat i Rådets afgørelser </w:t>
      </w:r>
    </w:p>
    <w:p>
      <w:pPr>
        <w:pStyle w:val="ListParagraph"/>
        <w:numPr>
          <w:ilvl w:val="0"/>
          <w:numId w:val="28"/>
        </w:numPr>
        <w:jc w:val="both"/>
        <w:rPr>
          <w:noProof/>
          <w:color w:val="000000"/>
          <w:u w:color="000000"/>
        </w:rPr>
      </w:pPr>
      <w:r>
        <w:rPr>
          <w:noProof/>
          <w:color w:val="000000"/>
          <w:u w:color="000000"/>
        </w:rPr>
        <w:t>Italien hurtigt udpeger og registrerer migranter, der ankommer til landet, og som kan komme i betragtning til omfordeling, udviser mere fleksibilitet med hensyn til begrundelser for Europols sikkerhedsinterviews, koncentrerer ansøgere på færre udpegede modtagecentre i de sidste faser af proceduren og påbegynder omfordeling af uledsagede mindreårige så hurtigt som muligt.</w:t>
      </w:r>
    </w:p>
    <w:p>
      <w:pPr>
        <w:pStyle w:val="Heading1"/>
        <w:numPr>
          <w:ilvl w:val="0"/>
          <w:numId w:val="2"/>
        </w:numPr>
        <w:spacing w:after="120"/>
        <w:rPr>
          <w:noProof/>
          <w:color w:val="auto"/>
        </w:rPr>
      </w:pPr>
      <w:r>
        <w:rPr>
          <w:rFonts w:ascii="Times New Roman" w:hAnsi="Times New Roman"/>
          <w:noProof/>
          <w:color w:val="000000" w:themeColor="text1"/>
        </w:rPr>
        <w:t xml:space="preserve">Genbosætning </w:t>
      </w:r>
    </w:p>
    <w:p>
      <w:pPr>
        <w:jc w:val="both"/>
        <w:rPr>
          <w:noProof/>
        </w:rPr>
      </w:pPr>
      <w:r>
        <w:rPr>
          <w:noProof/>
        </w:rPr>
        <w:t>Der er sket store fremskridt indtil nu med hensyn til genbosætning. Godt og vel halvdelen af de 22 504 genbosætninger, der blev aftalt i konklusionerne af 20. juli 2015, er allerede gennemført. Siden den 6. februar 2016 er 454 personer primært fra Tyrkiet, Jordan og Libanon blevet genbosat.</w:t>
      </w:r>
      <w:r>
        <w:rPr>
          <w:i/>
          <w:noProof/>
        </w:rPr>
        <w:t xml:space="preserve"> </w:t>
      </w:r>
      <w:r>
        <w:rPr>
          <w:noProof/>
        </w:rPr>
        <w:t xml:space="preserve">Pr. 27. februar 2017 var </w:t>
      </w:r>
      <w:r>
        <w:rPr>
          <w:b/>
          <w:noProof/>
        </w:rPr>
        <w:t>14 422</w:t>
      </w:r>
      <w:r>
        <w:rPr>
          <w:noProof/>
        </w:rPr>
        <w:t xml:space="preserve"> personer blevet genbosat i 21 stater </w:t>
      </w:r>
      <w:r>
        <w:rPr>
          <w:noProof/>
        </w:rPr>
        <w:lastRenderedPageBreak/>
        <w:t>(</w:t>
      </w:r>
      <w:r>
        <w:rPr>
          <w:b/>
          <w:noProof/>
        </w:rPr>
        <w:t>Belgien, Tjekkiet, Danmark, Tyskland, Estland, Frankrig, Island, Irland, Italien, Letland, Liechtenstein, Litauen, Nederlandene, Norge, Østrig, Portugal, Spanien, Finland Sverige, Schweiz og Det Forenede Kongerige</w:t>
      </w:r>
      <w:r>
        <w:rPr>
          <w:noProof/>
        </w:rPr>
        <w:t xml:space="preserve">). </w:t>
      </w:r>
      <w:r>
        <w:rPr>
          <w:b/>
          <w:noProof/>
        </w:rPr>
        <w:t xml:space="preserve">Estland, Irland, Nederlandene, Finland, Sverige </w:t>
      </w:r>
      <w:r>
        <w:rPr>
          <w:noProof/>
        </w:rPr>
        <w:t>og</w:t>
      </w:r>
      <w:r>
        <w:rPr>
          <w:b/>
          <w:noProof/>
        </w:rPr>
        <w:t xml:space="preserve"> Det Forenede Kongerige</w:t>
      </w:r>
      <w:r>
        <w:rPr>
          <w:noProof/>
        </w:rPr>
        <w:t xml:space="preserve"> samt </w:t>
      </w:r>
      <w:r>
        <w:rPr>
          <w:b/>
          <w:noProof/>
        </w:rPr>
        <w:t>associerede lande</w:t>
      </w:r>
      <w:r>
        <w:rPr>
          <w:noProof/>
        </w:rPr>
        <w:t>:</w:t>
      </w:r>
      <w:r>
        <w:rPr>
          <w:b/>
          <w:noProof/>
        </w:rPr>
        <w:t xml:space="preserve"> Island, Liechtenstein</w:t>
      </w:r>
      <w:r>
        <w:rPr>
          <w:noProof/>
        </w:rPr>
        <w:t xml:space="preserve"> og </w:t>
      </w:r>
      <w:r>
        <w:rPr>
          <w:b/>
          <w:noProof/>
        </w:rPr>
        <w:t>Schweiz</w:t>
      </w:r>
      <w:r>
        <w:rPr>
          <w:noProof/>
        </w:rPr>
        <w:t xml:space="preserve"> har allerede opfyldt deres tilsagn. </w:t>
      </w:r>
    </w:p>
    <w:p>
      <w:pPr>
        <w:jc w:val="both"/>
        <w:rPr>
          <w:noProof/>
        </w:rPr>
      </w:pPr>
    </w:p>
    <w:p>
      <w:pPr>
        <w:jc w:val="both"/>
        <w:rPr>
          <w:noProof/>
        </w:rPr>
      </w:pPr>
      <w:r>
        <w:rPr>
          <w:noProof/>
        </w:rPr>
        <w:t>Et flertal af de stater, der deltager i ordningen, meddelte, at deres genbosætningsindsats primært, men ikke udelukkende, var rettet mod syrere, der opholdt sig i Jordan, Libanon og Tyrkiet. Dette omfatter medlemsstaternes indsats for at genbosætte syrere fra Tyrkiet som aftalt i EU's og Tyrkiets erklæring af 18. marts 2016.</w:t>
      </w:r>
    </w:p>
    <w:p>
      <w:pPr>
        <w:jc w:val="both"/>
        <w:rPr>
          <w:noProof/>
        </w:rPr>
      </w:pPr>
    </w:p>
    <w:p>
      <w:pPr>
        <w:jc w:val="both"/>
        <w:rPr>
          <w:noProof/>
        </w:rPr>
      </w:pPr>
      <w:r>
        <w:rPr>
          <w:noProof/>
        </w:rPr>
        <w:t xml:space="preserve">Siden den 4. april 2016 er </w:t>
      </w:r>
      <w:r>
        <w:rPr>
          <w:b/>
          <w:noProof/>
        </w:rPr>
        <w:t>3 565</w:t>
      </w:r>
      <w:r>
        <w:rPr>
          <w:noProof/>
        </w:rPr>
        <w:t xml:space="preserve"> syrere blevet genbosat fra Tyrkiet i medfør af genbosætningsdelen af 1:1-ordningen i EU's og Tyrkiets erklæring. I alt 467 personer er blevet genbosat under denne mekanisme siden den seneste rapporteringsperiode, og det resterende tal for alle tilsagn er 12 108. Der har hidtil også fundet genbosætninger sted efter 1:1-ordningen i </w:t>
      </w:r>
      <w:r>
        <w:rPr>
          <w:b/>
          <w:noProof/>
        </w:rPr>
        <w:t>Belgien, Tyskland, Estland, Frankrig, Italien, Letland, Litauen, Luxembourg, Nederlandene, Portugal, Spanien,</w:t>
      </w:r>
      <w:r>
        <w:rPr>
          <w:noProof/>
        </w:rPr>
        <w:t xml:space="preserve"> </w:t>
      </w:r>
      <w:r>
        <w:rPr>
          <w:b/>
          <w:noProof/>
        </w:rPr>
        <w:t xml:space="preserve">Finland </w:t>
      </w:r>
      <w:r>
        <w:rPr>
          <w:noProof/>
        </w:rPr>
        <w:t xml:space="preserve">og </w:t>
      </w:r>
      <w:r>
        <w:rPr>
          <w:b/>
          <w:noProof/>
        </w:rPr>
        <w:t>Sverige.</w:t>
      </w:r>
      <w:r>
        <w:rPr>
          <w:noProof/>
        </w:rPr>
        <w:t xml:space="preserve"> Desuden har </w:t>
      </w:r>
      <w:r>
        <w:rPr>
          <w:b/>
          <w:noProof/>
        </w:rPr>
        <w:t>Norge</w:t>
      </w:r>
      <w:r>
        <w:rPr>
          <w:noProof/>
        </w:rPr>
        <w:t xml:space="preserve"> indtil nu genbosat 150 syrere fra Tyrkiet siden den 4. april</w:t>
      </w:r>
      <w:r>
        <w:rPr>
          <w:rStyle w:val="FootnoteReference"/>
          <w:noProof/>
        </w:rPr>
        <w:footnoteReference w:id="13"/>
      </w:r>
      <w:r>
        <w:rPr>
          <w:noProof/>
        </w:rPr>
        <w:t>.</w:t>
      </w:r>
    </w:p>
    <w:p>
      <w:pPr>
        <w:jc w:val="both"/>
        <w:rPr>
          <w:noProof/>
        </w:rPr>
      </w:pPr>
    </w:p>
    <w:p>
      <w:pPr>
        <w:jc w:val="both"/>
        <w:rPr>
          <w:noProof/>
        </w:rPr>
      </w:pPr>
      <w:r>
        <w:rPr>
          <w:noProof/>
        </w:rPr>
        <w:t>Medlemsstater, der endnu ikke har foretaget genbosætninger i henhold til konklusionerne fra den 20. juli 2015, og medlemsstater, der stadig er langt fra at nå deres mål, bør intensivere indsatsen. Især medlemsstater, der endnu ikke har genbosat nogen personer i henhold til EU's løbende ordninger (</w:t>
      </w:r>
      <w:r>
        <w:rPr>
          <w:b/>
          <w:noProof/>
        </w:rPr>
        <w:t>Bulgarien, Cypern, Grækenland, Kroatien, Malta, Polen, Rumænien, Slovakiet</w:t>
      </w:r>
      <w:r>
        <w:rPr>
          <w:noProof/>
        </w:rPr>
        <w:t xml:space="preserve"> og </w:t>
      </w:r>
      <w:r>
        <w:rPr>
          <w:b/>
          <w:noProof/>
        </w:rPr>
        <w:t>Slovenien</w:t>
      </w:r>
      <w:r>
        <w:rPr>
          <w:noProof/>
        </w:rPr>
        <w:t xml:space="preserve">) samt </w:t>
      </w:r>
      <w:r>
        <w:rPr>
          <w:b/>
          <w:noProof/>
        </w:rPr>
        <w:t xml:space="preserve">Tjekkiet, Danmark </w:t>
      </w:r>
      <w:r>
        <w:rPr>
          <w:noProof/>
        </w:rPr>
        <w:t xml:space="preserve">og </w:t>
      </w:r>
      <w:r>
        <w:rPr>
          <w:b/>
          <w:noProof/>
        </w:rPr>
        <w:t xml:space="preserve">Portugal, </w:t>
      </w:r>
      <w:r>
        <w:rPr>
          <w:noProof/>
        </w:rPr>
        <w:t>der ikke har rapporteret nogen fremskridt i flere måneder, bør øge indsatsen.</w:t>
      </w:r>
    </w:p>
    <w:p>
      <w:pPr>
        <w:jc w:val="both"/>
        <w:rPr>
          <w:noProof/>
        </w:rPr>
      </w:pPr>
    </w:p>
    <w:p>
      <w:pPr>
        <w:jc w:val="both"/>
        <w:rPr>
          <w:b/>
          <w:noProof/>
          <w:sz w:val="32"/>
          <w:szCs w:val="32"/>
        </w:rPr>
      </w:pPr>
      <w:r>
        <w:rPr>
          <w:b/>
          <w:noProof/>
          <w:color w:val="000000" w:themeColor="text1"/>
          <w:sz w:val="32"/>
        </w:rPr>
        <w:t xml:space="preserve">4. Det videre forløb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r>
        <w:rPr>
          <w:noProof/>
          <w:color w:val="000000"/>
        </w:rPr>
        <w:t xml:space="preserve">Kommissionen har i et år rapporteret hver måned for at fremskynde gennemførelsen af Rådets afgørelser om omfordeling i tæt samarbejde med Italien og Grækenland, medlemsstaterne, EU's agenturer og internationale organisationer. Forhåndsbetingelserne og den operationelle infrastruktur, der skal muliggøre omfordelingen, er nu fuldt indført. Der er oprettet hotspotcentre, der er indført procedurer med henblik på at gennemføre omfordelingen, og EU-agenturer samt internationale organisationer arbejder hånd-i-hånd med Italien og Grækenland i fuldt operationelle EU-enheder.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r>
        <w:rPr>
          <w:noProof/>
          <w:color w:val="000000"/>
        </w:rPr>
        <w:t xml:space="preserve">Omfordelingsresultaterne afspejler dog ikke fremskridtene med hensyn til det indledende arbejde. Der har været fremskridt med hensyn til omfordeling, men de har været spredte og uregelmæssige. Fælles bestræbelser førte til et gradvist højere omfordelingstempo indtil september 2016. Imidlertid er kun få medlemsstater på vej til at opfylde deres forpligtelser i henhold til Rådets afgørelser. Med det nuværende tempo vil det samlede antal omfordelte personer være langt fra de mål, der er fastsat for september 2017. I løbet af de næste måneder er det tid til at øge antallet af månedlige overførsler betydeligt for alle medlemsstater.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noProof/>
          <w:color w:val="000000"/>
          <w:u w:color="000000"/>
        </w:rPr>
      </w:pPr>
      <w:r>
        <w:rPr>
          <w:noProof/>
          <w:color w:val="000000"/>
        </w:rPr>
        <w:t xml:space="preserve">Da Rådets afgørelser blev vedtaget i september 2015, fastsatte Rådet en toårig tidsfrist, der </w:t>
      </w:r>
      <w:r>
        <w:rPr>
          <w:noProof/>
          <w:color w:val="000000"/>
        </w:rPr>
        <w:lastRenderedPageBreak/>
        <w:t xml:space="preserve">blev anset for passende til en krisemekanisme. Sytten måneder efter gennemførelsen af afgørelserne blev påbegyndt, </w:t>
      </w:r>
      <w:r>
        <w:rPr>
          <w:b/>
          <w:noProof/>
          <w:color w:val="000000"/>
        </w:rPr>
        <w:t xml:space="preserve">er presset på både Grækenland og Italien fortsat højt, og mindre end 14 % er indtil nu blevet omfordelt. Det er afgørende, at alle medlemsstater straks styrker deres bestræbelser og opfylder de månedlige omfordelingsmål </w:t>
      </w:r>
      <w:r>
        <w:rPr>
          <w:noProof/>
        </w:rPr>
        <w:noBreakHyphen/>
      </w:r>
      <w:r>
        <w:rPr>
          <w:b/>
          <w:noProof/>
          <w:color w:val="000000"/>
        </w:rPr>
        <w:t xml:space="preserve"> mindst 3 000 omfordelinger fra Grækenland og mindst 1 500 omfordelinger fra Italien. Det Europæiske Råd bakkede op om målet for Grækenland.</w:t>
      </w:r>
      <w:r>
        <w:rPr>
          <w:noProof/>
          <w:color w:val="000000"/>
        </w:rPr>
        <w:t xml:space="preserve"> Formålet med disse mål er at sikre, at alle personer, der kommer i betragtning til omfordeling, og som i øjeblikket befinder sig i Italien og Grækenland, omfordeles effektivt og rettidigt, og undgå at der opstår de operationelle og logistiske flaskehalse, som ville blive resultatet, såfremt flertallet af de tilbageværende overførsler skulle gennemføres i løbet af de sidste måneder op til september. </w:t>
      </w:r>
      <w:r>
        <w:rPr>
          <w:b/>
          <w:noProof/>
          <w:color w:val="000000"/>
        </w:rPr>
        <w:t>Italien, Grækenland, EU-agenturer og internationale organisationer har øget deres kapacitet for at opfylde målene. De er parate og på standby til at opfylde de månedlige mål.</w:t>
      </w:r>
      <w:r>
        <w:rPr>
          <w:noProof/>
          <w:color w:val="000000"/>
        </w:rPr>
        <w:t xml:space="preserve"> Især i Grækenland er 9 000 personer nu er klar til at blive omfordelt, men der er ikke tilstrækkelige tilsagn. </w:t>
      </w:r>
      <w:r>
        <w:rPr>
          <w:b/>
          <w:noProof/>
          <w:color w:val="000000"/>
        </w:rPr>
        <w:t xml:space="preserve">Det er nu op til medlemsstaterne også at overholde deres forpligtelser.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u w:color="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rPr>
      </w:pPr>
      <w:r>
        <w:rPr>
          <w:noProof/>
          <w:color w:val="000000" w:themeColor="text1"/>
        </w:rPr>
        <w:t xml:space="preserve">Resultaterne af omfordelingsordningen bliver målt i forhold til, om alle personer, der kan komme i betragtning til omfordeling, faktisk overføres til en anden medlemsstat i henhold til Rådets afgørelser, og om alle medlemsstater deltager aktivt i ordningen og udviser vilje til loyalt samarbejde. </w:t>
      </w:r>
      <w:r>
        <w:rPr>
          <w:b/>
          <w:noProof/>
          <w:color w:val="000000"/>
        </w:rPr>
        <w:t>Med udgangspunkt i de nuværende tal i Grækenland og Italien er omfordeling af alle dem, der forventes at kunne komme i betragtning til omfordeling, mulig inden september 2017</w:t>
      </w:r>
      <w:r>
        <w:rPr>
          <w:noProof/>
          <w:color w:val="000000" w:themeColor="text1"/>
        </w:rPr>
        <w:t>. Nu er tiden inde for at omsætte stats- og regeringsledernes opfordringer til konkrete handlinger.</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rPr>
      </w:pPr>
      <w:r>
        <w:rPr>
          <w:noProof/>
        </w:rPr>
        <w:t xml:space="preserve">Kommissionen opfordrer det maltesiske formandskab for Rådet og medlemsstaterne til at følge op på Kommissionens henstillinger og mål på det kommende Råd (retlige og indre anliggender) i slutningen af marts for at sikre, at der gennemføres flere koordinerede omfordelinger inden september 2017.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rPr>
      </w:pPr>
      <w:r>
        <w:rPr>
          <w:noProof/>
          <w:color w:val="000000"/>
        </w:rPr>
        <w:t>Hvis medlemsstaterne ikke snart øger antallet af omfordelinger, og hvis</w:t>
      </w:r>
      <w:r>
        <w:rPr>
          <w:noProof/>
        </w:rPr>
        <w:t xml:space="preserve"> presset på Grækenland og Italien ikke mindskes, vil Kommissionen ikke tøve med at gøre brug af sine beføjelser i henhold til traktaterne.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r>
        <w:rPr>
          <w:noProof/>
        </w:rPr>
        <w:t xml:space="preserve">En utilstrækkelig gennemførelse af omfordelingsordningen vil ikke alene medføre, at presset på Grækenland og Italien ikke bliver mindsket, det vil også påvirke udviklingen inden for andre aspekter af EU's samlede reaktion på migrations- og flygtningekrisen negativt. </w:t>
      </w:r>
      <w:r>
        <w:rPr>
          <w:noProof/>
          <w:color w:val="000000"/>
        </w:rPr>
        <w:t>Medlemsstaternes juridiske forpligtelser i henhold til Rådets afgørelser ophører under alle omstændigheder ikke efter september 2017. Den omfordelingsprocedure, der er fastsat i disse afgørelser, skal derfor fortsat gennemføres af medlemsstaterne for de kandidater, der kan komme i betragtning til omfordeling, inden for en rimelig tidsfrist derefter.</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r>
        <w:rPr>
          <w:noProof/>
        </w:rPr>
        <w:t xml:space="preserve">Medlemsstaterne bør sideløbende hermed fortsat overholde deres genbosætningsforpligtelser. Navnlig de medlemsstater, </w:t>
      </w:r>
      <w:r>
        <w:rPr>
          <w:b/>
          <w:noProof/>
        </w:rPr>
        <w:t>der endnu ikke har genbosat nogen personer, og dem, der fortsat ikke har nået deres mål i henhold til konklusionerne af 20. juli 2015, bør forstærke deres indsats</w:t>
      </w:r>
      <w:r>
        <w:rPr>
          <w:noProof/>
        </w:rPr>
        <w:t>.</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EC Square Sans Pro">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40238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ind w:left="720" w:hanging="720"/>
        <w:jc w:val="both"/>
      </w:pPr>
      <w:r>
        <w:rPr>
          <w:rStyle w:val="FootnoteReference"/>
        </w:rPr>
        <w:footnoteRef/>
      </w:r>
      <w:r>
        <w:t xml:space="preserve"> </w:t>
      </w:r>
      <w:r>
        <w:tab/>
        <w:t xml:space="preserve">I september 2015 vedtog Rådet to juridisk bindende afgørelser om oprettelse af en midlertidig mekanisme til omfordeling af ansøgere med et klart behov for international beskyttelse fra Italien og Grækenland. </w:t>
      </w:r>
      <w:r>
        <w:rPr>
          <w:color w:val="000000"/>
        </w:rPr>
        <w:t>I alt blev der i henhold til Rådets første og anden afgørelse omfordelt 39 600 personer fra Italien og 66 400 fra Grækenland. Som opfølgning på EU’s og Tyrkiets erklæring blev der i september 2016 vedtaget en afgørelse om de resterende 54 000 pladser, der endnu ikke var blevet fordelt til medlemsstaterne, og om at gøre dem tilgængelige for lovlig indrejse af syrere fra Tyrkiet til EU. Indtil nu har medlemsstaterne indikeret, at de har til hensigt tillade lovlig indrejse for 34 000 syrere fra Tyrkiet ud af de 54 000 pladser, bl.a. via genbosætning. Ungarn og Slovakiet har anfægtet Rådets anden afgørelse fra september 2015, der omfatter fordelingen af 120 000 asylansøgere, for Domstolen, og har fremført en lang række argumenter. Dommen forventes afsagt i 2017.</w:t>
      </w:r>
    </w:p>
  </w:footnote>
  <w:footnote w:id="3">
    <w:p>
      <w:pPr>
        <w:pStyle w:val="FootnoteText"/>
        <w:ind w:left="720" w:hanging="720"/>
        <w:jc w:val="both"/>
      </w:pPr>
      <w:r>
        <w:rPr>
          <w:rStyle w:val="FootnoteReference"/>
        </w:rPr>
        <w:footnoteRef/>
      </w:r>
      <w:r>
        <w:t xml:space="preserve"> </w:t>
      </w:r>
      <w:r>
        <w:tab/>
      </w:r>
      <w:r>
        <w:rPr>
          <w:color w:val="000000"/>
        </w:rPr>
        <w:t>I juli 2015 blev medlemsstaterne og de associerede lande under Dublinreglerne enige om at genbosætte 22 504 personer med behov for international beskyttelse, der kommer fra lande uden for EU.</w:t>
      </w:r>
    </w:p>
  </w:footnote>
  <w:footnote w:id="4">
    <w:p>
      <w:pPr>
        <w:pStyle w:val="FootnoteText"/>
        <w:ind w:left="720" w:hanging="720"/>
      </w:pPr>
      <w:r>
        <w:rPr>
          <w:rStyle w:val="FootnoteReference"/>
        </w:rPr>
        <w:footnoteRef/>
      </w:r>
      <w:r>
        <w:t xml:space="preserve"> </w:t>
      </w:r>
      <w:r>
        <w:tab/>
        <w:t>http://www.consilium.europa.eu/da/press/press-releases/2017/01/03-malta-declaration/</w:t>
      </w:r>
    </w:p>
  </w:footnote>
  <w:footnote w:id="5">
    <w:p>
      <w:pPr>
        <w:pStyle w:val="FootnoteText"/>
      </w:pPr>
      <w:r>
        <w:rPr>
          <w:rStyle w:val="FootnoteReference"/>
        </w:rPr>
        <w:footnoteRef/>
      </w:r>
      <w:r>
        <w:t xml:space="preserve"> </w:t>
      </w:r>
      <w:r>
        <w:tab/>
        <w:t>Kilde: Det italienske indenrigsministerium.</w:t>
      </w:r>
    </w:p>
  </w:footnote>
  <w:footnote w:id="6">
    <w:p>
      <w:pPr>
        <w:ind w:left="720" w:hanging="720"/>
        <w:jc w:val="both"/>
        <w:rPr>
          <w:lang w:eastAsia="en-US"/>
        </w:rPr>
      </w:pPr>
      <w:r>
        <w:rPr>
          <w:rStyle w:val="FootnoteReference"/>
          <w:sz w:val="20"/>
        </w:rPr>
        <w:footnoteRef/>
      </w:r>
      <w:r>
        <w:rPr>
          <w:sz w:val="20"/>
        </w:rPr>
        <w:t xml:space="preserve"> </w:t>
      </w:r>
      <w:r>
        <w:tab/>
      </w:r>
      <w:r>
        <w:rPr>
          <w:sz w:val="20"/>
        </w:rPr>
        <w:t>Decreto-Legge 17 febbraio 2017, n. 13, Disposizioni urgenti per l'accelerazione dei procedimenti in materia di protezione internazionale, nonche' per il contrasto dell'immigrazione illegale. (GU Serie Generale n.40 del 17-2-2017). Offentliggjort i GURI nr. 40 af 17.02.2017 og trådt i kraft den 18.02.2017.</w:t>
      </w:r>
    </w:p>
  </w:footnote>
  <w:footnote w:id="7">
    <w:p>
      <w:pPr>
        <w:pStyle w:val="FootnoteText"/>
        <w:ind w:left="720" w:hanging="720"/>
        <w:jc w:val="both"/>
      </w:pPr>
      <w:r>
        <w:rPr>
          <w:rStyle w:val="FootnoteReference"/>
        </w:rPr>
        <w:footnoteRef/>
      </w:r>
      <w:r>
        <w:t xml:space="preserve"> </w:t>
      </w:r>
      <w:r>
        <w:tab/>
        <w:t>COM(2016) 791 final. Kommissionen foreslog en strategi i to trin, der ville give medlemsstaterne mulighed for at planlægge og koordinere deres indsats og sikre en gradvis styrkelse af deres kapacitet for at undgå logistiske flaskehalse. I første trin skulle omfordelingerne fra Grækenland øges fra 1 000 pr. måned til 2 000 pr. måned, og fra Italien fra 400 pr. måned til 1.000 pr. måned. I det andet trin skulle omfordelingen fra den april 2017 sættes yderligere i vejret fra 2 000 pr. måned til 3 000 pr. måned fra Grækenland og for Italien fra 1 000 pr. måned til 1 500 pr. måned.</w:t>
      </w:r>
    </w:p>
  </w:footnote>
  <w:footnote w:id="8">
    <w:p>
      <w:pPr>
        <w:pStyle w:val="FootnoteText"/>
        <w:ind w:left="720" w:hanging="720"/>
        <w:jc w:val="both"/>
      </w:pPr>
      <w:r>
        <w:rPr>
          <w:rStyle w:val="FootnoteReference"/>
        </w:rPr>
        <w:footnoteRef/>
      </w:r>
      <w:r>
        <w:t xml:space="preserve"> </w:t>
      </w:r>
      <w:r>
        <w:tab/>
        <w:t>I april vil der, når registreringsopgaven er afsluttet, foreligge mere tydelige data.</w:t>
      </w:r>
    </w:p>
  </w:footnote>
  <w:footnote w:id="9">
    <w:p>
      <w:pPr>
        <w:pStyle w:val="FootnoteText"/>
        <w:ind w:left="720" w:hanging="720"/>
      </w:pPr>
      <w:r>
        <w:rPr>
          <w:rStyle w:val="FootnoteReference"/>
        </w:rPr>
        <w:footnoteRef/>
      </w:r>
      <w:r>
        <w:t xml:space="preserve"> </w:t>
      </w:r>
      <w:r>
        <w:tab/>
        <w:t xml:space="preserve">COM(2016) 792 final, bilag 1. </w:t>
      </w:r>
    </w:p>
  </w:footnote>
  <w:footnote w:id="10">
    <w:p>
      <w:pPr>
        <w:pStyle w:val="FootnoteText"/>
        <w:ind w:left="720" w:hanging="720"/>
      </w:pPr>
      <w:r>
        <w:rPr>
          <w:rStyle w:val="FootnoteReference"/>
        </w:rPr>
        <w:footnoteRef/>
      </w:r>
      <w:r>
        <w:t xml:space="preserve"> </w:t>
      </w:r>
      <w:r>
        <w:tab/>
        <w:t>http://www.consilium.europa.eu/da/press/press-releases/2016/12/15-euco-conclusions-final/</w:t>
      </w:r>
    </w:p>
  </w:footnote>
  <w:footnote w:id="11">
    <w:p>
      <w:pPr>
        <w:pStyle w:val="FootnoteText"/>
        <w:ind w:left="720" w:hanging="720"/>
        <w:jc w:val="both"/>
      </w:pPr>
      <w:r>
        <w:rPr>
          <w:rStyle w:val="FootnoteReference"/>
        </w:rPr>
        <w:footnoteRef/>
      </w:r>
      <w:r>
        <w:t xml:space="preserve"> </w:t>
      </w:r>
      <w:r>
        <w:tab/>
      </w:r>
      <w:r>
        <w:rPr>
          <w:color w:val="000000"/>
          <w:u w:color="000000"/>
        </w:rPr>
        <w:t>Det er uvist præcist, hvor mange af de personer, der kan komme i betragtning til omfordeling, der på nuværende tidspunkt befinder sig i Italien.</w:t>
      </w:r>
    </w:p>
  </w:footnote>
  <w:footnote w:id="12">
    <w:p>
      <w:pPr>
        <w:pStyle w:val="FootnoteText"/>
        <w:ind w:left="720" w:hanging="720"/>
        <w:jc w:val="both"/>
      </w:pPr>
      <w:r>
        <w:rPr>
          <w:rStyle w:val="FootnoteReference"/>
        </w:rPr>
        <w:footnoteRef/>
      </w:r>
      <w:r>
        <w:t xml:space="preserve"> </w:t>
      </w:r>
      <w:r>
        <w:tab/>
        <w:t>Estland og Irland gav tilsagn én gang, men da de på det tidspunkt ikke måtte udføre sikkerhedsinterview, har de indtil videre ikke givet fornyet tilsagn. Derudover afviste Litauen de første omfordelingsanmodninger, som Italien sendte; Selv om Litauen gav tilsagn næsten hver måned, sendte Italien ikke nogen omfordelingsanmodninger.</w:t>
      </w:r>
    </w:p>
  </w:footnote>
  <w:footnote w:id="13">
    <w:p>
      <w:pPr>
        <w:pStyle w:val="FootnoteText"/>
        <w:ind w:left="720" w:hanging="720"/>
        <w:jc w:val="both"/>
      </w:pPr>
      <w:r>
        <w:rPr>
          <w:rStyle w:val="FootnoteReference"/>
        </w:rPr>
        <w:footnoteRef/>
      </w:r>
      <w:r>
        <w:t xml:space="preserve"> </w:t>
      </w:r>
      <w:r>
        <w:tab/>
        <w:t>Selv om Norge anvender den standardprocedure for genbosætning, der blev aftalt med Tyrkiet inden for rammerne af 1:1-ordningen, modregnes antallet af genbosætninger til Norge inden for rammerne af 1:1-ordningen ikke i antallet af tilbagesendelser af syrere fra Grækenland.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972573"/>
    <w:multiLevelType w:val="hybridMultilevel"/>
    <w:tmpl w:val="D9E4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32373E"/>
    <w:multiLevelType w:val="hybridMultilevel"/>
    <w:tmpl w:val="0FB4B6D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A121CF"/>
    <w:multiLevelType w:val="hybridMultilevel"/>
    <w:tmpl w:val="61CC6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0CAB3F4C"/>
    <w:multiLevelType w:val="hybridMultilevel"/>
    <w:tmpl w:val="2A8CA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nsid w:val="1978386D"/>
    <w:multiLevelType w:val="hybridMultilevel"/>
    <w:tmpl w:val="486A75EE"/>
    <w:lvl w:ilvl="0" w:tplc="1AB86BDC">
      <w:start w:val="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E4594D"/>
    <w:multiLevelType w:val="multilevel"/>
    <w:tmpl w:val="F79CD254"/>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ascii="Times New Roman" w:hAnsi="Times New Roman" w:cs="Times New Roman" w:hint="default"/>
        <w:color w:val="auto"/>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5642FC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5D80F54"/>
    <w:multiLevelType w:val="hybridMultilevel"/>
    <w:tmpl w:val="6B2E6698"/>
    <w:lvl w:ilvl="0" w:tplc="1AB86BDC">
      <w:start w:val="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334B49"/>
    <w:multiLevelType w:val="hybridMultilevel"/>
    <w:tmpl w:val="DB24A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4341A5"/>
    <w:multiLevelType w:val="hybridMultilevel"/>
    <w:tmpl w:val="4A423ABE"/>
    <w:lvl w:ilvl="0" w:tplc="040A0001">
      <w:start w:val="1"/>
      <w:numFmt w:val="bullet"/>
      <w:lvlText w:val=""/>
      <w:lvlJc w:val="left"/>
      <w:pPr>
        <w:ind w:left="719" w:hanging="360"/>
      </w:pPr>
      <w:rPr>
        <w:rFonts w:ascii="Symbol" w:hAnsi="Symbol" w:hint="default"/>
      </w:rPr>
    </w:lvl>
    <w:lvl w:ilvl="1" w:tplc="040A0003" w:tentative="1">
      <w:start w:val="1"/>
      <w:numFmt w:val="bullet"/>
      <w:lvlText w:val="o"/>
      <w:lvlJc w:val="left"/>
      <w:pPr>
        <w:ind w:left="1439" w:hanging="360"/>
      </w:pPr>
      <w:rPr>
        <w:rFonts w:ascii="Courier New" w:hAnsi="Courier New" w:cs="Courier New" w:hint="default"/>
      </w:rPr>
    </w:lvl>
    <w:lvl w:ilvl="2" w:tplc="040A0005" w:tentative="1">
      <w:start w:val="1"/>
      <w:numFmt w:val="bullet"/>
      <w:lvlText w:val=""/>
      <w:lvlJc w:val="left"/>
      <w:pPr>
        <w:ind w:left="2159" w:hanging="360"/>
      </w:pPr>
      <w:rPr>
        <w:rFonts w:ascii="Wingdings" w:hAnsi="Wingdings" w:hint="default"/>
      </w:rPr>
    </w:lvl>
    <w:lvl w:ilvl="3" w:tplc="040A0001" w:tentative="1">
      <w:start w:val="1"/>
      <w:numFmt w:val="bullet"/>
      <w:lvlText w:val=""/>
      <w:lvlJc w:val="left"/>
      <w:pPr>
        <w:ind w:left="2879" w:hanging="360"/>
      </w:pPr>
      <w:rPr>
        <w:rFonts w:ascii="Symbol" w:hAnsi="Symbol" w:hint="default"/>
      </w:rPr>
    </w:lvl>
    <w:lvl w:ilvl="4" w:tplc="040A0003" w:tentative="1">
      <w:start w:val="1"/>
      <w:numFmt w:val="bullet"/>
      <w:lvlText w:val="o"/>
      <w:lvlJc w:val="left"/>
      <w:pPr>
        <w:ind w:left="3599" w:hanging="360"/>
      </w:pPr>
      <w:rPr>
        <w:rFonts w:ascii="Courier New" w:hAnsi="Courier New" w:cs="Courier New" w:hint="default"/>
      </w:rPr>
    </w:lvl>
    <w:lvl w:ilvl="5" w:tplc="040A0005" w:tentative="1">
      <w:start w:val="1"/>
      <w:numFmt w:val="bullet"/>
      <w:lvlText w:val=""/>
      <w:lvlJc w:val="left"/>
      <w:pPr>
        <w:ind w:left="4319" w:hanging="360"/>
      </w:pPr>
      <w:rPr>
        <w:rFonts w:ascii="Wingdings" w:hAnsi="Wingdings" w:hint="default"/>
      </w:rPr>
    </w:lvl>
    <w:lvl w:ilvl="6" w:tplc="040A0001" w:tentative="1">
      <w:start w:val="1"/>
      <w:numFmt w:val="bullet"/>
      <w:lvlText w:val=""/>
      <w:lvlJc w:val="left"/>
      <w:pPr>
        <w:ind w:left="5039" w:hanging="360"/>
      </w:pPr>
      <w:rPr>
        <w:rFonts w:ascii="Symbol" w:hAnsi="Symbol" w:hint="default"/>
      </w:rPr>
    </w:lvl>
    <w:lvl w:ilvl="7" w:tplc="040A0003" w:tentative="1">
      <w:start w:val="1"/>
      <w:numFmt w:val="bullet"/>
      <w:lvlText w:val="o"/>
      <w:lvlJc w:val="left"/>
      <w:pPr>
        <w:ind w:left="5759" w:hanging="360"/>
      </w:pPr>
      <w:rPr>
        <w:rFonts w:ascii="Courier New" w:hAnsi="Courier New" w:cs="Courier New" w:hint="default"/>
      </w:rPr>
    </w:lvl>
    <w:lvl w:ilvl="8" w:tplc="040A0005" w:tentative="1">
      <w:start w:val="1"/>
      <w:numFmt w:val="bullet"/>
      <w:lvlText w:val=""/>
      <w:lvlJc w:val="left"/>
      <w:pPr>
        <w:ind w:left="6479" w:hanging="360"/>
      </w:pPr>
      <w:rPr>
        <w:rFonts w:ascii="Wingdings" w:hAnsi="Wingdings" w:hint="default"/>
      </w:rPr>
    </w:lvl>
  </w:abstractNum>
  <w:abstractNum w:abstractNumId="14">
    <w:nsid w:val="3F136F51"/>
    <w:multiLevelType w:val="hybridMultilevel"/>
    <w:tmpl w:val="69545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B91769"/>
    <w:multiLevelType w:val="hybridMultilevel"/>
    <w:tmpl w:val="A74C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8033F5"/>
    <w:multiLevelType w:val="hybridMultilevel"/>
    <w:tmpl w:val="DE94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4E7444"/>
    <w:multiLevelType w:val="hybridMultilevel"/>
    <w:tmpl w:val="65B8E2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66F6393A"/>
    <w:multiLevelType w:val="hybridMultilevel"/>
    <w:tmpl w:val="149ACD8E"/>
    <w:lvl w:ilvl="0" w:tplc="C4FEFBE4">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6991EF5"/>
    <w:multiLevelType w:val="hybridMultilevel"/>
    <w:tmpl w:val="EDB287DA"/>
    <w:lvl w:ilvl="0" w:tplc="08090001">
      <w:start w:val="1"/>
      <w:numFmt w:val="bullet"/>
      <w:lvlText w:val=""/>
      <w:lvlJc w:val="left"/>
      <w:pPr>
        <w:ind w:left="720" w:hanging="360"/>
      </w:pPr>
      <w:rPr>
        <w:rFonts w:ascii="Symbol" w:hAnsi="Symbol" w:hint="default"/>
      </w:rPr>
    </w:lvl>
    <w:lvl w:ilvl="1" w:tplc="16342B0A">
      <w:start w:val="1"/>
      <w:numFmt w:val="bullet"/>
      <w:lvlText w:val="-"/>
      <w:lvlJc w:val="left"/>
      <w:pPr>
        <w:ind w:left="1440" w:hanging="360"/>
      </w:pPr>
      <w:rPr>
        <w:rFonts w:ascii="Calibri" w:eastAsia="Times New Roman" w:hAnsi="Calibri" w:cs="Calibri"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051F4E"/>
    <w:multiLevelType w:val="hybridMultilevel"/>
    <w:tmpl w:val="52866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2">
    <w:nsid w:val="7D4339EB"/>
    <w:multiLevelType w:val="hybridMultilevel"/>
    <w:tmpl w:val="4386CAF8"/>
    <w:lvl w:ilvl="0" w:tplc="040A0001">
      <w:start w:val="1"/>
      <w:numFmt w:val="bullet"/>
      <w:lvlText w:val=""/>
      <w:lvlJc w:val="left"/>
      <w:pPr>
        <w:ind w:left="719" w:hanging="360"/>
      </w:pPr>
      <w:rPr>
        <w:rFonts w:ascii="Symbol" w:hAnsi="Symbol" w:hint="default"/>
      </w:rPr>
    </w:lvl>
    <w:lvl w:ilvl="1" w:tplc="040A0003" w:tentative="1">
      <w:start w:val="1"/>
      <w:numFmt w:val="bullet"/>
      <w:lvlText w:val="o"/>
      <w:lvlJc w:val="left"/>
      <w:pPr>
        <w:ind w:left="1439" w:hanging="360"/>
      </w:pPr>
      <w:rPr>
        <w:rFonts w:ascii="Courier New" w:hAnsi="Courier New" w:cs="Courier New" w:hint="default"/>
      </w:rPr>
    </w:lvl>
    <w:lvl w:ilvl="2" w:tplc="040A0005" w:tentative="1">
      <w:start w:val="1"/>
      <w:numFmt w:val="bullet"/>
      <w:lvlText w:val=""/>
      <w:lvlJc w:val="left"/>
      <w:pPr>
        <w:ind w:left="2159" w:hanging="360"/>
      </w:pPr>
      <w:rPr>
        <w:rFonts w:ascii="Wingdings" w:hAnsi="Wingdings" w:hint="default"/>
      </w:rPr>
    </w:lvl>
    <w:lvl w:ilvl="3" w:tplc="040A0001" w:tentative="1">
      <w:start w:val="1"/>
      <w:numFmt w:val="bullet"/>
      <w:lvlText w:val=""/>
      <w:lvlJc w:val="left"/>
      <w:pPr>
        <w:ind w:left="2879" w:hanging="360"/>
      </w:pPr>
      <w:rPr>
        <w:rFonts w:ascii="Symbol" w:hAnsi="Symbol" w:hint="default"/>
      </w:rPr>
    </w:lvl>
    <w:lvl w:ilvl="4" w:tplc="040A0003" w:tentative="1">
      <w:start w:val="1"/>
      <w:numFmt w:val="bullet"/>
      <w:lvlText w:val="o"/>
      <w:lvlJc w:val="left"/>
      <w:pPr>
        <w:ind w:left="3599" w:hanging="360"/>
      </w:pPr>
      <w:rPr>
        <w:rFonts w:ascii="Courier New" w:hAnsi="Courier New" w:cs="Courier New" w:hint="default"/>
      </w:rPr>
    </w:lvl>
    <w:lvl w:ilvl="5" w:tplc="040A0005" w:tentative="1">
      <w:start w:val="1"/>
      <w:numFmt w:val="bullet"/>
      <w:lvlText w:val=""/>
      <w:lvlJc w:val="left"/>
      <w:pPr>
        <w:ind w:left="4319" w:hanging="360"/>
      </w:pPr>
      <w:rPr>
        <w:rFonts w:ascii="Wingdings" w:hAnsi="Wingdings" w:hint="default"/>
      </w:rPr>
    </w:lvl>
    <w:lvl w:ilvl="6" w:tplc="040A0001" w:tentative="1">
      <w:start w:val="1"/>
      <w:numFmt w:val="bullet"/>
      <w:lvlText w:val=""/>
      <w:lvlJc w:val="left"/>
      <w:pPr>
        <w:ind w:left="5039" w:hanging="360"/>
      </w:pPr>
      <w:rPr>
        <w:rFonts w:ascii="Symbol" w:hAnsi="Symbol" w:hint="default"/>
      </w:rPr>
    </w:lvl>
    <w:lvl w:ilvl="7" w:tplc="040A0003" w:tentative="1">
      <w:start w:val="1"/>
      <w:numFmt w:val="bullet"/>
      <w:lvlText w:val="o"/>
      <w:lvlJc w:val="left"/>
      <w:pPr>
        <w:ind w:left="5759" w:hanging="360"/>
      </w:pPr>
      <w:rPr>
        <w:rFonts w:ascii="Courier New" w:hAnsi="Courier New" w:cs="Courier New" w:hint="default"/>
      </w:rPr>
    </w:lvl>
    <w:lvl w:ilvl="8" w:tplc="040A0005" w:tentative="1">
      <w:start w:val="1"/>
      <w:numFmt w:val="bullet"/>
      <w:lvlText w:val=""/>
      <w:lvlJc w:val="left"/>
      <w:pPr>
        <w:ind w:left="6479" w:hanging="360"/>
      </w:pPr>
      <w:rPr>
        <w:rFonts w:ascii="Wingdings" w:hAnsi="Wingdings" w:hint="default"/>
      </w:rPr>
    </w:lvl>
  </w:abstractNum>
  <w:abstractNum w:abstractNumId="23">
    <w:nsid w:val="7F7A3C99"/>
    <w:multiLevelType w:val="hybridMultilevel"/>
    <w:tmpl w:val="F7CC192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12"/>
  </w:num>
  <w:num w:numId="2">
    <w:abstractNumId w:val="9"/>
  </w:num>
  <w:num w:numId="3">
    <w:abstractNumId w:val="10"/>
  </w:num>
  <w:num w:numId="4">
    <w:abstractNumId w:val="10"/>
  </w:num>
  <w:num w:numId="5">
    <w:abstractNumId w:val="4"/>
  </w:num>
  <w:num w:numId="6">
    <w:abstractNumId w:val="8"/>
  </w:num>
  <w:num w:numId="7">
    <w:abstractNumId w:val="11"/>
  </w:num>
  <w:num w:numId="8">
    <w:abstractNumId w:val="5"/>
  </w:num>
  <w:num w:numId="9">
    <w:abstractNumId w:val="10"/>
  </w:num>
  <w:num w:numId="10">
    <w:abstractNumId w:val="10"/>
  </w:num>
  <w:num w:numId="11">
    <w:abstractNumId w:val="10"/>
  </w:num>
  <w:num w:numId="12">
    <w:abstractNumId w:val="19"/>
  </w:num>
  <w:num w:numId="13">
    <w:abstractNumId w:val="7"/>
  </w:num>
  <w:num w:numId="14">
    <w:abstractNumId w:val="21"/>
  </w:num>
  <w:num w:numId="15">
    <w:abstractNumId w:val="14"/>
  </w:num>
  <w:num w:numId="16">
    <w:abstractNumId w:val="6"/>
  </w:num>
  <w:num w:numId="17">
    <w:abstractNumId w:val="20"/>
  </w:num>
  <w:num w:numId="18">
    <w:abstractNumId w:val="16"/>
  </w:num>
  <w:num w:numId="19">
    <w:abstractNumId w:val="15"/>
  </w:num>
  <w:num w:numId="20">
    <w:abstractNumId w:val="18"/>
  </w:num>
  <w:num w:numId="21">
    <w:abstractNumId w:val="17"/>
  </w:num>
  <w:num w:numId="22">
    <w:abstractNumId w:val="0"/>
  </w:num>
  <w:num w:numId="23">
    <w:abstractNumId w:val="1"/>
  </w:num>
  <w:num w:numId="24">
    <w:abstractNumId w:val="2"/>
  </w:num>
  <w:num w:numId="25">
    <w:abstractNumId w:val="3"/>
  </w:num>
  <w:num w:numId="26">
    <w:abstractNumId w:val="22"/>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E6A66D3AA1794C1A8AEEC6EDD6C0412A"/>
    <w:docVar w:name="LW_CROSSREFERENCE" w:val="&lt;UNUSED&gt;"/>
    <w:docVar w:name="LW_DocType" w:val="NORMAL"/>
    <w:docVar w:name="LW_EMISSION" w:val="2.3.2017"/>
    <w:docVar w:name="LW_EMISSION_ISODATE" w:val="2017-03-02"/>
    <w:docVar w:name="LW_EMISSION_LOCATION" w:val="BRX"/>
    <w:docVar w:name="LW_EMISSION_PREFIX" w:val="Bruxelles, den "/>
    <w:docVar w:name="LW_EMISSION_SUFFIX" w:val=" "/>
    <w:docVar w:name="LW_ID_DOCTYPE_NONLW" w:val="CP-003"/>
    <w:docVar w:name="LW_LANGUE" w:val="DA"/>
    <w:docVar w:name="LW_MARKING" w:val="&lt;UNUSED&g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7) 202"/>
    <w:docVar w:name="LW_REF.INTERNE" w:val="&lt;UNUSED&gt;"/>
    <w:docVar w:name="LW_SOUS.TITRE.OBJ.CP" w:val="&lt;UNUSED&gt;"/>
    <w:docVar w:name="LW_SUPERTITRE" w:val="&lt;UNUSED&gt;"/>
    <w:docVar w:name="LW_TITRE.OBJ.CP" w:val="TIL EUROPA-PARLAMENTET, DET EUROPÆISKE RÅD OG RÅDET_x000b__x000b_Tiende rapport om omfordeling og genbosætning_x000b__x000b__x000b__x000b__x0009_"/>
    <w:docVar w:name="LW_TYPE.DOC.CP" w:val="BERETNING FRA KOMMISSIONEN"/>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da-D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7" w:uiPriority="39"/>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iPriority w:val="99"/>
    <w:qFormat/>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style>
  <w:style w:type="character" w:styleId="FootnoteReference">
    <w:name w:val="footnote reference"/>
    <w:aliases w:val="Footnote Reference Superscript,Footnote symbol,BVI fnr,Footnote reference number,note TESI,Appel note de bas de p,Nota,SUPERS,Footnote number,EN Footnote Reference,-E Fußnotenzeichen,number Char Char,number,Ref,styl,styli,R, BVI fnr"/>
    <w:basedOn w:val="DefaultParagraphFont"/>
    <w:uiPriority w:val="99"/>
    <w:qFormat/>
    <w:rPr>
      <w:vertAlign w:val="superscript"/>
    </w:rPr>
  </w:style>
  <w:style w:type="character" w:styleId="Hyperlink">
    <w:name w:val="Hyperlink"/>
    <w:basedOn w:val="DefaultParagraphFont"/>
    <w:uiPriority w:val="99"/>
    <w:unhideWhenUsed/>
    <w:rPr>
      <w:rFonts w:ascii="Verdana" w:hAnsi="Verdana" w:hint="default"/>
      <w:strike w:val="0"/>
      <w:dstrike w:val="0"/>
      <w:color w:val="0000FF"/>
      <w:u w:val="none"/>
      <w:effect w:val="none"/>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ListParagraphChar"/>
    <w:uiPriority w:val="34"/>
    <w:qFormat/>
    <w:pPr>
      <w:ind w:left="720"/>
      <w:contextualSpacing/>
    </w:p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Pr>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HTMLPreformattedChar">
    <w:name w:val="HTML Preformatted Char"/>
    <w:basedOn w:val="DefaultParagraphFont"/>
    <w:link w:val="HTMLPreformatted"/>
    <w:uiPriority w:val="99"/>
    <w:rPr>
      <w:rFonts w:ascii="Consolas" w:hAnsi="Consolas" w:cs="Consolas"/>
      <w:lang w:eastAsia="da-DK"/>
    </w:rPr>
  </w:style>
  <w:style w:type="paragraph" w:styleId="Revision">
    <w:name w:val="Revision"/>
    <w:hidden/>
    <w:uiPriority w:val="99"/>
    <w:semiHidden/>
    <w:rPr>
      <w:sz w:val="24"/>
      <w:szCs w:val="24"/>
    </w:rPr>
  </w:style>
  <w:style w:type="paragraph" w:styleId="TOC7">
    <w:name w:val="toc 7"/>
    <w:basedOn w:val="Normal"/>
    <w:next w:val="Normal"/>
    <w:uiPriority w:val="39"/>
    <w:unhideWhenUsed/>
    <w:pPr>
      <w:tabs>
        <w:tab w:val="right" w:leader="dot" w:pos="9071"/>
      </w:tabs>
      <w:spacing w:before="180" w:after="120"/>
    </w:pPr>
    <w:rPr>
      <w:rFonts w:eastAsiaTheme="minorHAnsi"/>
      <w:szCs w:val="2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styleId="NormalWeb">
    <w:name w:val="Normal (Web)"/>
    <w:basedOn w:val="Normal"/>
    <w:uiPriority w:val="99"/>
    <w:unhideWhenUsed/>
    <w:pPr>
      <w:spacing w:before="100" w:beforeAutospacing="1" w:after="100" w:afterAutospacing="1"/>
    </w:pPr>
    <w:rPr>
      <w:rFonts w:eastAsiaTheme="minorHAnsi"/>
    </w:rPr>
  </w:style>
  <w:style w:type="paragraph" w:customStyle="1" w:styleId="Considrant">
    <w:name w:val="Considérant"/>
    <w:basedOn w:val="Normal"/>
    <w:pPr>
      <w:numPr>
        <w:numId w:val="14"/>
      </w:numPr>
      <w:spacing w:before="120" w:after="120"/>
      <w:jc w:val="both"/>
    </w:pPr>
    <w:rPr>
      <w:rFonts w:eastAsiaTheme="minorHAnsi"/>
      <w:szCs w:val="22"/>
    </w:rPr>
  </w:style>
  <w:style w:type="character" w:styleId="FollowedHyperlink">
    <w:name w:val="FollowedHyperlink"/>
    <w:basedOn w:val="DefaultParagraphFont"/>
    <w:rPr>
      <w:color w:val="800080" w:themeColor="followedHyperlink"/>
      <w:u w:val="single"/>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pPr>
    <w:rPr>
      <w:rFonts w:ascii="EC Square Sans Pro" w:hAnsi="EC Square Sans Pro" w:cs="EC Square Sans Pro"/>
      <w:color w:val="000000"/>
      <w:sz w:val="24"/>
      <w:szCs w:val="24"/>
    </w:rPr>
  </w:style>
  <w:style w:type="character" w:customStyle="1" w:styleId="A4">
    <w:name w:val="A4"/>
    <w:uiPriority w:val="99"/>
    <w:rPr>
      <w:rFonts w:cs="EC Square Sans Pro"/>
      <w:color w:val="000000"/>
      <w:sz w:val="20"/>
      <w:szCs w:val="20"/>
    </w:rPr>
  </w:style>
  <w:style w:type="paragraph" w:customStyle="1" w:styleId="Langue">
    <w:name w:val="Langue"/>
    <w:basedOn w:val="Normal"/>
    <w:next w:val="Normal"/>
    <w:pPr>
      <w:framePr w:wrap="around" w:vAnchor="page" w:hAnchor="text" w:xAlign="center" w:y="14741"/>
      <w:spacing w:after="600"/>
      <w:jc w:val="center"/>
    </w:pPr>
    <w:rPr>
      <w:rFonts w:eastAsiaTheme="minorHAnsi"/>
      <w:b/>
      <w:caps/>
      <w:szCs w:val="22"/>
    </w:rPr>
  </w:style>
  <w:style w:type="paragraph" w:customStyle="1" w:styleId="Nomdelinstitution">
    <w:name w:val="Nom de l'institution"/>
    <w:basedOn w:val="Normal"/>
    <w:next w:val="Normal"/>
    <w:rPr>
      <w:rFonts w:ascii="Arial" w:eastAsiaTheme="minorHAnsi" w:hAnsi="Arial" w:cs="Arial"/>
      <w:szCs w:val="22"/>
    </w:rPr>
  </w:style>
  <w:style w:type="paragraph" w:customStyle="1" w:styleId="Emission">
    <w:name w:val="Emission"/>
    <w:basedOn w:val="Normal"/>
    <w:next w:val="Normal"/>
    <w:pPr>
      <w:ind w:left="5103"/>
    </w:pPr>
    <w:rPr>
      <w:rFonts w:eastAsiaTheme="minorHAnsi"/>
      <w:szCs w:val="22"/>
    </w:rPr>
  </w:style>
  <w:style w:type="character" w:customStyle="1" w:styleId="Marker2">
    <w:name w:val="Marker2"/>
    <w:basedOn w:val="DefaultParagraphFont"/>
    <w:rPr>
      <w:color w:val="FF0000"/>
      <w:shd w:val="clear" w:color="auto" w:fill="auto"/>
    </w:rPr>
  </w:style>
  <w:style w:type="paragraph" w:customStyle="1" w:styleId="Rfrenceinstitutionnelle">
    <w:name w:val="Référence institutionnelle"/>
    <w:basedOn w:val="Normal"/>
    <w:next w:val="Normal"/>
    <w:pPr>
      <w:spacing w:after="240"/>
      <w:ind w:left="5103"/>
    </w:pPr>
    <w:rPr>
      <w:rFonts w:eastAsiaTheme="minorHAnsi"/>
      <w:szCs w:val="22"/>
    </w:rPr>
  </w:style>
  <w:style w:type="paragraph" w:customStyle="1" w:styleId="Confidentialit">
    <w:name w:val="Confidentialité"/>
    <w:basedOn w:val="Normal"/>
    <w:next w:val="Normal"/>
    <w:pPr>
      <w:spacing w:before="240" w:after="240"/>
      <w:ind w:left="5103"/>
    </w:pPr>
    <w:rPr>
      <w:rFonts w:eastAsiaTheme="minorHAnsi"/>
      <w:i/>
      <w:sz w:val="32"/>
      <w:szCs w:val="22"/>
    </w:rPr>
  </w:style>
  <w:style w:type="paragraph" w:customStyle="1" w:styleId="TypedudocumentPagedecouverture">
    <w:name w:val="Type du document (Page de couverture)"/>
    <w:basedOn w:val="Normal"/>
    <w:next w:val="Normal"/>
    <w:pPr>
      <w:spacing w:before="360"/>
      <w:jc w:val="center"/>
    </w:pPr>
    <w:rPr>
      <w:rFonts w:eastAsiaTheme="minorHAnsi"/>
      <w:b/>
      <w:szCs w:val="22"/>
    </w:rPr>
  </w:style>
  <w:style w:type="paragraph" w:customStyle="1" w:styleId="TitreobjetPagedecouverture">
    <w:name w:val="Titre objet (Page de couverture)"/>
    <w:basedOn w:val="Normal"/>
    <w:next w:val="Normal"/>
    <w:pPr>
      <w:spacing w:before="360" w:after="360"/>
      <w:jc w:val="center"/>
    </w:pPr>
    <w:rPr>
      <w:rFonts w:eastAsiaTheme="minorHAnsi"/>
      <w:b/>
      <w:szCs w:val="22"/>
    </w:rPr>
  </w:style>
  <w:style w:type="character" w:customStyle="1" w:styleId="apple-converted-space">
    <w:name w:val="apple-converted-space"/>
    <w:basedOn w:val="DefaultParagraphFont"/>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da-D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7" w:uiPriority="39"/>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iPriority w:val="99"/>
    <w:qFormat/>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style>
  <w:style w:type="character" w:styleId="FootnoteReference">
    <w:name w:val="footnote reference"/>
    <w:aliases w:val="Footnote Reference Superscript,Footnote symbol,BVI fnr,Footnote reference number,note TESI,Appel note de bas de p,Nota,SUPERS,Footnote number,EN Footnote Reference,-E Fußnotenzeichen,number Char Char,number,Ref,styl,styli,R, BVI fnr"/>
    <w:basedOn w:val="DefaultParagraphFont"/>
    <w:uiPriority w:val="99"/>
    <w:qFormat/>
    <w:rPr>
      <w:vertAlign w:val="superscript"/>
    </w:rPr>
  </w:style>
  <w:style w:type="character" w:styleId="Hyperlink">
    <w:name w:val="Hyperlink"/>
    <w:basedOn w:val="DefaultParagraphFont"/>
    <w:uiPriority w:val="99"/>
    <w:unhideWhenUsed/>
    <w:rPr>
      <w:rFonts w:ascii="Verdana" w:hAnsi="Verdana" w:hint="default"/>
      <w:strike w:val="0"/>
      <w:dstrike w:val="0"/>
      <w:color w:val="0000FF"/>
      <w:u w:val="none"/>
      <w:effect w:val="none"/>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ListParagraphChar"/>
    <w:uiPriority w:val="34"/>
    <w:qFormat/>
    <w:pPr>
      <w:ind w:left="720"/>
      <w:contextualSpacing/>
    </w:p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Pr>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HTMLPreformattedChar">
    <w:name w:val="HTML Preformatted Char"/>
    <w:basedOn w:val="DefaultParagraphFont"/>
    <w:link w:val="HTMLPreformatted"/>
    <w:uiPriority w:val="99"/>
    <w:rPr>
      <w:rFonts w:ascii="Consolas" w:hAnsi="Consolas" w:cs="Consolas"/>
      <w:lang w:eastAsia="da-DK"/>
    </w:rPr>
  </w:style>
  <w:style w:type="paragraph" w:styleId="Revision">
    <w:name w:val="Revision"/>
    <w:hidden/>
    <w:uiPriority w:val="99"/>
    <w:semiHidden/>
    <w:rPr>
      <w:sz w:val="24"/>
      <w:szCs w:val="24"/>
    </w:rPr>
  </w:style>
  <w:style w:type="paragraph" w:styleId="TOC7">
    <w:name w:val="toc 7"/>
    <w:basedOn w:val="Normal"/>
    <w:next w:val="Normal"/>
    <w:uiPriority w:val="39"/>
    <w:unhideWhenUsed/>
    <w:pPr>
      <w:tabs>
        <w:tab w:val="right" w:leader="dot" w:pos="9071"/>
      </w:tabs>
      <w:spacing w:before="180" w:after="120"/>
    </w:pPr>
    <w:rPr>
      <w:rFonts w:eastAsiaTheme="minorHAnsi"/>
      <w:szCs w:val="2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styleId="NormalWeb">
    <w:name w:val="Normal (Web)"/>
    <w:basedOn w:val="Normal"/>
    <w:uiPriority w:val="99"/>
    <w:unhideWhenUsed/>
    <w:pPr>
      <w:spacing w:before="100" w:beforeAutospacing="1" w:after="100" w:afterAutospacing="1"/>
    </w:pPr>
    <w:rPr>
      <w:rFonts w:eastAsiaTheme="minorHAnsi"/>
    </w:rPr>
  </w:style>
  <w:style w:type="paragraph" w:customStyle="1" w:styleId="Considrant">
    <w:name w:val="Considérant"/>
    <w:basedOn w:val="Normal"/>
    <w:pPr>
      <w:numPr>
        <w:numId w:val="14"/>
      </w:numPr>
      <w:spacing w:before="120" w:after="120"/>
      <w:jc w:val="both"/>
    </w:pPr>
    <w:rPr>
      <w:rFonts w:eastAsiaTheme="minorHAnsi"/>
      <w:szCs w:val="22"/>
    </w:rPr>
  </w:style>
  <w:style w:type="character" w:styleId="FollowedHyperlink">
    <w:name w:val="FollowedHyperlink"/>
    <w:basedOn w:val="DefaultParagraphFont"/>
    <w:rPr>
      <w:color w:val="800080" w:themeColor="followedHyperlink"/>
      <w:u w:val="single"/>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pPr>
    <w:rPr>
      <w:rFonts w:ascii="EC Square Sans Pro" w:hAnsi="EC Square Sans Pro" w:cs="EC Square Sans Pro"/>
      <w:color w:val="000000"/>
      <w:sz w:val="24"/>
      <w:szCs w:val="24"/>
    </w:rPr>
  </w:style>
  <w:style w:type="character" w:customStyle="1" w:styleId="A4">
    <w:name w:val="A4"/>
    <w:uiPriority w:val="99"/>
    <w:rPr>
      <w:rFonts w:cs="EC Square Sans Pro"/>
      <w:color w:val="000000"/>
      <w:sz w:val="20"/>
      <w:szCs w:val="20"/>
    </w:rPr>
  </w:style>
  <w:style w:type="paragraph" w:customStyle="1" w:styleId="Langue">
    <w:name w:val="Langue"/>
    <w:basedOn w:val="Normal"/>
    <w:next w:val="Normal"/>
    <w:pPr>
      <w:framePr w:wrap="around" w:vAnchor="page" w:hAnchor="text" w:xAlign="center" w:y="14741"/>
      <w:spacing w:after="600"/>
      <w:jc w:val="center"/>
    </w:pPr>
    <w:rPr>
      <w:rFonts w:eastAsiaTheme="minorHAnsi"/>
      <w:b/>
      <w:caps/>
      <w:szCs w:val="22"/>
    </w:rPr>
  </w:style>
  <w:style w:type="paragraph" w:customStyle="1" w:styleId="Nomdelinstitution">
    <w:name w:val="Nom de l'institution"/>
    <w:basedOn w:val="Normal"/>
    <w:next w:val="Normal"/>
    <w:rPr>
      <w:rFonts w:ascii="Arial" w:eastAsiaTheme="minorHAnsi" w:hAnsi="Arial" w:cs="Arial"/>
      <w:szCs w:val="22"/>
    </w:rPr>
  </w:style>
  <w:style w:type="paragraph" w:customStyle="1" w:styleId="Emission">
    <w:name w:val="Emission"/>
    <w:basedOn w:val="Normal"/>
    <w:next w:val="Normal"/>
    <w:pPr>
      <w:ind w:left="5103"/>
    </w:pPr>
    <w:rPr>
      <w:rFonts w:eastAsiaTheme="minorHAnsi"/>
      <w:szCs w:val="22"/>
    </w:rPr>
  </w:style>
  <w:style w:type="character" w:customStyle="1" w:styleId="Marker2">
    <w:name w:val="Marker2"/>
    <w:basedOn w:val="DefaultParagraphFont"/>
    <w:rPr>
      <w:color w:val="FF0000"/>
      <w:shd w:val="clear" w:color="auto" w:fill="auto"/>
    </w:rPr>
  </w:style>
  <w:style w:type="paragraph" w:customStyle="1" w:styleId="Rfrenceinstitutionnelle">
    <w:name w:val="Référence institutionnelle"/>
    <w:basedOn w:val="Normal"/>
    <w:next w:val="Normal"/>
    <w:pPr>
      <w:spacing w:after="240"/>
      <w:ind w:left="5103"/>
    </w:pPr>
    <w:rPr>
      <w:rFonts w:eastAsiaTheme="minorHAnsi"/>
      <w:szCs w:val="22"/>
    </w:rPr>
  </w:style>
  <w:style w:type="paragraph" w:customStyle="1" w:styleId="Confidentialit">
    <w:name w:val="Confidentialité"/>
    <w:basedOn w:val="Normal"/>
    <w:next w:val="Normal"/>
    <w:pPr>
      <w:spacing w:before="240" w:after="240"/>
      <w:ind w:left="5103"/>
    </w:pPr>
    <w:rPr>
      <w:rFonts w:eastAsiaTheme="minorHAnsi"/>
      <w:i/>
      <w:sz w:val="32"/>
      <w:szCs w:val="22"/>
    </w:rPr>
  </w:style>
  <w:style w:type="paragraph" w:customStyle="1" w:styleId="TypedudocumentPagedecouverture">
    <w:name w:val="Type du document (Page de couverture)"/>
    <w:basedOn w:val="Normal"/>
    <w:next w:val="Normal"/>
    <w:pPr>
      <w:spacing w:before="360"/>
      <w:jc w:val="center"/>
    </w:pPr>
    <w:rPr>
      <w:rFonts w:eastAsiaTheme="minorHAnsi"/>
      <w:b/>
      <w:szCs w:val="22"/>
    </w:rPr>
  </w:style>
  <w:style w:type="paragraph" w:customStyle="1" w:styleId="TitreobjetPagedecouverture">
    <w:name w:val="Titre objet (Page de couverture)"/>
    <w:basedOn w:val="Normal"/>
    <w:next w:val="Normal"/>
    <w:pPr>
      <w:spacing w:before="360" w:after="360"/>
      <w:jc w:val="center"/>
    </w:pPr>
    <w:rPr>
      <w:rFonts w:eastAsiaTheme="minorHAnsi"/>
      <w:b/>
      <w:szCs w:val="22"/>
    </w:rPr>
  </w:style>
  <w:style w:type="character" w:customStyle="1" w:styleId="apple-converted-space">
    <w:name w:val="apple-converted-space"/>
    <w:basedOn w:val="DefaultParagraphFont"/>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131">
      <w:bodyDiv w:val="1"/>
      <w:marLeft w:val="0"/>
      <w:marRight w:val="0"/>
      <w:marTop w:val="0"/>
      <w:marBottom w:val="0"/>
      <w:divBdr>
        <w:top w:val="none" w:sz="0" w:space="0" w:color="auto"/>
        <w:left w:val="none" w:sz="0" w:space="0" w:color="auto"/>
        <w:bottom w:val="none" w:sz="0" w:space="0" w:color="auto"/>
        <w:right w:val="none" w:sz="0" w:space="0" w:color="auto"/>
      </w:divBdr>
      <w:divsChild>
        <w:div w:id="785852992">
          <w:marLeft w:val="0"/>
          <w:marRight w:val="0"/>
          <w:marTop w:val="0"/>
          <w:marBottom w:val="0"/>
          <w:divBdr>
            <w:top w:val="none" w:sz="0" w:space="0" w:color="auto"/>
            <w:left w:val="none" w:sz="0" w:space="0" w:color="auto"/>
            <w:bottom w:val="none" w:sz="0" w:space="0" w:color="auto"/>
            <w:right w:val="none" w:sz="0" w:space="0" w:color="auto"/>
          </w:divBdr>
          <w:divsChild>
            <w:div w:id="1755391917">
              <w:marLeft w:val="0"/>
              <w:marRight w:val="0"/>
              <w:marTop w:val="0"/>
              <w:marBottom w:val="0"/>
              <w:divBdr>
                <w:top w:val="none" w:sz="0" w:space="0" w:color="auto"/>
                <w:left w:val="none" w:sz="0" w:space="0" w:color="auto"/>
                <w:bottom w:val="none" w:sz="0" w:space="0" w:color="auto"/>
                <w:right w:val="none" w:sz="0" w:space="0" w:color="auto"/>
              </w:divBdr>
              <w:divsChild>
                <w:div w:id="15531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493">
      <w:bodyDiv w:val="1"/>
      <w:marLeft w:val="0"/>
      <w:marRight w:val="0"/>
      <w:marTop w:val="0"/>
      <w:marBottom w:val="0"/>
      <w:divBdr>
        <w:top w:val="none" w:sz="0" w:space="0" w:color="auto"/>
        <w:left w:val="none" w:sz="0" w:space="0" w:color="auto"/>
        <w:bottom w:val="none" w:sz="0" w:space="0" w:color="auto"/>
        <w:right w:val="none" w:sz="0" w:space="0" w:color="auto"/>
      </w:divBdr>
    </w:div>
    <w:div w:id="13310376">
      <w:bodyDiv w:val="1"/>
      <w:marLeft w:val="0"/>
      <w:marRight w:val="0"/>
      <w:marTop w:val="0"/>
      <w:marBottom w:val="0"/>
      <w:divBdr>
        <w:top w:val="none" w:sz="0" w:space="0" w:color="auto"/>
        <w:left w:val="none" w:sz="0" w:space="0" w:color="auto"/>
        <w:bottom w:val="none" w:sz="0" w:space="0" w:color="auto"/>
        <w:right w:val="none" w:sz="0" w:space="0" w:color="auto"/>
      </w:divBdr>
      <w:divsChild>
        <w:div w:id="1694377179">
          <w:marLeft w:val="1440"/>
          <w:marRight w:val="0"/>
          <w:marTop w:val="0"/>
          <w:marBottom w:val="0"/>
          <w:divBdr>
            <w:top w:val="none" w:sz="0" w:space="0" w:color="auto"/>
            <w:left w:val="none" w:sz="0" w:space="0" w:color="auto"/>
            <w:bottom w:val="none" w:sz="0" w:space="0" w:color="auto"/>
            <w:right w:val="none" w:sz="0" w:space="0" w:color="auto"/>
          </w:divBdr>
        </w:div>
      </w:divsChild>
    </w:div>
    <w:div w:id="37437672">
      <w:bodyDiv w:val="1"/>
      <w:marLeft w:val="0"/>
      <w:marRight w:val="0"/>
      <w:marTop w:val="0"/>
      <w:marBottom w:val="0"/>
      <w:divBdr>
        <w:top w:val="none" w:sz="0" w:space="0" w:color="auto"/>
        <w:left w:val="none" w:sz="0" w:space="0" w:color="auto"/>
        <w:bottom w:val="none" w:sz="0" w:space="0" w:color="auto"/>
        <w:right w:val="none" w:sz="0" w:space="0" w:color="auto"/>
      </w:divBdr>
    </w:div>
    <w:div w:id="148332146">
      <w:bodyDiv w:val="1"/>
      <w:marLeft w:val="0"/>
      <w:marRight w:val="0"/>
      <w:marTop w:val="0"/>
      <w:marBottom w:val="0"/>
      <w:divBdr>
        <w:top w:val="none" w:sz="0" w:space="0" w:color="auto"/>
        <w:left w:val="none" w:sz="0" w:space="0" w:color="auto"/>
        <w:bottom w:val="none" w:sz="0" w:space="0" w:color="auto"/>
        <w:right w:val="none" w:sz="0" w:space="0" w:color="auto"/>
      </w:divBdr>
    </w:div>
    <w:div w:id="149911330">
      <w:bodyDiv w:val="1"/>
      <w:marLeft w:val="0"/>
      <w:marRight w:val="0"/>
      <w:marTop w:val="0"/>
      <w:marBottom w:val="0"/>
      <w:divBdr>
        <w:top w:val="none" w:sz="0" w:space="0" w:color="auto"/>
        <w:left w:val="none" w:sz="0" w:space="0" w:color="auto"/>
        <w:bottom w:val="none" w:sz="0" w:space="0" w:color="auto"/>
        <w:right w:val="none" w:sz="0" w:space="0" w:color="auto"/>
      </w:divBdr>
      <w:divsChild>
        <w:div w:id="1489512274">
          <w:marLeft w:val="1714"/>
          <w:marRight w:val="0"/>
          <w:marTop w:val="96"/>
          <w:marBottom w:val="0"/>
          <w:divBdr>
            <w:top w:val="none" w:sz="0" w:space="0" w:color="auto"/>
            <w:left w:val="none" w:sz="0" w:space="0" w:color="auto"/>
            <w:bottom w:val="none" w:sz="0" w:space="0" w:color="auto"/>
            <w:right w:val="none" w:sz="0" w:space="0" w:color="auto"/>
          </w:divBdr>
        </w:div>
        <w:div w:id="184252525">
          <w:marLeft w:val="1714"/>
          <w:marRight w:val="0"/>
          <w:marTop w:val="96"/>
          <w:marBottom w:val="0"/>
          <w:divBdr>
            <w:top w:val="none" w:sz="0" w:space="0" w:color="auto"/>
            <w:left w:val="none" w:sz="0" w:space="0" w:color="auto"/>
            <w:bottom w:val="none" w:sz="0" w:space="0" w:color="auto"/>
            <w:right w:val="none" w:sz="0" w:space="0" w:color="auto"/>
          </w:divBdr>
        </w:div>
        <w:div w:id="1891384671">
          <w:marLeft w:val="1714"/>
          <w:marRight w:val="0"/>
          <w:marTop w:val="96"/>
          <w:marBottom w:val="0"/>
          <w:divBdr>
            <w:top w:val="none" w:sz="0" w:space="0" w:color="auto"/>
            <w:left w:val="none" w:sz="0" w:space="0" w:color="auto"/>
            <w:bottom w:val="none" w:sz="0" w:space="0" w:color="auto"/>
            <w:right w:val="none" w:sz="0" w:space="0" w:color="auto"/>
          </w:divBdr>
        </w:div>
      </w:divsChild>
    </w:div>
    <w:div w:id="158009727">
      <w:bodyDiv w:val="1"/>
      <w:marLeft w:val="0"/>
      <w:marRight w:val="0"/>
      <w:marTop w:val="0"/>
      <w:marBottom w:val="0"/>
      <w:divBdr>
        <w:top w:val="none" w:sz="0" w:space="0" w:color="auto"/>
        <w:left w:val="none" w:sz="0" w:space="0" w:color="auto"/>
        <w:bottom w:val="none" w:sz="0" w:space="0" w:color="auto"/>
        <w:right w:val="none" w:sz="0" w:space="0" w:color="auto"/>
      </w:divBdr>
    </w:div>
    <w:div w:id="185365638">
      <w:bodyDiv w:val="1"/>
      <w:marLeft w:val="0"/>
      <w:marRight w:val="0"/>
      <w:marTop w:val="0"/>
      <w:marBottom w:val="0"/>
      <w:divBdr>
        <w:top w:val="none" w:sz="0" w:space="0" w:color="auto"/>
        <w:left w:val="none" w:sz="0" w:space="0" w:color="auto"/>
        <w:bottom w:val="none" w:sz="0" w:space="0" w:color="auto"/>
        <w:right w:val="none" w:sz="0" w:space="0" w:color="auto"/>
      </w:divBdr>
    </w:div>
    <w:div w:id="193882147">
      <w:bodyDiv w:val="1"/>
      <w:marLeft w:val="0"/>
      <w:marRight w:val="0"/>
      <w:marTop w:val="0"/>
      <w:marBottom w:val="0"/>
      <w:divBdr>
        <w:top w:val="none" w:sz="0" w:space="0" w:color="auto"/>
        <w:left w:val="none" w:sz="0" w:space="0" w:color="auto"/>
        <w:bottom w:val="none" w:sz="0" w:space="0" w:color="auto"/>
        <w:right w:val="none" w:sz="0" w:space="0" w:color="auto"/>
      </w:divBdr>
    </w:div>
    <w:div w:id="223100271">
      <w:bodyDiv w:val="1"/>
      <w:marLeft w:val="0"/>
      <w:marRight w:val="0"/>
      <w:marTop w:val="0"/>
      <w:marBottom w:val="0"/>
      <w:divBdr>
        <w:top w:val="none" w:sz="0" w:space="0" w:color="auto"/>
        <w:left w:val="none" w:sz="0" w:space="0" w:color="auto"/>
        <w:bottom w:val="none" w:sz="0" w:space="0" w:color="auto"/>
        <w:right w:val="none" w:sz="0" w:space="0" w:color="auto"/>
      </w:divBdr>
    </w:div>
    <w:div w:id="224491531">
      <w:bodyDiv w:val="1"/>
      <w:marLeft w:val="0"/>
      <w:marRight w:val="0"/>
      <w:marTop w:val="0"/>
      <w:marBottom w:val="0"/>
      <w:divBdr>
        <w:top w:val="none" w:sz="0" w:space="0" w:color="auto"/>
        <w:left w:val="none" w:sz="0" w:space="0" w:color="auto"/>
        <w:bottom w:val="none" w:sz="0" w:space="0" w:color="auto"/>
        <w:right w:val="none" w:sz="0" w:space="0" w:color="auto"/>
      </w:divBdr>
    </w:div>
    <w:div w:id="238445361">
      <w:bodyDiv w:val="1"/>
      <w:marLeft w:val="0"/>
      <w:marRight w:val="0"/>
      <w:marTop w:val="0"/>
      <w:marBottom w:val="0"/>
      <w:divBdr>
        <w:top w:val="none" w:sz="0" w:space="0" w:color="auto"/>
        <w:left w:val="none" w:sz="0" w:space="0" w:color="auto"/>
        <w:bottom w:val="none" w:sz="0" w:space="0" w:color="auto"/>
        <w:right w:val="none" w:sz="0" w:space="0" w:color="auto"/>
      </w:divBdr>
    </w:div>
    <w:div w:id="363480239">
      <w:bodyDiv w:val="1"/>
      <w:marLeft w:val="0"/>
      <w:marRight w:val="0"/>
      <w:marTop w:val="0"/>
      <w:marBottom w:val="0"/>
      <w:divBdr>
        <w:top w:val="none" w:sz="0" w:space="0" w:color="auto"/>
        <w:left w:val="none" w:sz="0" w:space="0" w:color="auto"/>
        <w:bottom w:val="none" w:sz="0" w:space="0" w:color="auto"/>
        <w:right w:val="none" w:sz="0" w:space="0" w:color="auto"/>
      </w:divBdr>
    </w:div>
    <w:div w:id="428082773">
      <w:bodyDiv w:val="1"/>
      <w:marLeft w:val="0"/>
      <w:marRight w:val="0"/>
      <w:marTop w:val="0"/>
      <w:marBottom w:val="0"/>
      <w:divBdr>
        <w:top w:val="none" w:sz="0" w:space="0" w:color="auto"/>
        <w:left w:val="none" w:sz="0" w:space="0" w:color="auto"/>
        <w:bottom w:val="none" w:sz="0" w:space="0" w:color="auto"/>
        <w:right w:val="none" w:sz="0" w:space="0" w:color="auto"/>
      </w:divBdr>
    </w:div>
    <w:div w:id="499006324">
      <w:bodyDiv w:val="1"/>
      <w:marLeft w:val="0"/>
      <w:marRight w:val="0"/>
      <w:marTop w:val="0"/>
      <w:marBottom w:val="0"/>
      <w:divBdr>
        <w:top w:val="none" w:sz="0" w:space="0" w:color="auto"/>
        <w:left w:val="none" w:sz="0" w:space="0" w:color="auto"/>
        <w:bottom w:val="none" w:sz="0" w:space="0" w:color="auto"/>
        <w:right w:val="none" w:sz="0" w:space="0" w:color="auto"/>
      </w:divBdr>
    </w:div>
    <w:div w:id="515122392">
      <w:bodyDiv w:val="1"/>
      <w:marLeft w:val="0"/>
      <w:marRight w:val="0"/>
      <w:marTop w:val="0"/>
      <w:marBottom w:val="0"/>
      <w:divBdr>
        <w:top w:val="none" w:sz="0" w:space="0" w:color="auto"/>
        <w:left w:val="none" w:sz="0" w:space="0" w:color="auto"/>
        <w:bottom w:val="none" w:sz="0" w:space="0" w:color="auto"/>
        <w:right w:val="none" w:sz="0" w:space="0" w:color="auto"/>
      </w:divBdr>
      <w:divsChild>
        <w:div w:id="2009288013">
          <w:marLeft w:val="1440"/>
          <w:marRight w:val="0"/>
          <w:marTop w:val="0"/>
          <w:marBottom w:val="0"/>
          <w:divBdr>
            <w:top w:val="none" w:sz="0" w:space="0" w:color="auto"/>
            <w:left w:val="none" w:sz="0" w:space="0" w:color="auto"/>
            <w:bottom w:val="none" w:sz="0" w:space="0" w:color="auto"/>
            <w:right w:val="none" w:sz="0" w:space="0" w:color="auto"/>
          </w:divBdr>
        </w:div>
      </w:divsChild>
    </w:div>
    <w:div w:id="516434089">
      <w:bodyDiv w:val="1"/>
      <w:marLeft w:val="0"/>
      <w:marRight w:val="0"/>
      <w:marTop w:val="0"/>
      <w:marBottom w:val="0"/>
      <w:divBdr>
        <w:top w:val="none" w:sz="0" w:space="0" w:color="auto"/>
        <w:left w:val="none" w:sz="0" w:space="0" w:color="auto"/>
        <w:bottom w:val="none" w:sz="0" w:space="0" w:color="auto"/>
        <w:right w:val="none" w:sz="0" w:space="0" w:color="auto"/>
      </w:divBdr>
    </w:div>
    <w:div w:id="533617756">
      <w:bodyDiv w:val="1"/>
      <w:marLeft w:val="0"/>
      <w:marRight w:val="0"/>
      <w:marTop w:val="0"/>
      <w:marBottom w:val="0"/>
      <w:divBdr>
        <w:top w:val="none" w:sz="0" w:space="0" w:color="auto"/>
        <w:left w:val="none" w:sz="0" w:space="0" w:color="auto"/>
        <w:bottom w:val="none" w:sz="0" w:space="0" w:color="auto"/>
        <w:right w:val="none" w:sz="0" w:space="0" w:color="auto"/>
      </w:divBdr>
    </w:div>
    <w:div w:id="600383946">
      <w:bodyDiv w:val="1"/>
      <w:marLeft w:val="0"/>
      <w:marRight w:val="0"/>
      <w:marTop w:val="0"/>
      <w:marBottom w:val="0"/>
      <w:divBdr>
        <w:top w:val="none" w:sz="0" w:space="0" w:color="auto"/>
        <w:left w:val="none" w:sz="0" w:space="0" w:color="auto"/>
        <w:bottom w:val="none" w:sz="0" w:space="0" w:color="auto"/>
        <w:right w:val="none" w:sz="0" w:space="0" w:color="auto"/>
      </w:divBdr>
    </w:div>
    <w:div w:id="622998664">
      <w:bodyDiv w:val="1"/>
      <w:marLeft w:val="0"/>
      <w:marRight w:val="0"/>
      <w:marTop w:val="0"/>
      <w:marBottom w:val="0"/>
      <w:divBdr>
        <w:top w:val="none" w:sz="0" w:space="0" w:color="auto"/>
        <w:left w:val="none" w:sz="0" w:space="0" w:color="auto"/>
        <w:bottom w:val="none" w:sz="0" w:space="0" w:color="auto"/>
        <w:right w:val="none" w:sz="0" w:space="0" w:color="auto"/>
      </w:divBdr>
    </w:div>
    <w:div w:id="625165095">
      <w:bodyDiv w:val="1"/>
      <w:marLeft w:val="0"/>
      <w:marRight w:val="0"/>
      <w:marTop w:val="0"/>
      <w:marBottom w:val="0"/>
      <w:divBdr>
        <w:top w:val="none" w:sz="0" w:space="0" w:color="auto"/>
        <w:left w:val="none" w:sz="0" w:space="0" w:color="auto"/>
        <w:bottom w:val="none" w:sz="0" w:space="0" w:color="auto"/>
        <w:right w:val="none" w:sz="0" w:space="0" w:color="auto"/>
      </w:divBdr>
    </w:div>
    <w:div w:id="645208491">
      <w:bodyDiv w:val="1"/>
      <w:marLeft w:val="0"/>
      <w:marRight w:val="0"/>
      <w:marTop w:val="0"/>
      <w:marBottom w:val="0"/>
      <w:divBdr>
        <w:top w:val="none" w:sz="0" w:space="0" w:color="auto"/>
        <w:left w:val="none" w:sz="0" w:space="0" w:color="auto"/>
        <w:bottom w:val="none" w:sz="0" w:space="0" w:color="auto"/>
        <w:right w:val="none" w:sz="0" w:space="0" w:color="auto"/>
      </w:divBdr>
    </w:div>
    <w:div w:id="687870083">
      <w:bodyDiv w:val="1"/>
      <w:marLeft w:val="0"/>
      <w:marRight w:val="0"/>
      <w:marTop w:val="0"/>
      <w:marBottom w:val="0"/>
      <w:divBdr>
        <w:top w:val="none" w:sz="0" w:space="0" w:color="auto"/>
        <w:left w:val="none" w:sz="0" w:space="0" w:color="auto"/>
        <w:bottom w:val="none" w:sz="0" w:space="0" w:color="auto"/>
        <w:right w:val="none" w:sz="0" w:space="0" w:color="auto"/>
      </w:divBdr>
    </w:div>
    <w:div w:id="729380906">
      <w:bodyDiv w:val="1"/>
      <w:marLeft w:val="0"/>
      <w:marRight w:val="0"/>
      <w:marTop w:val="0"/>
      <w:marBottom w:val="0"/>
      <w:divBdr>
        <w:top w:val="none" w:sz="0" w:space="0" w:color="auto"/>
        <w:left w:val="none" w:sz="0" w:space="0" w:color="auto"/>
        <w:bottom w:val="none" w:sz="0" w:space="0" w:color="auto"/>
        <w:right w:val="none" w:sz="0" w:space="0" w:color="auto"/>
      </w:divBdr>
    </w:div>
    <w:div w:id="813838323">
      <w:bodyDiv w:val="1"/>
      <w:marLeft w:val="0"/>
      <w:marRight w:val="0"/>
      <w:marTop w:val="0"/>
      <w:marBottom w:val="0"/>
      <w:divBdr>
        <w:top w:val="none" w:sz="0" w:space="0" w:color="auto"/>
        <w:left w:val="none" w:sz="0" w:space="0" w:color="auto"/>
        <w:bottom w:val="none" w:sz="0" w:space="0" w:color="auto"/>
        <w:right w:val="none" w:sz="0" w:space="0" w:color="auto"/>
      </w:divBdr>
    </w:div>
    <w:div w:id="841429257">
      <w:bodyDiv w:val="1"/>
      <w:marLeft w:val="0"/>
      <w:marRight w:val="0"/>
      <w:marTop w:val="0"/>
      <w:marBottom w:val="0"/>
      <w:divBdr>
        <w:top w:val="none" w:sz="0" w:space="0" w:color="auto"/>
        <w:left w:val="none" w:sz="0" w:space="0" w:color="auto"/>
        <w:bottom w:val="none" w:sz="0" w:space="0" w:color="auto"/>
        <w:right w:val="none" w:sz="0" w:space="0" w:color="auto"/>
      </w:divBdr>
    </w:div>
    <w:div w:id="875889053">
      <w:bodyDiv w:val="1"/>
      <w:marLeft w:val="0"/>
      <w:marRight w:val="0"/>
      <w:marTop w:val="0"/>
      <w:marBottom w:val="0"/>
      <w:divBdr>
        <w:top w:val="none" w:sz="0" w:space="0" w:color="auto"/>
        <w:left w:val="none" w:sz="0" w:space="0" w:color="auto"/>
        <w:bottom w:val="none" w:sz="0" w:space="0" w:color="auto"/>
        <w:right w:val="none" w:sz="0" w:space="0" w:color="auto"/>
      </w:divBdr>
    </w:div>
    <w:div w:id="922107348">
      <w:bodyDiv w:val="1"/>
      <w:marLeft w:val="0"/>
      <w:marRight w:val="0"/>
      <w:marTop w:val="0"/>
      <w:marBottom w:val="0"/>
      <w:divBdr>
        <w:top w:val="none" w:sz="0" w:space="0" w:color="auto"/>
        <w:left w:val="none" w:sz="0" w:space="0" w:color="auto"/>
        <w:bottom w:val="none" w:sz="0" w:space="0" w:color="auto"/>
        <w:right w:val="none" w:sz="0" w:space="0" w:color="auto"/>
      </w:divBdr>
    </w:div>
    <w:div w:id="938492733">
      <w:bodyDiv w:val="1"/>
      <w:marLeft w:val="0"/>
      <w:marRight w:val="0"/>
      <w:marTop w:val="0"/>
      <w:marBottom w:val="0"/>
      <w:divBdr>
        <w:top w:val="none" w:sz="0" w:space="0" w:color="auto"/>
        <w:left w:val="none" w:sz="0" w:space="0" w:color="auto"/>
        <w:bottom w:val="none" w:sz="0" w:space="0" w:color="auto"/>
        <w:right w:val="none" w:sz="0" w:space="0" w:color="auto"/>
      </w:divBdr>
    </w:div>
    <w:div w:id="1058479696">
      <w:bodyDiv w:val="1"/>
      <w:marLeft w:val="0"/>
      <w:marRight w:val="0"/>
      <w:marTop w:val="0"/>
      <w:marBottom w:val="0"/>
      <w:divBdr>
        <w:top w:val="none" w:sz="0" w:space="0" w:color="auto"/>
        <w:left w:val="none" w:sz="0" w:space="0" w:color="auto"/>
        <w:bottom w:val="none" w:sz="0" w:space="0" w:color="auto"/>
        <w:right w:val="none" w:sz="0" w:space="0" w:color="auto"/>
      </w:divBdr>
    </w:div>
    <w:div w:id="1072389695">
      <w:bodyDiv w:val="1"/>
      <w:marLeft w:val="0"/>
      <w:marRight w:val="0"/>
      <w:marTop w:val="0"/>
      <w:marBottom w:val="0"/>
      <w:divBdr>
        <w:top w:val="none" w:sz="0" w:space="0" w:color="auto"/>
        <w:left w:val="none" w:sz="0" w:space="0" w:color="auto"/>
        <w:bottom w:val="none" w:sz="0" w:space="0" w:color="auto"/>
        <w:right w:val="none" w:sz="0" w:space="0" w:color="auto"/>
      </w:divBdr>
    </w:div>
    <w:div w:id="1088893255">
      <w:bodyDiv w:val="1"/>
      <w:marLeft w:val="0"/>
      <w:marRight w:val="0"/>
      <w:marTop w:val="0"/>
      <w:marBottom w:val="0"/>
      <w:divBdr>
        <w:top w:val="none" w:sz="0" w:space="0" w:color="auto"/>
        <w:left w:val="none" w:sz="0" w:space="0" w:color="auto"/>
        <w:bottom w:val="none" w:sz="0" w:space="0" w:color="auto"/>
        <w:right w:val="none" w:sz="0" w:space="0" w:color="auto"/>
      </w:divBdr>
    </w:div>
    <w:div w:id="1187598435">
      <w:bodyDiv w:val="1"/>
      <w:marLeft w:val="0"/>
      <w:marRight w:val="0"/>
      <w:marTop w:val="0"/>
      <w:marBottom w:val="0"/>
      <w:divBdr>
        <w:top w:val="none" w:sz="0" w:space="0" w:color="auto"/>
        <w:left w:val="none" w:sz="0" w:space="0" w:color="auto"/>
        <w:bottom w:val="none" w:sz="0" w:space="0" w:color="auto"/>
        <w:right w:val="none" w:sz="0" w:space="0" w:color="auto"/>
      </w:divBdr>
    </w:div>
    <w:div w:id="1248610017">
      <w:bodyDiv w:val="1"/>
      <w:marLeft w:val="0"/>
      <w:marRight w:val="0"/>
      <w:marTop w:val="0"/>
      <w:marBottom w:val="0"/>
      <w:divBdr>
        <w:top w:val="none" w:sz="0" w:space="0" w:color="auto"/>
        <w:left w:val="none" w:sz="0" w:space="0" w:color="auto"/>
        <w:bottom w:val="none" w:sz="0" w:space="0" w:color="auto"/>
        <w:right w:val="none" w:sz="0" w:space="0" w:color="auto"/>
      </w:divBdr>
    </w:div>
    <w:div w:id="1282347338">
      <w:bodyDiv w:val="1"/>
      <w:marLeft w:val="0"/>
      <w:marRight w:val="0"/>
      <w:marTop w:val="0"/>
      <w:marBottom w:val="0"/>
      <w:divBdr>
        <w:top w:val="none" w:sz="0" w:space="0" w:color="auto"/>
        <w:left w:val="none" w:sz="0" w:space="0" w:color="auto"/>
        <w:bottom w:val="none" w:sz="0" w:space="0" w:color="auto"/>
        <w:right w:val="none" w:sz="0" w:space="0" w:color="auto"/>
      </w:divBdr>
      <w:divsChild>
        <w:div w:id="791174212">
          <w:marLeft w:val="432"/>
          <w:marRight w:val="0"/>
          <w:marTop w:val="72"/>
          <w:marBottom w:val="0"/>
          <w:divBdr>
            <w:top w:val="none" w:sz="0" w:space="0" w:color="auto"/>
            <w:left w:val="none" w:sz="0" w:space="0" w:color="auto"/>
            <w:bottom w:val="none" w:sz="0" w:space="0" w:color="auto"/>
            <w:right w:val="none" w:sz="0" w:space="0" w:color="auto"/>
          </w:divBdr>
        </w:div>
      </w:divsChild>
    </w:div>
    <w:div w:id="1317103279">
      <w:bodyDiv w:val="1"/>
      <w:marLeft w:val="0"/>
      <w:marRight w:val="0"/>
      <w:marTop w:val="0"/>
      <w:marBottom w:val="0"/>
      <w:divBdr>
        <w:top w:val="none" w:sz="0" w:space="0" w:color="auto"/>
        <w:left w:val="none" w:sz="0" w:space="0" w:color="auto"/>
        <w:bottom w:val="none" w:sz="0" w:space="0" w:color="auto"/>
        <w:right w:val="none" w:sz="0" w:space="0" w:color="auto"/>
      </w:divBdr>
    </w:div>
    <w:div w:id="1360231688">
      <w:bodyDiv w:val="1"/>
      <w:marLeft w:val="0"/>
      <w:marRight w:val="0"/>
      <w:marTop w:val="0"/>
      <w:marBottom w:val="0"/>
      <w:divBdr>
        <w:top w:val="none" w:sz="0" w:space="0" w:color="auto"/>
        <w:left w:val="none" w:sz="0" w:space="0" w:color="auto"/>
        <w:bottom w:val="none" w:sz="0" w:space="0" w:color="auto"/>
        <w:right w:val="none" w:sz="0" w:space="0" w:color="auto"/>
      </w:divBdr>
    </w:div>
    <w:div w:id="1418210844">
      <w:bodyDiv w:val="1"/>
      <w:marLeft w:val="0"/>
      <w:marRight w:val="0"/>
      <w:marTop w:val="0"/>
      <w:marBottom w:val="0"/>
      <w:divBdr>
        <w:top w:val="none" w:sz="0" w:space="0" w:color="auto"/>
        <w:left w:val="none" w:sz="0" w:space="0" w:color="auto"/>
        <w:bottom w:val="none" w:sz="0" w:space="0" w:color="auto"/>
        <w:right w:val="none" w:sz="0" w:space="0" w:color="auto"/>
      </w:divBdr>
    </w:div>
    <w:div w:id="1426196613">
      <w:bodyDiv w:val="1"/>
      <w:marLeft w:val="0"/>
      <w:marRight w:val="0"/>
      <w:marTop w:val="0"/>
      <w:marBottom w:val="0"/>
      <w:divBdr>
        <w:top w:val="none" w:sz="0" w:space="0" w:color="auto"/>
        <w:left w:val="none" w:sz="0" w:space="0" w:color="auto"/>
        <w:bottom w:val="none" w:sz="0" w:space="0" w:color="auto"/>
        <w:right w:val="none" w:sz="0" w:space="0" w:color="auto"/>
      </w:divBdr>
    </w:div>
    <w:div w:id="1437166593">
      <w:bodyDiv w:val="1"/>
      <w:marLeft w:val="0"/>
      <w:marRight w:val="0"/>
      <w:marTop w:val="0"/>
      <w:marBottom w:val="0"/>
      <w:divBdr>
        <w:top w:val="none" w:sz="0" w:space="0" w:color="auto"/>
        <w:left w:val="none" w:sz="0" w:space="0" w:color="auto"/>
        <w:bottom w:val="none" w:sz="0" w:space="0" w:color="auto"/>
        <w:right w:val="none" w:sz="0" w:space="0" w:color="auto"/>
      </w:divBdr>
    </w:div>
    <w:div w:id="1438020060">
      <w:bodyDiv w:val="1"/>
      <w:marLeft w:val="0"/>
      <w:marRight w:val="0"/>
      <w:marTop w:val="0"/>
      <w:marBottom w:val="0"/>
      <w:divBdr>
        <w:top w:val="none" w:sz="0" w:space="0" w:color="auto"/>
        <w:left w:val="none" w:sz="0" w:space="0" w:color="auto"/>
        <w:bottom w:val="none" w:sz="0" w:space="0" w:color="auto"/>
        <w:right w:val="none" w:sz="0" w:space="0" w:color="auto"/>
      </w:divBdr>
    </w:div>
    <w:div w:id="1446459895">
      <w:bodyDiv w:val="1"/>
      <w:marLeft w:val="0"/>
      <w:marRight w:val="0"/>
      <w:marTop w:val="0"/>
      <w:marBottom w:val="0"/>
      <w:divBdr>
        <w:top w:val="none" w:sz="0" w:space="0" w:color="auto"/>
        <w:left w:val="none" w:sz="0" w:space="0" w:color="auto"/>
        <w:bottom w:val="none" w:sz="0" w:space="0" w:color="auto"/>
        <w:right w:val="none" w:sz="0" w:space="0" w:color="auto"/>
      </w:divBdr>
    </w:div>
    <w:div w:id="1525902948">
      <w:bodyDiv w:val="1"/>
      <w:marLeft w:val="0"/>
      <w:marRight w:val="0"/>
      <w:marTop w:val="0"/>
      <w:marBottom w:val="0"/>
      <w:divBdr>
        <w:top w:val="none" w:sz="0" w:space="0" w:color="auto"/>
        <w:left w:val="none" w:sz="0" w:space="0" w:color="auto"/>
        <w:bottom w:val="none" w:sz="0" w:space="0" w:color="auto"/>
        <w:right w:val="none" w:sz="0" w:space="0" w:color="auto"/>
      </w:divBdr>
    </w:div>
    <w:div w:id="1548956403">
      <w:bodyDiv w:val="1"/>
      <w:marLeft w:val="0"/>
      <w:marRight w:val="0"/>
      <w:marTop w:val="0"/>
      <w:marBottom w:val="0"/>
      <w:divBdr>
        <w:top w:val="none" w:sz="0" w:space="0" w:color="auto"/>
        <w:left w:val="none" w:sz="0" w:space="0" w:color="auto"/>
        <w:bottom w:val="none" w:sz="0" w:space="0" w:color="auto"/>
        <w:right w:val="none" w:sz="0" w:space="0" w:color="auto"/>
      </w:divBdr>
    </w:div>
    <w:div w:id="1657957072">
      <w:bodyDiv w:val="1"/>
      <w:marLeft w:val="0"/>
      <w:marRight w:val="0"/>
      <w:marTop w:val="0"/>
      <w:marBottom w:val="0"/>
      <w:divBdr>
        <w:top w:val="none" w:sz="0" w:space="0" w:color="auto"/>
        <w:left w:val="none" w:sz="0" w:space="0" w:color="auto"/>
        <w:bottom w:val="none" w:sz="0" w:space="0" w:color="auto"/>
        <w:right w:val="none" w:sz="0" w:space="0" w:color="auto"/>
      </w:divBdr>
    </w:div>
    <w:div w:id="1706060928">
      <w:bodyDiv w:val="1"/>
      <w:marLeft w:val="0"/>
      <w:marRight w:val="0"/>
      <w:marTop w:val="0"/>
      <w:marBottom w:val="0"/>
      <w:divBdr>
        <w:top w:val="none" w:sz="0" w:space="0" w:color="auto"/>
        <w:left w:val="none" w:sz="0" w:space="0" w:color="auto"/>
        <w:bottom w:val="none" w:sz="0" w:space="0" w:color="auto"/>
        <w:right w:val="none" w:sz="0" w:space="0" w:color="auto"/>
      </w:divBdr>
      <w:divsChild>
        <w:div w:id="1970091174">
          <w:marLeft w:val="0"/>
          <w:marRight w:val="0"/>
          <w:marTop w:val="0"/>
          <w:marBottom w:val="0"/>
          <w:divBdr>
            <w:top w:val="none" w:sz="0" w:space="0" w:color="auto"/>
            <w:left w:val="none" w:sz="0" w:space="0" w:color="auto"/>
            <w:bottom w:val="none" w:sz="0" w:space="0" w:color="auto"/>
            <w:right w:val="none" w:sz="0" w:space="0" w:color="auto"/>
          </w:divBdr>
          <w:divsChild>
            <w:div w:id="1005938401">
              <w:marLeft w:val="0"/>
              <w:marRight w:val="0"/>
              <w:marTop w:val="0"/>
              <w:marBottom w:val="0"/>
              <w:divBdr>
                <w:top w:val="none" w:sz="0" w:space="0" w:color="auto"/>
                <w:left w:val="none" w:sz="0" w:space="0" w:color="auto"/>
                <w:bottom w:val="none" w:sz="0" w:space="0" w:color="auto"/>
                <w:right w:val="none" w:sz="0" w:space="0" w:color="auto"/>
              </w:divBdr>
              <w:divsChild>
                <w:div w:id="5772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90393">
      <w:bodyDiv w:val="1"/>
      <w:marLeft w:val="0"/>
      <w:marRight w:val="0"/>
      <w:marTop w:val="0"/>
      <w:marBottom w:val="0"/>
      <w:divBdr>
        <w:top w:val="none" w:sz="0" w:space="0" w:color="auto"/>
        <w:left w:val="none" w:sz="0" w:space="0" w:color="auto"/>
        <w:bottom w:val="none" w:sz="0" w:space="0" w:color="auto"/>
        <w:right w:val="none" w:sz="0" w:space="0" w:color="auto"/>
      </w:divBdr>
    </w:div>
    <w:div w:id="1850677368">
      <w:bodyDiv w:val="1"/>
      <w:marLeft w:val="0"/>
      <w:marRight w:val="0"/>
      <w:marTop w:val="0"/>
      <w:marBottom w:val="0"/>
      <w:divBdr>
        <w:top w:val="none" w:sz="0" w:space="0" w:color="auto"/>
        <w:left w:val="none" w:sz="0" w:space="0" w:color="auto"/>
        <w:bottom w:val="none" w:sz="0" w:space="0" w:color="auto"/>
        <w:right w:val="none" w:sz="0" w:space="0" w:color="auto"/>
      </w:divBdr>
    </w:div>
    <w:div w:id="1899971452">
      <w:bodyDiv w:val="1"/>
      <w:marLeft w:val="0"/>
      <w:marRight w:val="0"/>
      <w:marTop w:val="0"/>
      <w:marBottom w:val="0"/>
      <w:divBdr>
        <w:top w:val="none" w:sz="0" w:space="0" w:color="auto"/>
        <w:left w:val="none" w:sz="0" w:space="0" w:color="auto"/>
        <w:bottom w:val="none" w:sz="0" w:space="0" w:color="auto"/>
        <w:right w:val="none" w:sz="0" w:space="0" w:color="auto"/>
      </w:divBdr>
    </w:div>
    <w:div w:id="1904677575">
      <w:bodyDiv w:val="1"/>
      <w:marLeft w:val="0"/>
      <w:marRight w:val="0"/>
      <w:marTop w:val="0"/>
      <w:marBottom w:val="0"/>
      <w:divBdr>
        <w:top w:val="none" w:sz="0" w:space="0" w:color="auto"/>
        <w:left w:val="none" w:sz="0" w:space="0" w:color="auto"/>
        <w:bottom w:val="none" w:sz="0" w:space="0" w:color="auto"/>
        <w:right w:val="none" w:sz="0" w:space="0" w:color="auto"/>
      </w:divBdr>
    </w:div>
    <w:div w:id="1931573628">
      <w:bodyDiv w:val="1"/>
      <w:marLeft w:val="0"/>
      <w:marRight w:val="0"/>
      <w:marTop w:val="0"/>
      <w:marBottom w:val="0"/>
      <w:divBdr>
        <w:top w:val="none" w:sz="0" w:space="0" w:color="auto"/>
        <w:left w:val="none" w:sz="0" w:space="0" w:color="auto"/>
        <w:bottom w:val="none" w:sz="0" w:space="0" w:color="auto"/>
        <w:right w:val="none" w:sz="0" w:space="0" w:color="auto"/>
      </w:divBdr>
    </w:div>
    <w:div w:id="1947809401">
      <w:bodyDiv w:val="1"/>
      <w:marLeft w:val="0"/>
      <w:marRight w:val="0"/>
      <w:marTop w:val="0"/>
      <w:marBottom w:val="0"/>
      <w:divBdr>
        <w:top w:val="none" w:sz="0" w:space="0" w:color="auto"/>
        <w:left w:val="none" w:sz="0" w:space="0" w:color="auto"/>
        <w:bottom w:val="none" w:sz="0" w:space="0" w:color="auto"/>
        <w:right w:val="none" w:sz="0" w:space="0" w:color="auto"/>
      </w:divBdr>
    </w:div>
    <w:div w:id="2012445022">
      <w:bodyDiv w:val="1"/>
      <w:marLeft w:val="0"/>
      <w:marRight w:val="0"/>
      <w:marTop w:val="0"/>
      <w:marBottom w:val="0"/>
      <w:divBdr>
        <w:top w:val="none" w:sz="0" w:space="0" w:color="auto"/>
        <w:left w:val="none" w:sz="0" w:space="0" w:color="auto"/>
        <w:bottom w:val="none" w:sz="0" w:space="0" w:color="auto"/>
        <w:right w:val="none" w:sz="0" w:space="0" w:color="auto"/>
      </w:divBdr>
    </w:div>
    <w:div w:id="211566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17b46552-d8b0-4a09-8203-d52bd02ecc12">Not Started</EC_Collab_Status>
    <_Status xmlns="http://schemas.microsoft.com/sharepoint/v3/fields">Not Started</_Status>
    <EC_Collab_Reference xmlns="17b46552-d8b0-4a09-8203-d52bd02ecc12" xsi:nil="true"/>
    <EC_Collab_DocumentLanguage xmlns="17b46552-d8b0-4a09-8203-d52bd02ecc12">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E4784CB7A28D3C4488AA7E5C40997F0C" ma:contentTypeVersion="0" ma:contentTypeDescription="Create a new document in this library." ma:contentTypeScope="" ma:versionID="87f420ba1f11c7aec4d310e74a2aaba0">
  <xsd:schema xmlns:xsd="http://www.w3.org/2001/XMLSchema" xmlns:xs="http://www.w3.org/2001/XMLSchema" xmlns:p="http://schemas.microsoft.com/office/2006/metadata/properties" xmlns:ns2="http://schemas.microsoft.com/sharepoint/v3/fields" xmlns:ns3="17b46552-d8b0-4a09-8203-d52bd02ecc12" targetNamespace="http://schemas.microsoft.com/office/2006/metadata/properties" ma:root="true" ma:fieldsID="506a4dc83becbeaf627cebdd8d251707" ns2:_="" ns3:_="">
    <xsd:import namespace="http://schemas.microsoft.com/sharepoint/v3/fields"/>
    <xsd:import namespace="17b46552-d8b0-4a09-8203-d52bd02ecc1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7b46552-d8b0-4a09-8203-d52bd02ecc1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D0424-62BD-4E1C-A348-325CB2239395}">
  <ds:schemaRefs>
    <ds:schemaRef ds:uri="http://schemas.microsoft.com/office/2006/metadata/properties"/>
    <ds:schemaRef ds:uri="http://schemas.microsoft.com/office/2006/documentManagement/types"/>
    <ds:schemaRef ds:uri="http://schemas.microsoft.com/sharepoint/v3/field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17b46552-d8b0-4a09-8203-d52bd02ecc12"/>
    <ds:schemaRef ds:uri="http://purl.org/dc/dcmitype/"/>
  </ds:schemaRefs>
</ds:datastoreItem>
</file>

<file path=customXml/itemProps2.xml><?xml version="1.0" encoding="utf-8"?>
<ds:datastoreItem xmlns:ds="http://schemas.openxmlformats.org/officeDocument/2006/customXml" ds:itemID="{1309136E-8F95-4153-A9D0-499768384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7b46552-d8b0-4a09-8203-d52bd02e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961D97-9D51-41C2-9284-0FCD455D0586}">
  <ds:schemaRefs>
    <ds:schemaRef ds:uri="http://schemas.microsoft.com/sharepoint/v3/contenttype/forms"/>
  </ds:schemaRefs>
</ds:datastoreItem>
</file>

<file path=customXml/itemProps4.xml><?xml version="1.0" encoding="utf-8"?>
<ds:datastoreItem xmlns:ds="http://schemas.openxmlformats.org/officeDocument/2006/customXml" ds:itemID="{2B911A7C-1F53-4F5F-B469-0C75534F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3170</Words>
  <Characters>18547</Characters>
  <Application>Microsoft Office Word</Application>
  <DocSecurity>0</DocSecurity>
  <Lines>304</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21669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2017-03-01T08:30:00Z</dcterms:created>
  <dcterms:modified xsi:type="dcterms:W3CDTF">2017-03-27T10:53:00Z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ContentTypeId">
    <vt:lpwstr>0x010100258AA79CEB83498886A3A0868112325000E4784CB7A28D3C4488AA7E5C40997F0C</vt:lpwstr>
  </property>
</Properties>
</file>