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0FEC234F9BE4471967548201196567C" style="width:450.65pt;height:502.2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Príloha 4: Presídľovanie – súčasný stav k 27. februáru 2017, podľa záverov z 20. júla 2015 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 xml:space="preserve">a podľa „mechanizmu 1:1“ s Tureckom (uplatňovaného od 4. apríla 2016)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252"/>
        <w:gridCol w:w="2953"/>
        <w:gridCol w:w="3401"/>
      </w:tblGrid>
      <w:tr>
        <w:trPr>
          <w:tblHeader/>
          <w:jc w:val="center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Členský štát 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Pridružený štát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Prísľuby v rámci systému z 20. júla 2015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Spolu presídlených v rámci systému z 20. júla 2015 vrátane mechanizmu 1:1 s Tureckom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Tretia krajina, z ktorej boli osoby presídlené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Rakúsko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1643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Libanon: 886; Jordánsko: 573; Turecko: 183; Irak: 1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Belgicko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1100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597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439;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Turecko: </w:t>
            </w:r>
            <w:r>
              <w:rPr>
                <w:rFonts w:ascii="Times New Roman" w:hAnsi="Times New Roman"/>
                <w:noProof/>
                <w:sz w:val="24"/>
              </w:rPr>
              <w:t xml:space="preserve">106 (z toho </w:t>
            </w:r>
            <w:r>
              <w:rPr>
                <w:rFonts w:ascii="Times New Roman" w:hAnsi="Times New Roman"/>
                <w:b/>
                <w:noProof/>
                <w:sz w:val="24"/>
              </w:rPr>
              <w:t>102 podľa mechanizmu 1:1)</w:t>
            </w:r>
            <w:r>
              <w:rPr>
                <w:rFonts w:ascii="Times New Roman" w:hAnsi="Times New Roman"/>
                <w:noProof/>
                <w:sz w:val="24"/>
              </w:rPr>
              <w:t>; Jordánsko: 28; Egypt: 24;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Bulharsko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Chorvátsko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Cyprus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Česká republika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Libanon: 32; Jordánsko: 20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Dánsko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481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Libanon, Uganda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Estónsko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20 podľa mechanizmu 1:1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Fínsko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2"/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3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245; Egypt: 37; Jordánsko: 4; Irak: 3; Jemen: 2; Izrael: 2;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Turecko: 248 podľa mechanizmu 1:1, mimo rámca systému z 20. júla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Francúzsko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2375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1200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522 podľa mechanizmu 1:1 (z toho 228 v rámci systému z 20. júla a 261 mimo rámca systému z 20. júla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4"/>
              </w:rPr>
              <w:footnoteReference w:id="4"/>
            </w:r>
            <w:r>
              <w:rPr>
                <w:rFonts w:ascii="Times New Roman" w:hAnsi="Times New Roman"/>
                <w:b/>
                <w:noProof/>
                <w:sz w:val="24"/>
              </w:rPr>
              <w:t>);</w:t>
            </w:r>
            <w:r>
              <w:rPr>
                <w:rFonts w:ascii="Times New Roman" w:hAnsi="Times New Roman"/>
                <w:noProof/>
                <w:sz w:val="24"/>
              </w:rPr>
              <w:t xml:space="preserve"> Libanon: 513; Jordánsko: 362; Irak: 8; ostatné: 89 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Nemecko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1600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1403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1403 podľa mechanizmu 1:1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Grécko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354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Maďarsko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Island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5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Libanon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Írsko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6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Taliansko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1989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673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490;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Turecko: 117 podľa mechanizmu 1:1;</w:t>
            </w:r>
            <w:r>
              <w:rPr>
                <w:rFonts w:ascii="Times New Roman" w:hAnsi="Times New Roman"/>
                <w:noProof/>
                <w:sz w:val="24"/>
              </w:rPr>
              <w:t xml:space="preserve"> Sudán: 48; Jordánsko: 18 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Lotyšsko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10 podľa mechanizmu 1:1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Lichtenštajnsko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Turecko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lastRenderedPageBreak/>
              <w:t>Litva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Turecko: 25 podľa mechanizmu 1:1 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Luxembursko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7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98 podľa mechanizmu 1:1, mimo rámca systému z 20. júla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Malta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Holandsko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Turecko: 673 podľa mechanizmu 1:1 (z toho 556 v rámci systému z 20. júla a 117 mimo rámca systému z 20. júla); </w:t>
            </w:r>
            <w:r>
              <w:rPr>
                <w:rFonts w:ascii="Times New Roman" w:hAnsi="Times New Roman"/>
                <w:noProof/>
                <w:sz w:val="24"/>
              </w:rPr>
              <w:t>Turecko 7; Libanon: 341; Keňa: 70; Etiópia: 8; Jordánsko: 7; Líbya: 4; Izrael: 2; Irak, Maroko, Egypt, Saudská Arábia, Sýria: 1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Nórsko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3500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2924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Libanon: 2552; Turecko: 351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8"/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 (z toho 150 od 4. apríla 2016); Jordánsko: 21; 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Poľsko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Portugalsko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12 podľa mechanizmu 1:1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Rumunsko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Slovensko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Slovinsko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Španielsko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1449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289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232;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Turecko: 57 podľa mechanizmu 1:1; 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Švédsko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278 podľa mechanizmu 1:1 (z toho 269 v rámci systému z 20. júla);</w:t>
            </w:r>
            <w:r>
              <w:rPr>
                <w:rFonts w:ascii="Times New Roman" w:hAnsi="Times New Roman"/>
                <w:noProof/>
                <w:sz w:val="24"/>
              </w:rPr>
              <w:t xml:space="preserve"> Sudán: 124; Keňa: 80; Libanon: 8; Irak: 8; Egypt: 1; Jordánsko: 1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Švajčiarsko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Libanon: 431; Sýria: 88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Spojené kráľovstvo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2200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2200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Jordánsko, Libanon, Turecko, Egypt, Irak a iné</w:t>
            </w:r>
          </w:p>
        </w:tc>
      </w:tr>
      <w:tr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SPOLU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22504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14422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Spolu bolo podľa mechanizmu 1:1 presídlených z Turecka 3565 osôb; z nich 2799 v rámci systému z 20. júla 2015.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Tento počet je súčasťou fínskej vnútroštátnej kvóty na rok 2016 – presídliť sa má 750 osôb.</w:t>
      </w:r>
    </w:p>
  </w:footnote>
  <w:footnote w:id="3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Tento počet nezahŕňa 248 Sýrčanov presídlených z Turecka podľa mechanizmu 1:1, ktorí boli presídlení v rámci fínskeho vnútroštátneho programu.</w:t>
      </w:r>
    </w:p>
  </w:footnote>
  <w:footnote w:id="4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261 Sýrčanov presídlených z Turecka mimo rámca systému z 20. júla sa započítava podľa rozhodnutia (EÚ) 2016/1754.</w:t>
      </w:r>
    </w:p>
  </w:footnote>
  <w:footnote w:id="5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Island presídlil celkovo 97 osôb; všetky z Libanonu.</w:t>
      </w:r>
    </w:p>
  </w:footnote>
  <w:footnote w:id="6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Írsko bude naďalej prijímať ďalších ľudí, ktorí potrebujú medzinárodnú ochranu podľa vnútroštátneho programu presídľovania.</w:t>
      </w:r>
    </w:p>
  </w:footnote>
  <w:footnote w:id="7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16"/>
        </w:rPr>
        <w:t>Hoci sa podľa záverov z 20. júla 2015 dosiaľ neuskutočnilo žiadne presídlenie, 98 Sýrčanov presídlených v rámci v luxemburského vnútroštátneho programu podľa mechanizmu 1:1 sa započítava podľa rozhodnutia (EÚ) 2016/1754.</w:t>
      </w:r>
    </w:p>
  </w:footnote>
  <w:footnote w:id="8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Od 4. apríla 2016 Nórsko presídlilo z Turecka 150 Sýrčanov, pričom uplatnilo štandardné operačné postupy pre presídlenie dohodnuté s Tureckom v rámci mechanizmu 1:1.</w:t>
      </w:r>
      <w:r>
        <w:t xml:space="preserve"> </w:t>
      </w:r>
      <w:r>
        <w:rPr>
          <w:rFonts w:ascii="Times New Roman" w:hAnsi="Times New Roman"/>
          <w:sz w:val="16"/>
        </w:rPr>
        <w:t>Počet presídlení do Nórska v rámci mechanizmu 1:1 sa nezapočítava do návratov Sýrčanov z Grécka.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k"/>
    <w:docVar w:name="LW_ANNEX_NBR_FIRST" w:val="4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10FEC234F9BE4471967548201196567C"/>
    <w:docVar w:name="LW_CROSSREFERENCE" w:val="&lt;UNUSED&gt;"/>
    <w:docVar w:name="LW_DocType" w:val="NORMAL"/>
    <w:docVar w:name="LW_EMISSION" w:val="2. 3. 2017"/>
    <w:docVar w:name="LW_EMISSION_ISODATE" w:val="2017-03-02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Desiata správa o premiest\u328?ovaní a presíd\u318?ovaní_x000b__x000b_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PRÍLOHA_x000b_"/>
    <w:docVar w:name="LW_TYPEACTEPRINCIPAL.CP" w:val="SPRÁVE KOMISIE EURÓPSKEMU PARLAMENTU, EURÓPSKEJ RADE A RADE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632A-5407-43A6-AE38-F1A1F9C01E0C}">
  <ds:schemaRefs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47eefe9a-f81e-47cf-b703-dc75e53a6b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C56D1-4297-4DC2-972C-FB8197E6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421</Words>
  <Characters>2054</Characters>
  <Application>Microsoft Office Word</Application>
  <DocSecurity>0</DocSecurity>
  <Lines>205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18</cp:revision>
  <cp:lastPrinted>2017-02-28T16:39:00Z</cp:lastPrinted>
  <dcterms:created xsi:type="dcterms:W3CDTF">2017-02-28T16:39:00Z</dcterms:created>
  <dcterms:modified xsi:type="dcterms:W3CDTF">2017-03-27T10:57:00Z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