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0AED6CFB094453C89D7812947337AC1" style="width:450.5pt;height:474.9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Anexa 4: Situația privind relocarea la data de 27 februarie 2017, în temeiul concluziilor din 20 iulie 2015 și al „mecanismului 1:1” convenit cu Turcia (în vigoare din 4 aprilie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Stat membru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Stat asociat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Angajamente asumate în cadrul mecanismului de relocare din 20 iulie 2015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Numărul total de relocări efectuate în cadrul mecanismului din 20 iulie 2015 și al mecanismului 1:1 convenit cu Turcia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Țara terță din care s-a efectuat relocarea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Austria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1 643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Liban: 886; Iordania: 573 Turcia: 183; Irak: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Belgia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597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439;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Turcia: </w:t>
            </w:r>
            <w:r>
              <w:rPr>
                <w:rFonts w:ascii="Times New Roman" w:hAnsi="Times New Roman"/>
                <w:noProof/>
                <w:sz w:val="24"/>
              </w:rPr>
              <w:t>106 (din care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102 în cadrul mecanismului 1:1)</w:t>
            </w:r>
            <w:r>
              <w:rPr>
                <w:rFonts w:ascii="Times New Roman" w:hAnsi="Times New Roman"/>
                <w:noProof/>
                <w:sz w:val="24"/>
              </w:rPr>
              <w:t>; Iordania: 28; Egipt: 24;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Bulgaria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Croația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Cipru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Republica Cehă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Liban: 32; Iordania: 20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Danemarca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Liban, Uganda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Estonia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20 în cadrul mecanismului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Finlanda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245; Egipt: 37; Iordania: 4; Irak: 3; Yemen: 2; Israel 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Turcia: 248 în cadrul mecanismului 1:1, în afara mecanismului de relocare din 20 iulie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Franța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2 375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522 în cadrul mecanismului 1:1 (228 în cadrul mecanismului de relocare din 20 iulie și 261 în afara acestui mecanism din 20 iulie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4"/>
            </w:r>
            <w:r>
              <w:rPr>
                <w:rFonts w:ascii="Times New Roman" w:hAnsi="Times New Roman"/>
                <w:b/>
                <w:noProof/>
                <w:sz w:val="24"/>
              </w:rPr>
              <w:t>)</w:t>
            </w:r>
            <w:r>
              <w:rPr>
                <w:rFonts w:ascii="Times New Roman" w:hAnsi="Times New Roman"/>
                <w:noProof/>
                <w:sz w:val="24"/>
              </w:rPr>
              <w:t xml:space="preserve">; Liban: 513; Iordania: 362; Irak: 8; altele: 89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Germania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1 403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1 403 în cadrul mecanismului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Grecia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Ungaria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Islanda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5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Irlanda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Italia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673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490;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Turcia: 117 în cadrul mecanismului 1:1</w:t>
            </w:r>
            <w:r>
              <w:rPr>
                <w:rFonts w:ascii="Times New Roman" w:hAnsi="Times New Roman"/>
                <w:noProof/>
                <w:sz w:val="24"/>
              </w:rPr>
              <w:t xml:space="preserve"> Sudan: 48; Iordania: 18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Letonia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10 în cadrul mecanismului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Liechtenstein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Turcia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Lituania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Turcia: 25 în cadrul mecanismului 1:1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Luxemburg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98 în cadrul mecanismului 1:1, în afara mecanismului de relocare din 20 iulie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Malta: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Țările de Jos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1 000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Turcia: 673 în cadrul mecanismului 1:1 (556 în cadrul mecanismului de relocare din 20 iulie și 117 în afara acestui mecanism din 20 iulie); </w:t>
            </w:r>
            <w:r>
              <w:rPr>
                <w:rFonts w:ascii="Times New Roman" w:hAnsi="Times New Roman"/>
                <w:noProof/>
                <w:sz w:val="24"/>
              </w:rPr>
              <w:t>Turcia 7; Liban: 341; Kenia: 70; Etiopia: 8; Iordania: 7; Libia: 4; Israel; 2; Irak, Maroc, Egipt, Arabia Saudită, Siria: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Norvegia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3 500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2 924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Liban: 2 552; Turcia: 351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8"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</w:rPr>
              <w:t>(dintre care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</w:rPr>
              <w:t>150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de la data de 4 aprilie 2016); Iordania: 21;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Polonia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Portugalia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12 în cadrul mecanismului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România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Slovacia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Slovenia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232;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Turcia: 57 în cadrul mecanismului 1:1</w:t>
            </w:r>
            <w:r>
              <w:rPr>
                <w:rFonts w:ascii="Times New Roman" w:hAnsi="Times New Roman"/>
                <w:noProof/>
                <w:sz w:val="24"/>
              </w:rPr>
              <w:t>;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Suedia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Turcia: 278 în cadrul mecanismului 1:1 (dintre care 269 în cadrul mecanismului de relocare din 20 iulie);</w:t>
            </w:r>
            <w:r>
              <w:rPr>
                <w:rFonts w:ascii="Times New Roman" w:hAnsi="Times New Roman"/>
                <w:noProof/>
                <w:sz w:val="24"/>
              </w:rPr>
              <w:t xml:space="preserve"> Sudan: 124; Kenia: 80; Liban: 8; Irak: 8; Egipt: 1; Iordania: 1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Elveția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Liban: 431; Siria: 88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Regatul Unit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2 200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2 200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Iordania, Liban, Turcia, Egipt, Irak și altele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22 504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14 422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Un număr total de 3 565 de persoane au fost relocate din Turcia în cadrul mecanismului 1:1; dintre care 2 799 în cadrul mecanismului de relocare din 20 iulie 2015.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Această cifră reprezintă o parte a cotei naționale a Finlandei de 750 de relocări pentru 2016.</w:t>
      </w:r>
    </w:p>
  </w:footnote>
  <w:footnote w:id="3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Această cifră nu îi include pe cei 248 de sirieni relocați din Turcia în cadrul mecanismului 1:1 prin programul național finlandez.</w:t>
      </w:r>
    </w:p>
  </w:footnote>
  <w:footnote w:id="4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Cei 261 de sirieni relocați din Turcia în afara mecanismului din 20 iulie se calculează în conformitate cu Decizia (UE) 2016/1754.</w:t>
      </w:r>
    </w:p>
  </w:footnote>
  <w:footnote w:id="5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Islanda a relocat un număr total de 97 de persoane; toate din Liban.</w:t>
      </w:r>
    </w:p>
  </w:footnote>
  <w:footnote w:id="6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Irlanda va continua să primească persoane suplimentare care au nevoie de protecție internațională, în temeiul programului național de relocare a acestora.</w:t>
      </w:r>
    </w:p>
  </w:footnote>
  <w:footnote w:id="7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6"/>
        </w:rPr>
        <w:t>Deși în temeiul Concluziilor din 20 iulie 2015 nu a avut loc încă nicio relocare, 98 de sirieni au fost relocați în temeiul programului național al Luxemburgului în cadrul mecanismului 1:1 și sunt luați în calcul în conformitate cu Decizia (UE) 2016/1754.</w:t>
      </w:r>
    </w:p>
  </w:footnote>
  <w:footnote w:id="8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Norvegia a relocat 150 de sirieni din Turcia începând cu 4 aprilie 2016, aplicând procedurile standard de operare pentru relocare convenite cu Turcia în cadrul mecanismului 1:1.</w:t>
      </w:r>
      <w:r>
        <w:t xml:space="preserve"> </w:t>
      </w:r>
      <w:r>
        <w:rPr>
          <w:rFonts w:ascii="Times New Roman" w:hAnsi="Times New Roman"/>
          <w:sz w:val="16"/>
        </w:rPr>
        <w:t>Numărul de relocări în Norvegia în cadrul mecanismului 1:1 nu se deduce din numărul de sirieni returnați din Grecia.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a"/>
    <w:docVar w:name="LW_ANNEX_NBR_FIRST" w:val="4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20AED6CFB094453C89D7812947337AC1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RO"/>
    <w:docVar w:name="LW_MARKING" w:val="&lt;EMPTY&gt;"/>
    <w:docVar w:name="LW_NOM.INST" w:val="COMISIA EUROPEAN\u258?"/>
    <w:docVar w:name="LW_NOM.INST_JOINTDOC" w:val="&lt;EMPTY&gt;"/>
    <w:docVar w:name="LW_OBJETACTEPRINCIPAL.CP" w:val="Al zecelea raport privind transferul \u537?i relocarea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EX\u258?_x000b_"/>
    <w:docVar w:name="LW_TYPEACTEPRINCIPAL.CP" w:val="RAPORTUL COMISIEI C\u258?TRE PARLAMENTUL EUROPEAN, CONSILIUL EUROPEAN \u536?I CONSILIU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7eefe9a-f81e-47cf-b703-dc75e53a6b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5E273-4B91-4005-B270-7DD704B6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490</Words>
  <Characters>2264</Characters>
  <Application>Microsoft Office Word</Application>
  <DocSecurity>0</DocSecurity>
  <Lines>226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19</cp:revision>
  <cp:lastPrinted>2017-02-28T16:39:00Z</cp:lastPrinted>
  <dcterms:created xsi:type="dcterms:W3CDTF">2017-02-28T16:39:00Z</dcterms:created>
  <dcterms:modified xsi:type="dcterms:W3CDTF">2017-03-27T10:56:00Z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