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732D6713736412AB159B04D7702F773" style="width:450pt;height:489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60"/>
        </w:sectPr>
      </w:pPr>
    </w:p>
    <w:p>
      <w:pPr>
        <w:spacing w:after="120"/>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Anexo 4: Situação existente em termos de reinstalação em 27 de fevereiro de 2017, ao abrigo das conclusões do Conselho de 20 de julho de 2015 </w:t>
      </w:r>
      <w:r>
        <w:rPr>
          <w:rFonts w:ascii="Times New Roman" w:hAnsi="Times New Roman"/>
          <w:b/>
          <w:noProof/>
          <w:sz w:val="24"/>
          <w:szCs w:val="24"/>
        </w:rPr>
        <w:br/>
        <w:t xml:space="preserve">e do «regime 1:1» com a Turquia (em vigor desde 4 de abril de 2016)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79"/>
        <w:gridCol w:w="2970"/>
        <w:gridCol w:w="3126"/>
      </w:tblGrid>
      <w:tr>
        <w:trPr>
          <w:tblHeader/>
          <w:jc w:val="center"/>
        </w:trPr>
        <w:tc>
          <w:tcPr>
            <w:tcW w:w="1173" w:type="pct"/>
            <w:tcBorders>
              <w:bottom w:val="single" w:sz="4" w:space="0" w:color="auto"/>
            </w:tcBorders>
            <w:shd w:val="clear" w:color="auto" w:fill="C6D9F1" w:themeFill="text2" w:themeFillTint="33"/>
            <w:vAlign w:val="center"/>
          </w:tcPr>
          <w:p>
            <w:pPr>
              <w:spacing w:after="60" w:line="240" w:lineRule="auto"/>
              <w:jc w:val="center"/>
              <w:rPr>
                <w:rFonts w:ascii="Times New Roman" w:eastAsia="Times New Roman" w:hAnsi="Times New Roman" w:cs="Times New Roman"/>
                <w:b/>
                <w:bCs/>
                <w:noProof/>
                <w:sz w:val="24"/>
                <w:szCs w:val="24"/>
              </w:rPr>
            </w:pPr>
            <w:r>
              <w:rPr>
                <w:rFonts w:ascii="Times New Roman" w:hAnsi="Times New Roman"/>
                <w:b/>
                <w:noProof/>
                <w:sz w:val="24"/>
                <w:szCs w:val="24"/>
              </w:rPr>
              <w:t>Estado-Membro/</w:t>
            </w:r>
            <w:r>
              <w:rPr>
                <w:rFonts w:ascii="Times New Roman" w:hAnsi="Times New Roman"/>
                <w:b/>
                <w:noProof/>
                <w:sz w:val="24"/>
                <w:szCs w:val="24"/>
              </w:rPr>
              <w:br/>
            </w:r>
            <w:r>
              <w:rPr>
                <w:rFonts w:ascii="Times New Roman" w:hAnsi="Times New Roman"/>
                <w:b/>
                <w:i/>
                <w:noProof/>
                <w:sz w:val="24"/>
                <w:szCs w:val="24"/>
              </w:rPr>
              <w:t>Estado Associado</w:t>
            </w:r>
          </w:p>
        </w:tc>
        <w:tc>
          <w:tcPr>
            <w:tcW w:w="973" w:type="pct"/>
            <w:tcBorders>
              <w:bottom w:val="single" w:sz="4" w:space="0" w:color="auto"/>
            </w:tcBorders>
            <w:shd w:val="clear" w:color="auto" w:fill="C6D9F1" w:themeFill="text2" w:themeFillTint="33"/>
            <w:vAlign w:val="center"/>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
                <w:noProof/>
                <w:sz w:val="24"/>
                <w:szCs w:val="24"/>
              </w:rPr>
              <w:t>Compromissos assumidos no âmbito do regime de 20 de julho de 2015</w:t>
            </w:r>
          </w:p>
        </w:tc>
        <w:tc>
          <w:tcPr>
            <w:tcW w:w="1390" w:type="pct"/>
            <w:tcBorders>
              <w:bottom w:val="single" w:sz="4" w:space="0" w:color="auto"/>
            </w:tcBorders>
            <w:shd w:val="clear" w:color="auto" w:fill="C6D9F1" w:themeFill="text2" w:themeFillTint="33"/>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Número total de pessoas reinstaladas ao abrigo do regime de 20 de julho de 2015, incluindo o «regime 1:1» com a Turquia</w:t>
            </w:r>
          </w:p>
        </w:tc>
        <w:tc>
          <w:tcPr>
            <w:tcW w:w="1463" w:type="pct"/>
            <w:tcBorders>
              <w:bottom w:val="single" w:sz="4" w:space="0" w:color="auto"/>
            </w:tcBorders>
            <w:shd w:val="clear" w:color="auto" w:fill="C6D9F1" w:themeFill="text2" w:themeFillTint="33"/>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Países terceiros a partir dos quais se realizou a reinstalação</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Áustria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1 900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1 643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Líbano: 886; Jordânia: 573; Turquia: 183; Iraque: 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Bélgica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1 100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597</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 xml:space="preserve">Líbano: 439; </w:t>
            </w:r>
            <w:r>
              <w:rPr>
                <w:rFonts w:ascii="Times New Roman" w:hAnsi="Times New Roman"/>
                <w:b/>
                <w:noProof/>
                <w:sz w:val="24"/>
                <w:szCs w:val="24"/>
              </w:rPr>
              <w:t xml:space="preserve">Turquia: </w:t>
            </w:r>
            <w:r>
              <w:rPr>
                <w:rFonts w:ascii="Times New Roman" w:hAnsi="Times New Roman"/>
                <w:noProof/>
                <w:sz w:val="24"/>
                <w:szCs w:val="24"/>
              </w:rPr>
              <w:t xml:space="preserve">106 (dos quais </w:t>
            </w:r>
            <w:r>
              <w:rPr>
                <w:rFonts w:ascii="Times New Roman" w:hAnsi="Times New Roman"/>
                <w:b/>
                <w:noProof/>
                <w:sz w:val="24"/>
                <w:szCs w:val="24"/>
              </w:rPr>
              <w:t>102 ao abrigo do «regime 1:1»</w:t>
            </w:r>
            <w:r>
              <w:rPr>
                <w:rFonts w:ascii="Times New Roman" w:hAnsi="Times New Roman"/>
                <w:noProof/>
                <w:sz w:val="24"/>
                <w:szCs w:val="24"/>
              </w:rPr>
              <w:t>); Jordânia: 28; Egito: 24;</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Bulgária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50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Croácia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150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Chipre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69</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República Checa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400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52</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Líbano: 32; Jordânia: 20</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Dinamarca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1 000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481</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Líbano, Uganda</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Estónia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20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20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Turquia: 20 ao abrigo do «regime 1:1»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Finlândia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293</w:t>
            </w:r>
            <w:r>
              <w:rPr>
                <w:rStyle w:val="FootnoteReference"/>
                <w:rFonts w:ascii="Times New Roman" w:eastAsia="Times New Roman" w:hAnsi="Times New Roman" w:cs="Times New Roman"/>
                <w:bCs/>
                <w:noProof/>
                <w:sz w:val="24"/>
                <w:szCs w:val="24"/>
                <w:lang w:eastAsia="en-GB"/>
              </w:rPr>
              <w:footnoteReference w:id="2"/>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293</w:t>
            </w:r>
            <w:r>
              <w:rPr>
                <w:rStyle w:val="FootnoteReference"/>
                <w:rFonts w:ascii="Times New Roman" w:eastAsia="Times New Roman" w:hAnsi="Times New Roman" w:cs="Times New Roman"/>
                <w:noProof/>
                <w:sz w:val="24"/>
                <w:szCs w:val="24"/>
                <w:lang w:eastAsia="en-GB"/>
              </w:rPr>
              <w:footnoteReference w:id="3"/>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noProof/>
                <w:sz w:val="24"/>
                <w:szCs w:val="24"/>
              </w:rPr>
              <w:t xml:space="preserve">Líbano: 245; Egito: 37; Jordânia: 4; Iraque: 3; Iémen: 2; Israel 2; </w:t>
            </w:r>
            <w:r>
              <w:rPr>
                <w:rFonts w:ascii="Times New Roman" w:hAnsi="Times New Roman"/>
                <w:b/>
                <w:noProof/>
                <w:sz w:val="24"/>
                <w:szCs w:val="24"/>
              </w:rPr>
              <w:t>Turquia: 248 ao abrigo do «regime 1:1», fora do regime de 20 de julho de 2015</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França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2 375</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1 200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rPr>
            </w:pPr>
            <w:r>
              <w:rPr>
                <w:rFonts w:ascii="Times New Roman" w:hAnsi="Times New Roman"/>
                <w:b/>
                <w:noProof/>
                <w:sz w:val="24"/>
                <w:szCs w:val="24"/>
              </w:rPr>
              <w:t>Turquia: 522 ao abrigo do «regime 1:1» (228 no âmbito do regime de 20 de julho de 2015 e 261 fora desse regime</w:t>
            </w:r>
            <w:r>
              <w:rPr>
                <w:rStyle w:val="FootnoteReference"/>
                <w:rFonts w:ascii="Times New Roman" w:eastAsia="Times New Roman" w:hAnsi="Times New Roman" w:cs="Times New Roman"/>
                <w:b/>
                <w:noProof/>
                <w:sz w:val="24"/>
                <w:szCs w:val="24"/>
                <w:lang w:eastAsia="en-GB"/>
              </w:rPr>
              <w:footnoteReference w:id="4"/>
            </w:r>
            <w:r>
              <w:rPr>
                <w:rFonts w:ascii="Times New Roman" w:hAnsi="Times New Roman"/>
                <w:b/>
                <w:noProof/>
                <w:sz w:val="24"/>
                <w:szCs w:val="24"/>
              </w:rPr>
              <w:t>);</w:t>
            </w:r>
            <w:r>
              <w:rPr>
                <w:rFonts w:ascii="Times New Roman" w:hAnsi="Times New Roman"/>
                <w:noProof/>
                <w:sz w:val="24"/>
                <w:szCs w:val="24"/>
              </w:rPr>
              <w:t xml:space="preserve"> Líbano: 513; Jordânia: 362; Iraque: 8; Outros: 89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Alemanha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1 600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1 403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Turquia: 1 403 ao abrigo do «regime 1:1»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Grécia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354</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Hungria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lang w:eastAsia="en-GB"/>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lang w:eastAsia="en-GB"/>
              </w:rPr>
            </w:pP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i/>
                <w:noProof/>
                <w:sz w:val="24"/>
                <w:szCs w:val="24"/>
              </w:rPr>
            </w:pPr>
            <w:r>
              <w:rPr>
                <w:rFonts w:ascii="Times New Roman" w:hAnsi="Times New Roman"/>
                <w:b/>
                <w:bCs/>
                <w:i/>
                <w:noProof/>
                <w:sz w:val="24"/>
                <w:szCs w:val="24"/>
              </w:rPr>
              <w:t>Islândia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i/>
                <w:noProof/>
                <w:sz w:val="24"/>
                <w:szCs w:val="24"/>
              </w:rPr>
            </w:pPr>
            <w:r>
              <w:rPr>
                <w:rFonts w:ascii="Times New Roman" w:hAnsi="Times New Roman"/>
                <w:bCs/>
                <w:i/>
                <w:noProof/>
                <w:sz w:val="24"/>
                <w:szCs w:val="24"/>
              </w:rPr>
              <w:t>50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50</w:t>
            </w:r>
            <w:r>
              <w:rPr>
                <w:rStyle w:val="FootnoteReference"/>
                <w:rFonts w:ascii="Times New Roman" w:eastAsia="Times New Roman" w:hAnsi="Times New Roman" w:cs="Times New Roman"/>
                <w:i/>
                <w:noProof/>
                <w:sz w:val="24"/>
                <w:szCs w:val="24"/>
                <w:lang w:eastAsia="en-GB"/>
              </w:rPr>
              <w:footnoteReference w:id="5"/>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Líbano</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Irlanda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520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520</w:t>
            </w:r>
            <w:r>
              <w:rPr>
                <w:rStyle w:val="FootnoteReference"/>
                <w:rFonts w:ascii="Times New Roman" w:eastAsia="Times New Roman" w:hAnsi="Times New Roman" w:cs="Times New Roman"/>
                <w:noProof/>
                <w:sz w:val="24"/>
                <w:szCs w:val="24"/>
                <w:lang w:val="ga-IE" w:eastAsia="en-GB"/>
              </w:rPr>
              <w:footnoteReference w:id="6"/>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Líbano</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Itália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1 989</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673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 xml:space="preserve">Líbano: 490; </w:t>
            </w:r>
            <w:r>
              <w:rPr>
                <w:rFonts w:ascii="Times New Roman" w:hAnsi="Times New Roman"/>
                <w:b/>
                <w:noProof/>
                <w:sz w:val="24"/>
                <w:szCs w:val="24"/>
              </w:rPr>
              <w:t xml:space="preserve">Turquia: </w:t>
            </w:r>
            <w:r>
              <w:rPr>
                <w:rFonts w:ascii="Times New Roman" w:hAnsi="Times New Roman"/>
                <w:b/>
                <w:noProof/>
                <w:sz w:val="24"/>
              </w:rPr>
              <w:t>117 ao abrigo do «regime 1:1»;</w:t>
            </w:r>
            <w:r>
              <w:rPr>
                <w:rFonts w:ascii="Times New Roman" w:hAnsi="Times New Roman"/>
                <w:noProof/>
                <w:sz w:val="24"/>
                <w:szCs w:val="24"/>
              </w:rPr>
              <w:t xml:space="preserve"> Sudão: 48; Jordânia: 18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Letónia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50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rPr>
            </w:pPr>
            <w:r>
              <w:rPr>
                <w:rFonts w:ascii="Times New Roman" w:hAnsi="Times New Roman"/>
                <w:b/>
                <w:noProof/>
                <w:sz w:val="24"/>
                <w:szCs w:val="24"/>
              </w:rPr>
              <w:t>Turquia: 10 ao abrigo do «regime 1:1»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i/>
                <w:noProof/>
                <w:sz w:val="24"/>
                <w:szCs w:val="24"/>
              </w:rPr>
            </w:pPr>
            <w:r>
              <w:rPr>
                <w:rFonts w:ascii="Times New Roman" w:hAnsi="Times New Roman"/>
                <w:b/>
                <w:bCs/>
                <w:i/>
                <w:noProof/>
                <w:sz w:val="24"/>
                <w:szCs w:val="24"/>
              </w:rPr>
              <w:t>Listenstaine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i/>
                <w:noProof/>
                <w:sz w:val="24"/>
                <w:szCs w:val="24"/>
              </w:rPr>
            </w:pPr>
            <w:r>
              <w:rPr>
                <w:rFonts w:ascii="Times New Roman" w:hAnsi="Times New Roman"/>
                <w:bCs/>
                <w:i/>
                <w:noProof/>
                <w:sz w:val="24"/>
                <w:szCs w:val="24"/>
              </w:rPr>
              <w:t>20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20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Turquia</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Lituânia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70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25</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 xml:space="preserve">Turquia: 25 ao abrigo do «regime 1:1»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Luxemburgo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30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 xml:space="preserve"> 0</w:t>
            </w:r>
            <w:r>
              <w:rPr>
                <w:rStyle w:val="FootnoteReference"/>
                <w:rFonts w:ascii="Times New Roman" w:eastAsia="Times New Roman" w:hAnsi="Times New Roman" w:cs="Times New Roman"/>
                <w:noProof/>
                <w:sz w:val="24"/>
                <w:szCs w:val="24"/>
                <w:lang w:eastAsia="en-GB"/>
              </w:rPr>
              <w:footnoteReference w:id="7"/>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Turquia: 98 ao abrigo do «regime 1:1», fora do regime de 20 de julho de 2015</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Malta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14</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Países Baixos</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1 000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1 000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szCs w:val="24"/>
              </w:rPr>
              <w:t xml:space="preserve">Turquia: </w:t>
            </w:r>
            <w:r>
              <w:rPr>
                <w:rFonts w:ascii="Times New Roman" w:hAnsi="Times New Roman"/>
                <w:b/>
                <w:noProof/>
                <w:sz w:val="24"/>
              </w:rPr>
              <w:t xml:space="preserve">673 ao abrigo do «regime 1:1» (556 no âmbito do regime de 20 de julho de 2015 e 117 fora desse regime); </w:t>
            </w:r>
            <w:r>
              <w:rPr>
                <w:rFonts w:ascii="Times New Roman" w:hAnsi="Times New Roman"/>
                <w:noProof/>
                <w:sz w:val="24"/>
              </w:rPr>
              <w:t>Turquia 7;</w:t>
            </w:r>
            <w:r>
              <w:rPr>
                <w:rFonts w:ascii="Times New Roman" w:hAnsi="Times New Roman"/>
                <w:noProof/>
                <w:sz w:val="24"/>
                <w:szCs w:val="24"/>
              </w:rPr>
              <w:t xml:space="preserve"> Líbano: 341; Quénia: 70; Etiópia: 8; Jordânia: 7; Líbia: 4; Israel: 2; Iraque, Marrocos, Egito, Arábia Saudita, Síria: 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i/>
                <w:noProof/>
                <w:sz w:val="24"/>
                <w:szCs w:val="24"/>
              </w:rPr>
            </w:pPr>
            <w:r>
              <w:rPr>
                <w:rFonts w:ascii="Times New Roman" w:hAnsi="Times New Roman"/>
                <w:b/>
                <w:bCs/>
                <w:i/>
                <w:noProof/>
                <w:sz w:val="24"/>
                <w:szCs w:val="24"/>
              </w:rPr>
              <w:t>Noruega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i/>
                <w:noProof/>
                <w:sz w:val="24"/>
                <w:szCs w:val="24"/>
              </w:rPr>
            </w:pPr>
            <w:r>
              <w:rPr>
                <w:rFonts w:ascii="Times New Roman" w:hAnsi="Times New Roman"/>
                <w:bCs/>
                <w:i/>
                <w:noProof/>
                <w:sz w:val="24"/>
                <w:szCs w:val="24"/>
              </w:rPr>
              <w:t>3 500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2 924</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 xml:space="preserve">Líbano: 2 552; Turquia: </w:t>
            </w:r>
            <w:r>
              <w:rPr>
                <w:i/>
                <w:noProof/>
              </w:rPr>
              <w:t>351</w:t>
            </w:r>
            <w:r>
              <w:rPr>
                <w:rStyle w:val="FootnoteReference"/>
                <w:rFonts w:ascii="Times New Roman" w:eastAsia="Times New Roman" w:hAnsi="Times New Roman" w:cs="Times New Roman"/>
                <w:i/>
                <w:noProof/>
                <w:sz w:val="24"/>
                <w:szCs w:val="24"/>
                <w:lang w:eastAsia="en-GB"/>
              </w:rPr>
              <w:footnoteReference w:id="8"/>
            </w:r>
            <w:r>
              <w:rPr>
                <w:i/>
                <w:noProof/>
              </w:rPr>
              <w:t xml:space="preserve"> (dos quais 150 desde 4 de abril de 2016);</w:t>
            </w:r>
            <w:r>
              <w:rPr>
                <w:rFonts w:ascii="Times New Roman" w:hAnsi="Times New Roman"/>
                <w:i/>
                <w:noProof/>
                <w:sz w:val="24"/>
              </w:rPr>
              <w:t xml:space="preserve"> </w:t>
            </w:r>
            <w:r>
              <w:rPr>
                <w:rFonts w:ascii="Times New Roman" w:hAnsi="Times New Roman"/>
                <w:i/>
                <w:noProof/>
                <w:sz w:val="24"/>
                <w:szCs w:val="24"/>
              </w:rPr>
              <w:t xml:space="preserve">Jordânia: 21;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Polónia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900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Portugal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191</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Turquia: 12 ao abrigo do «regime 1:1»</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Roménia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80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Eslováquia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Eslovénia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20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0</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noProof/>
                <w:sz w:val="24"/>
                <w:szCs w:val="24"/>
                <w:lang w:eastAsia="en-GB"/>
              </w:rPr>
            </w:pP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Espanha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1 449</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289</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60" w:line="240" w:lineRule="auto"/>
              <w:jc w:val="center"/>
              <w:rPr>
                <w:rFonts w:ascii="Times New Roman" w:eastAsia="Times New Roman" w:hAnsi="Times New Roman" w:cs="Times New Roman"/>
                <w:b/>
                <w:noProof/>
                <w:sz w:val="24"/>
                <w:szCs w:val="24"/>
              </w:rPr>
            </w:pPr>
            <w:r>
              <w:rPr>
                <w:rFonts w:ascii="Times New Roman" w:hAnsi="Times New Roman"/>
                <w:noProof/>
                <w:sz w:val="24"/>
                <w:szCs w:val="24"/>
              </w:rPr>
              <w:t xml:space="preserve">Líbano: 232; </w:t>
            </w:r>
            <w:r>
              <w:rPr>
                <w:rFonts w:ascii="Times New Roman" w:hAnsi="Times New Roman"/>
                <w:b/>
                <w:noProof/>
                <w:sz w:val="24"/>
                <w:szCs w:val="24"/>
              </w:rPr>
              <w:t xml:space="preserve">Turquia: 57 ao abrigo do «regime 1:1»;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Suécia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491</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491</w:t>
            </w:r>
          </w:p>
        </w:tc>
        <w:tc>
          <w:tcPr>
            <w:tcW w:w="1463" w:type="pct"/>
            <w:tcBorders>
              <w:top w:val="single" w:sz="4" w:space="0" w:color="auto"/>
              <w:left w:val="single" w:sz="4" w:space="0" w:color="auto"/>
              <w:bottom w:val="single" w:sz="4" w:space="0" w:color="auto"/>
              <w:right w:val="single" w:sz="4" w:space="0" w:color="auto"/>
            </w:tcBorders>
            <w:shd w:val="clear" w:color="auto" w:fill="auto"/>
          </w:tcPr>
          <w:p>
            <w:pPr>
              <w:spacing w:after="60" w:line="240" w:lineRule="auto"/>
              <w:jc w:val="center"/>
              <w:rPr>
                <w:rFonts w:ascii="Times New Roman" w:eastAsia="Times New Roman" w:hAnsi="Times New Roman" w:cs="Times New Roman"/>
                <w:noProof/>
                <w:sz w:val="24"/>
                <w:szCs w:val="24"/>
              </w:rPr>
            </w:pPr>
            <w:r>
              <w:rPr>
                <w:rFonts w:ascii="Times New Roman" w:hAnsi="Times New Roman"/>
                <w:b/>
                <w:noProof/>
                <w:sz w:val="24"/>
                <w:szCs w:val="24"/>
              </w:rPr>
              <w:t>Turquia: 278 ao abrigo do «regime 1:1» (dos quais 269 no âmbito do regime de 20 de julho de 2015);</w:t>
            </w:r>
            <w:r>
              <w:rPr>
                <w:rFonts w:ascii="Times New Roman" w:hAnsi="Times New Roman"/>
                <w:noProof/>
                <w:sz w:val="24"/>
                <w:szCs w:val="24"/>
              </w:rPr>
              <w:t xml:space="preserve"> Sudão: 124; Quénia: 80; Líbano: 8; Iraque: 8; Egito: 1; Jordânia: 1</w:t>
            </w:r>
            <w:r>
              <w:rPr>
                <w:rFonts w:ascii="Times New Roman" w:hAnsi="Times New Roman"/>
                <w:b/>
                <w:noProof/>
                <w:sz w:val="24"/>
                <w:szCs w:val="24"/>
              </w:rPr>
              <w:t xml:space="preserve"> </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i/>
                <w:noProof/>
                <w:sz w:val="24"/>
                <w:szCs w:val="24"/>
              </w:rPr>
            </w:pPr>
            <w:r>
              <w:rPr>
                <w:rFonts w:ascii="Times New Roman" w:hAnsi="Times New Roman"/>
                <w:b/>
                <w:bCs/>
                <w:i/>
                <w:noProof/>
                <w:sz w:val="24"/>
                <w:szCs w:val="24"/>
              </w:rPr>
              <w:t>Suíça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i/>
                <w:noProof/>
                <w:sz w:val="24"/>
                <w:szCs w:val="24"/>
              </w:rPr>
            </w:pPr>
            <w:r>
              <w:rPr>
                <w:rFonts w:ascii="Times New Roman" w:hAnsi="Times New Roman"/>
                <w:bCs/>
                <w:i/>
                <w:noProof/>
                <w:sz w:val="24"/>
                <w:szCs w:val="24"/>
              </w:rPr>
              <w:t>519</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519</w:t>
            </w:r>
          </w:p>
        </w:tc>
        <w:tc>
          <w:tcPr>
            <w:tcW w:w="1463"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i/>
                <w:noProof/>
                <w:sz w:val="24"/>
                <w:szCs w:val="24"/>
              </w:rPr>
            </w:pPr>
            <w:r>
              <w:rPr>
                <w:rFonts w:ascii="Times New Roman" w:hAnsi="Times New Roman"/>
                <w:i/>
                <w:noProof/>
                <w:sz w:val="24"/>
                <w:szCs w:val="24"/>
              </w:rPr>
              <w:t>Líbano: 431; Síria: 88</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rPr>
                <w:rFonts w:ascii="Times New Roman" w:eastAsia="Times New Roman" w:hAnsi="Times New Roman" w:cs="Times New Roman"/>
                <w:b/>
                <w:bCs/>
                <w:noProof/>
                <w:sz w:val="24"/>
                <w:szCs w:val="24"/>
                <w:lang w:eastAsia="en-GB"/>
              </w:rPr>
            </w:pPr>
          </w:p>
          <w:p>
            <w:pPr>
              <w:spacing w:after="6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Reino Unido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bCs/>
                <w:noProof/>
                <w:sz w:val="24"/>
                <w:szCs w:val="24"/>
              </w:rPr>
            </w:pPr>
            <w:r>
              <w:rPr>
                <w:rFonts w:ascii="Times New Roman" w:hAnsi="Times New Roman"/>
                <w:bCs/>
                <w:noProof/>
                <w:sz w:val="24"/>
                <w:szCs w:val="24"/>
              </w:rPr>
              <w:t>2 200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6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2 200</w:t>
            </w:r>
          </w:p>
        </w:tc>
        <w:tc>
          <w:tcPr>
            <w:tcW w:w="1463"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t>Jordânia, Líbano, Turquia, Egito, Iraque e outros</w:t>
            </w:r>
          </w:p>
        </w:tc>
      </w:tr>
      <w:tr>
        <w:trPr>
          <w:jc w:val="center"/>
        </w:trPr>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bCs/>
                <w:noProof/>
                <w:sz w:val="24"/>
                <w:szCs w:val="24"/>
              </w:rPr>
            </w:pPr>
            <w:r>
              <w:rPr>
                <w:rFonts w:ascii="Times New Roman" w:hAnsi="Times New Roman"/>
                <w:b/>
                <w:bCs/>
                <w:noProof/>
                <w:sz w:val="24"/>
                <w:szCs w:val="24"/>
              </w:rPr>
              <w:t>TOTAL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Cs/>
                <w:noProof/>
                <w:sz w:val="24"/>
                <w:szCs w:val="24"/>
              </w:rPr>
            </w:pPr>
            <w:r>
              <w:rPr>
                <w:rFonts w:ascii="Times New Roman" w:hAnsi="Times New Roman"/>
                <w:b/>
                <w:bCs/>
                <w:noProof/>
                <w:sz w:val="24"/>
                <w:szCs w:val="24"/>
              </w:rPr>
              <w:t>22 504</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4 422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Foram reinstaladas no total 3 565 pessoas a partir da Turquia ao abrigo do programa «um por um»;</w:t>
            </w:r>
            <w:r>
              <w:rPr>
                <w:rFonts w:ascii="Times New Roman" w:hAnsi="Times New Roman"/>
                <w:b/>
                <w:bCs/>
                <w:noProof/>
                <w:sz w:val="24"/>
                <w:szCs w:val="24"/>
              </w:rPr>
              <w:t xml:space="preserve"> </w:t>
            </w:r>
            <w:r>
              <w:rPr>
                <w:rFonts w:ascii="Times New Roman" w:hAnsi="Times New Roman"/>
                <w:b/>
                <w:noProof/>
                <w:sz w:val="24"/>
              </w:rPr>
              <w:t>das quais 2 799 pessoas ao abrigo do regime de 20 de julho de 2015.</w:t>
            </w:r>
          </w:p>
        </w:tc>
      </w:tr>
    </w:tbl>
    <w:p>
      <w:pPr>
        <w:spacing w:after="120"/>
        <w:rPr>
          <w:rFonts w:ascii="Times New Roman" w:hAnsi="Times New Roman" w:cs="Times New Roman"/>
          <w:b/>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134" w:right="720" w:bottom="284" w:left="72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040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pPr>
      <w:r>
        <w:rPr>
          <w:rStyle w:val="FootnoteReference"/>
          <w:rFonts w:ascii="Times New Roman" w:hAnsi="Times New Roman" w:cs="Times New Roman"/>
          <w:sz w:val="16"/>
          <w:szCs w:val="16"/>
        </w:rPr>
        <w:footnoteRef/>
      </w:r>
      <w:r>
        <w:rPr>
          <w:rFonts w:ascii="Times New Roman" w:hAnsi="Times New Roman"/>
          <w:sz w:val="16"/>
          <w:szCs w:val="16"/>
        </w:rPr>
        <w:t xml:space="preserve"> </w:t>
      </w:r>
      <w:r>
        <w:rPr>
          <w:rFonts w:ascii="Times New Roman" w:hAnsi="Times New Roman"/>
          <w:sz w:val="16"/>
          <w:szCs w:val="16"/>
        </w:rPr>
        <w:tab/>
        <w:t>Este número faz parte do contingente nacional da Finlândia para 2016, que é de 750 reinstalações.</w:t>
      </w:r>
    </w:p>
  </w:footnote>
  <w:footnote w:id="3">
    <w:p>
      <w:pPr>
        <w:pStyle w:val="FootnoteText"/>
        <w:ind w:left="720" w:hanging="720"/>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t>
      </w:r>
      <w:r>
        <w:rPr>
          <w:rFonts w:ascii="Times New Roman" w:hAnsi="Times New Roman"/>
          <w:sz w:val="16"/>
          <w:szCs w:val="16"/>
        </w:rPr>
        <w:tab/>
        <w:t>Este número não inclui os 248 nacionais sírios reinstalados a partir da Turquia ao abrigo do «regime 1:1», o que foi efetuado no quadro do programa nacional finlandês.</w:t>
      </w:r>
    </w:p>
  </w:footnote>
  <w:footnote w:id="4">
    <w:p>
      <w:pPr>
        <w:pStyle w:val="FootnoteText"/>
        <w:ind w:left="720" w:hanging="720"/>
      </w:pPr>
      <w:r>
        <w:rPr>
          <w:rStyle w:val="FootnoteReference"/>
          <w:rFonts w:ascii="Times New Roman" w:hAnsi="Times New Roman" w:cs="Times New Roman"/>
          <w:sz w:val="16"/>
          <w:szCs w:val="16"/>
        </w:rPr>
        <w:footnoteRef/>
      </w:r>
      <w:r>
        <w:rPr>
          <w:rFonts w:ascii="Times New Roman" w:hAnsi="Times New Roman"/>
          <w:sz w:val="16"/>
          <w:szCs w:val="16"/>
        </w:rPr>
        <w:t xml:space="preserve"> </w:t>
      </w:r>
      <w:r>
        <w:rPr>
          <w:rFonts w:ascii="Times New Roman" w:hAnsi="Times New Roman"/>
          <w:sz w:val="16"/>
          <w:szCs w:val="16"/>
        </w:rPr>
        <w:tab/>
        <w:t>261 nacionais sírios reinstalados a partir da Turquia fora do regime de 20 de julho de 2015 devem ser contabilizados de acordo com a Decisão (UE) 2016/1754.</w:t>
      </w:r>
    </w:p>
  </w:footnote>
  <w:footnote w:id="5">
    <w:p>
      <w:pPr>
        <w:pStyle w:val="FootnoteText"/>
        <w:ind w:left="720" w:hanging="720"/>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t>
      </w:r>
      <w:r>
        <w:rPr>
          <w:rFonts w:ascii="Times New Roman" w:hAnsi="Times New Roman"/>
          <w:sz w:val="16"/>
          <w:szCs w:val="16"/>
        </w:rPr>
        <w:tab/>
        <w:t>A Islândia reinstalou um total de 97 pessoas, todas do Líbano.</w:t>
      </w:r>
    </w:p>
  </w:footnote>
  <w:footnote w:id="6">
    <w:p>
      <w:pPr>
        <w:pStyle w:val="FootnoteText"/>
        <w:ind w:left="720" w:hanging="720"/>
      </w:pPr>
      <w:r>
        <w:rPr>
          <w:rStyle w:val="FootnoteReference"/>
          <w:rFonts w:ascii="Times New Roman" w:hAnsi="Times New Roman" w:cs="Times New Roman"/>
          <w:sz w:val="16"/>
          <w:szCs w:val="16"/>
        </w:rPr>
        <w:footnoteRef/>
      </w:r>
      <w:r>
        <w:rPr>
          <w:rFonts w:ascii="Times New Roman" w:hAnsi="Times New Roman"/>
          <w:sz w:val="16"/>
          <w:szCs w:val="16"/>
        </w:rPr>
        <w:t xml:space="preserve"> </w:t>
      </w:r>
      <w:r>
        <w:rPr>
          <w:rFonts w:ascii="Times New Roman" w:hAnsi="Times New Roman"/>
          <w:sz w:val="16"/>
          <w:szCs w:val="16"/>
        </w:rPr>
        <w:tab/>
        <w:t>A Irlanda continuará a receber pessoas adicionais com necessidade de proteção internacional, nos termos do respetivo programa de reinstalação.</w:t>
      </w:r>
    </w:p>
  </w:footnote>
  <w:footnote w:id="7">
    <w:p>
      <w:pPr>
        <w:pStyle w:val="FootnoteText"/>
        <w:ind w:left="720" w:hanging="720"/>
      </w:pPr>
      <w:r>
        <w:rPr>
          <w:rStyle w:val="FootnoteReference"/>
          <w:rFonts w:ascii="Times New Roman" w:hAnsi="Times New Roman" w:cs="Times New Roman"/>
          <w:sz w:val="16"/>
          <w:szCs w:val="16"/>
        </w:rPr>
        <w:footnoteRef/>
      </w:r>
      <w:r>
        <w:t xml:space="preserve"> </w:t>
      </w:r>
      <w:r>
        <w:tab/>
      </w:r>
      <w:r>
        <w:rPr>
          <w:rFonts w:ascii="Times New Roman" w:hAnsi="Times New Roman"/>
          <w:sz w:val="16"/>
          <w:szCs w:val="16"/>
        </w:rPr>
        <w:t>Embora ainda não tenha sido efetuada qualquer reinstalação ao abrigo das conclusões do Conselho de 20 de julho de 2015, 98 nacionais sírios foram reinstalados ao abrigo do programa nacional do Luxemburgo no quadro do «regime 1:1» e que deverão ser contabilizados de acordo com a Decisão (UE) 2016/1754.</w:t>
      </w:r>
    </w:p>
  </w:footnote>
  <w:footnote w:id="8">
    <w:p>
      <w:pPr>
        <w:pStyle w:val="FootnoteText"/>
        <w:ind w:left="720" w:hanging="720"/>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cs="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t>Desde 4 de abril de 2016, a Noruega reinstalou 150 nacionais sírios a partir da Turquia, aplicando os procedimentos operacionais normalizados para a reinstalação acordados com a Turquia no âmbito do «regime 1:1».</w:t>
      </w:r>
      <w:r>
        <w:t xml:space="preserve"> </w:t>
      </w:r>
      <w:r>
        <w:rPr>
          <w:rFonts w:ascii="Times New Roman" w:hAnsi="Times New Roman"/>
          <w:sz w:val="16"/>
          <w:szCs w:val="16"/>
        </w:rPr>
        <w:t>O número de pessoas reinstaladas na Noruega no âmbito do «regime 1:1» não é deduzido ao número de regressos de nacionais sírios provenientes da Grécia.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69F"/>
    <w:multiLevelType w:val="hybridMultilevel"/>
    <w:tmpl w:val="EBBC2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
    <w:docVar w:name="LW_ANNEX_NBR_FIRST" w:val="4"/>
    <w:docVar w:name="LW_ANNEX_NBR_LAST" w:val="4"/>
    <w:docVar w:name="LW_CONFIDENCE" w:val=" "/>
    <w:docVar w:name="LW_CONST_RESTREINT_UE" w:val="RESTREINT UE"/>
    <w:docVar w:name="LW_CORRIGENDUM" w:val="&lt;UNUSED&gt;"/>
    <w:docVar w:name="LW_COVERPAGE_GUID" w:val="F732D6713736412AB159B04D7702F773"/>
    <w:docVar w:name="LW_CROSSREFERENCE" w:val="&lt;UNUSED&gt;"/>
    <w:docVar w:name="LW_DocType" w:val="NORMAL"/>
    <w:docVar w:name="LW_EMISSION" w:val="2.3.2017"/>
    <w:docVar w:name="LW_EMISSION_ISODATE" w:val="2017-03-02"/>
    <w:docVar w:name="LW_EMISSION_LOCATION" w:val="BRX"/>
    <w:docVar w:name="LW_EMISSION_PREFIX" w:val="Bruxelas, "/>
    <w:docVar w:name="LW_EMISSION_SUFFIX" w:val=" "/>
    <w:docVar w:name="LW_ID_DOCTYPE_NONLW" w:val="CP-039"/>
    <w:docVar w:name="LW_LANGUE" w:val="PT"/>
    <w:docVar w:name="LW_MARKING" w:val="&lt;UNUSED&gt;"/>
    <w:docVar w:name="LW_NOM.INST" w:val="COMISSÃO EUROPEIA"/>
    <w:docVar w:name="LW_NOM.INST_JOINTDOC" w:val="&lt;EMPTY&gt;"/>
    <w:docVar w:name="LW_OBJETACTEPRINCIPAL.CP" w:val="10.º relatório sobre a recolocação e a reinstalação_x000b__x000b__x000b__x000b__x000b__x000b__x000b_"/>
    <w:docVar w:name="LW_PART_NBR" w:val="1"/>
    <w:docVar w:name="LW_PART_NBR_TOTAL" w:val="1"/>
    <w:docVar w:name="LW_REF.INST.NEW" w:val="COM"/>
    <w:docVar w:name="LW_REF.INST.NEW_ADOPTED" w:val="final"/>
    <w:docVar w:name="LW_REF.INST.NEW_TEXT" w:val="(2017) 202"/>
    <w:docVar w:name="LW_REF.INTERNE" w:val="&lt;UNUSED&gt;"/>
    <w:docVar w:name="LW_SUPERTITRE" w:val="&lt;UNUSED&gt;"/>
    <w:docVar w:name="LW_TITRE.OBJ.CP" w:val="&lt;UNUSED&gt;"/>
    <w:docVar w:name="LW_TYPE.DOC.CP" w:val="ANEXO_x000b_"/>
    <w:docVar w:name="LW_TYPEACTEPRINCIPAL.CP" w:val="RELATÓRIO DA COMISSÃO AO PARLAMENTO EUROPEU, AO CONSELHO EUROPEU E AO CONSELHO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7030">
      <w:bodyDiv w:val="1"/>
      <w:marLeft w:val="0"/>
      <w:marRight w:val="0"/>
      <w:marTop w:val="0"/>
      <w:marBottom w:val="0"/>
      <w:divBdr>
        <w:top w:val="none" w:sz="0" w:space="0" w:color="auto"/>
        <w:left w:val="none" w:sz="0" w:space="0" w:color="auto"/>
        <w:bottom w:val="none" w:sz="0" w:space="0" w:color="auto"/>
        <w:right w:val="none" w:sz="0" w:space="0" w:color="auto"/>
      </w:divBdr>
    </w:div>
    <w:div w:id="8884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B080E8D204D504794FE96D03734DA79" ma:contentTypeVersion="10" ma:contentTypeDescription="Create a new document in this library." ma:contentTypeScope="" ma:versionID="2de25f660ceeed2b4c8a794b33a86d08">
  <xsd:schema xmlns:xsd="http://www.w3.org/2001/XMLSchema" xmlns:xs="http://www.w3.org/2001/XMLSchema" xmlns:p="http://schemas.microsoft.com/office/2006/metadata/properties" xmlns:ns2="http://schemas.microsoft.com/sharepoint/v3/fields" xmlns:ns3="47eefe9a-f81e-47cf-b703-dc75e53a6b28" targetNamespace="http://schemas.microsoft.com/office/2006/metadata/properties" ma:root="true" ma:fieldsID="6cf894a9eaed983a2460d56088ad2367" ns2:_="" ns3:_="">
    <xsd:import namespace="http://schemas.microsoft.com/sharepoint/v3/fields"/>
    <xsd:import namespace="47eefe9a-f81e-47cf-b703-dc75e53a6b28"/>
    <xsd:element name="properties">
      <xsd:complexType>
        <xsd:sequence>
          <xsd:element name="documentManagement">
            <xsd:complexType>
              <xsd:all>
                <xsd:element ref="ns3:EC_Collab_Reference" minOccurs="0"/>
                <xsd:element ref="ns2:_Status" minOccurs="0"/>
                <xsd:element ref="ns3:EC_Collab_DocumentLanguage" minOccurs="0"/>
                <xsd:element ref="ns3:EC_Collab_Status" minOccurs="0"/>
                <xsd:element ref="ns3:Deadline" minOccurs="0"/>
                <xsd:element ref="ns3:Ares_x0020_number" minOccurs="0"/>
                <xsd:element ref="ns3:For" minOccurs="0"/>
                <xsd:element ref="ns3:Deadline_x0020_DIR" minOccurs="0"/>
                <xsd:element ref="ns3:CF" minOccurs="0"/>
                <xsd:element ref="ns3:ASOC"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eefe9a-f81e-47cf-b703-dc75e53a6b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nillable="true" ma:displayName="Language" ma:default="EN" ma:format="Dropdow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nillable="true" ma:displayName="EC Status" ma:default="Not Started" ma:format="Dropdown"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eadline" ma:index="16" nillable="true" ma:displayName="Deadline" ma:format="DateOnly" ma:internalName="Deadline">
      <xsd:simpleType>
        <xsd:restriction base="dms:DateTime"/>
      </xsd:simpleType>
    </xsd:element>
    <xsd:element name="Ares_x0020_number" ma:index="17" nillable="true" ma:displayName="Ares number" ma:internalName="Ares_x0020_number">
      <xsd:simpleType>
        <xsd:restriction base="dms:Text">
          <xsd:maxLength value="255"/>
        </xsd:restriction>
      </xsd:simpleType>
    </xsd:element>
    <xsd:element name="For" ma:index="18" nillable="true" ma:displayName="For" ma:default="COMMISSIONER" ma:format="RadioButtons" ma:internalName="For">
      <xsd:simpleType>
        <xsd:union memberTypes="dms:Text">
          <xsd:simpleType>
            <xsd:restriction base="dms:Choice">
              <xsd:enumeration value="PRESIDENT"/>
              <xsd:enumeration value="COMMISSIONER"/>
              <xsd:enumeration value="DIRECTOR-GENERAL"/>
              <xsd:enumeration value="DIRECTOR"/>
            </xsd:restriction>
          </xsd:simpleType>
        </xsd:union>
      </xsd:simpleType>
    </xsd:element>
    <xsd:element name="Deadline_x0020_DIR" ma:index="19" nillable="true" ma:displayName="Deadline DIR" ma:format="DateTime" ma:internalName="Deadline_x0020_DIR">
      <xsd:simpleType>
        <xsd:restriction base="dms:DateTime"/>
      </xsd:simpleType>
    </xsd:element>
    <xsd:element name="CF" ma:index="20" nillable="true" ma:displayName="CF" ma:default="B" ma:format="RadioButtons" ma:internalName="CF">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ASOC" ma:index="21" nillable="true" ma:displayName="ASOC" ma:default="B" ma:format="RadioButtons" ma:internalName="ASOC">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contact" ma:index="22"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s_x0020_number xmlns="47eefe9a-f81e-47cf-b703-dc75e53a6b28" xsi:nil="true"/>
    <Deadline_x0020_DIR xmlns="47eefe9a-f81e-47cf-b703-dc75e53a6b28">2016-03-02T15:55:01+00:00</Deadline_x0020_DIR>
    <EC_Collab_Reference xmlns="47eefe9a-f81e-47cf-b703-dc75e53a6b28" xsi:nil="true"/>
    <CF xmlns="47eefe9a-f81e-47cf-b703-dc75e53a6b28">C</CF>
    <_Status xmlns="http://schemas.microsoft.com/sharepoint/v3/fields">Not Started</_Status>
    <EC_Collab_DocumentLanguage xmlns="47eefe9a-f81e-47cf-b703-dc75e53a6b28">EN</EC_Collab_DocumentLanguage>
    <Deadline xmlns="47eefe9a-f81e-47cf-b703-dc75e53a6b28">2016-03-02T15:55:01+00:00</Deadline>
    <ASOC xmlns="47eefe9a-f81e-47cf-b703-dc75e53a6b28">C</ASOC>
    <For xmlns="47eefe9a-f81e-47cf-b703-dc75e53a6b28">COMMISSIONER</For>
    <EC_Collab_Status xmlns="47eefe9a-f81e-47cf-b703-dc75e53a6b28">Not Started</EC_Collab_Status>
    <contact xmlns="47eefe9a-f81e-47cf-b703-dc75e53a6b28">
      <UserInfo>
        <DisplayName/>
        <AccountId xsi:nil="true"/>
        <AccountType/>
      </UserInfo>
    </conta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8647-51AB-4EB5-B59E-0F8D06319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7eefe9a-f81e-47cf-b703-dc75e53a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3C3AD-AB64-4306-89E7-3CA82C6F0277}">
  <ds:schemaRefs>
    <ds:schemaRef ds:uri="http://schemas.microsoft.com/sharepoint/v3/contenttype/forms"/>
  </ds:schemaRefs>
</ds:datastoreItem>
</file>

<file path=customXml/itemProps3.xml><?xml version="1.0" encoding="utf-8"?>
<ds:datastoreItem xmlns:ds="http://schemas.openxmlformats.org/officeDocument/2006/customXml" ds:itemID="{19C4632A-5407-43A6-AE38-F1A1F9C01E0C}">
  <ds:schemaRef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47eefe9a-f81e-47cf-b703-dc75e53a6b28"/>
    <ds:schemaRef ds:uri="http://www.w3.org/XML/1998/namespace"/>
    <ds:schemaRef ds:uri="http://purl.org/dc/terms/"/>
  </ds:schemaRefs>
</ds:datastoreItem>
</file>

<file path=customXml/itemProps4.xml><?xml version="1.0" encoding="utf-8"?>
<ds:datastoreItem xmlns:ds="http://schemas.openxmlformats.org/officeDocument/2006/customXml" ds:itemID="{B7B257A1-D927-4535-9A71-BEC3D6D0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2236</Characters>
  <Application>Microsoft Office Word</Application>
  <DocSecurity>0</DocSecurity>
  <Lines>223</Lines>
  <Paragraphs>153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SELMAYR Martin (PRES-ELECT)</dc:creator>
  <cp:lastModifiedBy>DIGIT/A3</cp:lastModifiedBy>
  <cp:revision>15</cp:revision>
  <cp:lastPrinted>2017-02-28T16:39:00Z</cp:lastPrinted>
  <dcterms:created xsi:type="dcterms:W3CDTF">2017-02-28T16:39:00Z</dcterms:created>
  <dcterms:modified xsi:type="dcterms:W3CDTF">2017-03-27T10:56:00Z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0x010100258AA79CEB83498886A3A0868112325000DB080E8D204D504794FE96D03734DA79</vt:lpwstr>
  </property>
  <property fmtid="{D5CDD505-2E9C-101B-9397-08002B2CF9AE}" pid="3" name="First annex">
    <vt:lpwstr>4</vt:lpwstr>
  </property>
  <property fmtid="{D5CDD505-2E9C-101B-9397-08002B2CF9AE}" pid="4" name="Last annex">
    <vt:lpwstr>4</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y fmtid="{D5CDD505-2E9C-101B-9397-08002B2CF9AE}" pid="8" name="DocStatus">
    <vt:lpwstr>Green</vt:lpwstr>
  </property>
</Properties>
</file>