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A8ED796076A48CEA609DE219E8CB24E" style="width:450pt;height:380.15pt">
            <v:imagedata r:id="rId12" o:title=""/>
          </v:shape>
        </w:pict>
      </w:r>
    </w:p>
    <w:bookmarkEnd w:id="0"/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>
      <w:pPr>
        <w:spacing w:after="120"/>
        <w:jc w:val="center"/>
        <w:rPr>
          <w:rFonts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b/>
          <w:noProof/>
          <w:sz w:val="24"/>
        </w:rPr>
        <w:lastRenderedPageBreak/>
        <w:t>Bijlage 4: Stand van zaken per 27 februari 2017 wat betreft hervestiging in het kader van de conclusies van 20 juli 2015 en het „1:1-mechanisme” met Turkije (toegepast sinds 4 april 2016)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1950"/>
        <w:gridCol w:w="2553"/>
        <w:gridCol w:w="2551"/>
        <w:gridCol w:w="3628"/>
      </w:tblGrid>
      <w:tr>
        <w:trPr>
          <w:cantSplit/>
          <w:tblHeader/>
          <w:jc w:val="center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Lidstaat/</w:t>
            </w:r>
            <w:r>
              <w:rPr>
                <w:rFonts w:eastAsia="Times New Roman" w:cs="Times New Roman"/>
                <w:b/>
                <w:noProof/>
                <w:szCs w:val="20"/>
              </w:rPr>
              <w:br/>
            </w:r>
            <w:r>
              <w:rPr>
                <w:b/>
                <w:i/>
                <w:noProof/>
              </w:rPr>
              <w:t>geassocieerde staat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b/>
                <w:noProof/>
              </w:rPr>
              <w:t>Toezeggingen in het kader van de regeling van 20 juli 2015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Totaal aantal hervestigde personen in het kader van de regeling van 20 juli 2015, met inbegrip van het 1:1</w:t>
            </w:r>
            <w:r>
              <w:rPr>
                <w:noProof/>
              </w:rPr>
              <w:noBreakHyphen/>
            </w:r>
            <w:r>
              <w:rPr>
                <w:b/>
                <w:noProof/>
              </w:rPr>
              <w:t>mechanisme met Turkije</w:t>
            </w:r>
          </w:p>
        </w:tc>
        <w:tc>
          <w:tcPr>
            <w:tcW w:w="169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b/>
                <w:noProof/>
              </w:rPr>
              <w:t>Derde land waaruit hervestiging heeft plaatsgevonden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Oostenrijk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1 900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1 643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Libanon: 886; Jordanië: 573; Turkije: 183; Irak: 1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België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1 100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597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 xml:space="preserve">Libanon: 439; </w:t>
            </w:r>
            <w:r>
              <w:rPr>
                <w:b/>
                <w:noProof/>
              </w:rPr>
              <w:t xml:space="preserve">Turkije: </w:t>
            </w:r>
            <w:r>
              <w:rPr>
                <w:noProof/>
              </w:rPr>
              <w:t xml:space="preserve">106 (van wie </w:t>
            </w:r>
            <w:r>
              <w:rPr>
                <w:b/>
                <w:noProof/>
              </w:rPr>
              <w:t>102 via het 1:1-mechanisme</w:t>
            </w:r>
            <w:r>
              <w:rPr>
                <w:noProof/>
              </w:rPr>
              <w:t>); Jordanië: 28; Egypte: 24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Bulgarije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50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Kroatië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150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Cyprus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69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Tsjechië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400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52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Libanon: 32; Jordanië: 20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Denemarken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1 000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481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Libanon; Uganda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Estland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Turkije: 20 via het 1:1-mechanisme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Finland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293</w:t>
            </w:r>
            <w:r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293</w:t>
            </w:r>
            <w:r>
              <w:rPr>
                <w:rStyle w:val="FootnoteReference"/>
                <w:noProof/>
              </w:rPr>
              <w:footnoteReference w:id="3"/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noProof/>
              </w:rPr>
              <w:t xml:space="preserve">Libanon: 245; Egypte: 37; Jordanië: 4; Irak: 3; Jemen: 2; Israël 2; </w:t>
            </w:r>
            <w:r>
              <w:rPr>
                <w:b/>
                <w:noProof/>
              </w:rPr>
              <w:t>Turkije: 248 via het 1:1-mechanisme, buiten de regeling van 20 juli om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Frankrijk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2 375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1 200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b/>
                <w:noProof/>
              </w:rPr>
              <w:t>Turkije: 522 in het kader van het 1:1-mechanisme (van wie 228 in het kader van de regeling van 20 juli en 261 buiten de regeling van 20 juli om</w:t>
            </w:r>
            <w:r>
              <w:rPr>
                <w:rStyle w:val="FootnoteReference"/>
                <w:b/>
                <w:noProof/>
              </w:rPr>
              <w:footnoteReference w:id="4"/>
            </w:r>
            <w:r>
              <w:rPr>
                <w:b/>
                <w:noProof/>
              </w:rPr>
              <w:t>);</w:t>
            </w:r>
            <w:r>
              <w:rPr>
                <w:noProof/>
              </w:rPr>
              <w:t xml:space="preserve"> Libanon: 513; Jordanië: 362; Irak: 8; andere landen: 89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Duitsland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1 600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1 403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Turkije: 1 403 via het 1:1-mechanisme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Griekenland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354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Hongarije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i/>
                <w:noProof/>
                <w:szCs w:val="20"/>
              </w:rPr>
            </w:pPr>
            <w:r>
              <w:rPr>
                <w:b/>
                <w:i/>
                <w:noProof/>
              </w:rPr>
              <w:t>IJsland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i/>
                <w:noProof/>
                <w:szCs w:val="20"/>
              </w:rPr>
            </w:pPr>
            <w:r>
              <w:rPr>
                <w:i/>
                <w:noProof/>
              </w:rPr>
              <w:t>50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50</w:t>
            </w:r>
            <w:r>
              <w:rPr>
                <w:rStyle w:val="FootnoteReference"/>
                <w:i/>
                <w:noProof/>
              </w:rPr>
              <w:footnoteReference w:id="5"/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Libanon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Ierland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520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520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Libanon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Italië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1 989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673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 xml:space="preserve">Libanon: 490; </w:t>
            </w:r>
            <w:r>
              <w:rPr>
                <w:b/>
                <w:noProof/>
              </w:rPr>
              <w:t>Turkije: 117 via het 1:1-mechanisme;</w:t>
            </w:r>
            <w:r>
              <w:rPr>
                <w:noProof/>
              </w:rPr>
              <w:t xml:space="preserve"> Sudan: 48; Jordanië: 18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Letland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50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b/>
                <w:noProof/>
              </w:rPr>
              <w:t>Turkije: 10 via het 1:1-mechanisme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i/>
                <w:noProof/>
                <w:szCs w:val="20"/>
              </w:rPr>
            </w:pPr>
            <w:r>
              <w:rPr>
                <w:b/>
                <w:i/>
                <w:noProof/>
              </w:rPr>
              <w:t>Liechtenstein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i/>
                <w:noProof/>
                <w:szCs w:val="20"/>
              </w:rPr>
            </w:pPr>
            <w:r>
              <w:rPr>
                <w:i/>
                <w:noProof/>
              </w:rPr>
              <w:t>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Turkije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Litouwen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70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25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Turkije: 25 via het 1:1-mechanisme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Luxemburg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30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  <w:r>
              <w:rPr>
                <w:rStyle w:val="FootnoteReference"/>
                <w:noProof/>
              </w:rPr>
              <w:footnoteReference w:id="7"/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Turkije: 98 via het 1:1-mechanisme, buiten de regeling van 20 juli om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Malta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Nederland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1 000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1 000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b/>
                <w:noProof/>
              </w:rPr>
              <w:t xml:space="preserve">Turkije: 673 via het 1:1-mechanisme (van wie 556 in het kader van de regeling van 20 juli en 117 buiten de regeling van 20 juli om); </w:t>
            </w:r>
            <w:r>
              <w:rPr>
                <w:noProof/>
              </w:rPr>
              <w:t>Turkije: 7; Libanon: 341; Kenia: 70; Ethiopië: 8; Jordanië: 7; Libië: 4; Israël: 2; Irak, Marokko, Egypte, Saudi-Arabië, Syrië: 1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i/>
                <w:noProof/>
                <w:szCs w:val="20"/>
              </w:rPr>
            </w:pPr>
            <w:r>
              <w:rPr>
                <w:b/>
                <w:i/>
                <w:noProof/>
              </w:rPr>
              <w:t>Noorwegen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i/>
                <w:noProof/>
                <w:szCs w:val="20"/>
              </w:rPr>
            </w:pPr>
            <w:r>
              <w:rPr>
                <w:i/>
                <w:noProof/>
              </w:rPr>
              <w:t>3 500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2 924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Libanon: 2 552; Turkije: 351</w:t>
            </w:r>
            <w:r>
              <w:rPr>
                <w:rStyle w:val="FootnoteReference"/>
                <w:i/>
                <w:noProof/>
              </w:rPr>
              <w:footnoteReference w:id="8"/>
            </w:r>
            <w:r>
              <w:rPr>
                <w:i/>
                <w:noProof/>
              </w:rPr>
              <w:t xml:space="preserve"> (van wie 150 sinds 4 april 2016); Jordanië: 21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Polen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900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Portugal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191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12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b/>
                <w:noProof/>
              </w:rPr>
              <w:t>Turkije: 12 via het 1:1-mechanisme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Roemenië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80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Slowakije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Slovenië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Spanje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1 449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289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noProof/>
                <w:szCs w:val="20"/>
              </w:rPr>
            </w:pPr>
            <w:r>
              <w:rPr>
                <w:noProof/>
              </w:rPr>
              <w:t xml:space="preserve">Libanon: 232; </w:t>
            </w:r>
            <w:r>
              <w:rPr>
                <w:b/>
                <w:noProof/>
              </w:rPr>
              <w:t>Turkije: 57 via het 1:1-mechanisme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Zweden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491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491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b/>
                <w:noProof/>
              </w:rPr>
              <w:t>Turkije: 278 via het 1:1-mechanisme (van wie 269 in het kader van de regeling van 20 juli);</w:t>
            </w:r>
            <w:r>
              <w:rPr>
                <w:noProof/>
              </w:rPr>
              <w:t xml:space="preserve"> Sudan: 124; Kenia: 80; Libanon: 8; Irak: 8; Egypte: 1; Jordanië: 1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i/>
                <w:noProof/>
                <w:szCs w:val="20"/>
              </w:rPr>
            </w:pPr>
            <w:r>
              <w:rPr>
                <w:b/>
                <w:i/>
                <w:noProof/>
              </w:rPr>
              <w:t>Zwitserland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i/>
                <w:noProof/>
                <w:szCs w:val="20"/>
              </w:rPr>
            </w:pPr>
            <w:r>
              <w:rPr>
                <w:i/>
                <w:noProof/>
              </w:rPr>
              <w:t>519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519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i/>
                <w:noProof/>
                <w:szCs w:val="20"/>
              </w:rPr>
            </w:pPr>
            <w:r>
              <w:rPr>
                <w:i/>
                <w:noProof/>
              </w:rPr>
              <w:t>Libanon: 431; Syrië: 88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Verenigd Koninkrijk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noProof/>
              </w:rPr>
              <w:t>2 200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noProof/>
              </w:rPr>
              <w:t>2 200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  <w:lang w:val="nb-NO"/>
              </w:rPr>
            </w:pPr>
            <w:r>
              <w:rPr>
                <w:noProof/>
                <w:lang w:val="nb-NO"/>
              </w:rPr>
              <w:t>Jordanië, Libanon, Turkije, Egypte, Irak en andere landen</w:t>
            </w:r>
          </w:p>
        </w:tc>
      </w:tr>
      <w:tr>
        <w:trPr>
          <w:cantSplit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TOTAAL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noProof/>
                <w:szCs w:val="20"/>
              </w:rPr>
            </w:pPr>
            <w:r>
              <w:rPr>
                <w:b/>
                <w:noProof/>
              </w:rPr>
              <w:t>22 504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noProof/>
                <w:szCs w:val="20"/>
              </w:rPr>
            </w:pPr>
            <w:r>
              <w:rPr>
                <w:b/>
                <w:noProof/>
              </w:rPr>
              <w:t>14 422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  <w:noProof/>
                <w:szCs w:val="20"/>
              </w:rPr>
            </w:pPr>
            <w:r>
              <w:rPr>
                <w:b/>
                <w:noProof/>
              </w:rPr>
              <w:t>In totaal zijn 3 565 personen hervestigd vanuit Turkije via het 1:1-mechanisme, van wie 2 799 op basis van de regeling van 20 juli 2015</w:t>
            </w:r>
          </w:p>
        </w:tc>
      </w:tr>
    </w:tbl>
    <w:p>
      <w:pPr>
        <w:spacing w:after="120"/>
        <w:rPr>
          <w:rFonts w:cs="Times New Roman"/>
          <w:b/>
          <w:noProof/>
        </w:rPr>
      </w:pP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720" w:bottom="284" w:left="72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0400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Dit aantal maakt deel uit van het nationale hervestigingsquotum van Finland voor 2016 van 750 personen.</w:t>
      </w:r>
    </w:p>
  </w:footnote>
  <w:footnote w:id="3">
    <w:p>
      <w:pPr>
        <w:pStyle w:val="FootnoteText"/>
        <w:rPr>
          <w:rFonts w:cs="Times New Roman"/>
          <w:szCs w:val="16"/>
        </w:rPr>
      </w:pPr>
      <w:r>
        <w:rPr>
          <w:rStyle w:val="FootnoteReference"/>
        </w:rPr>
        <w:footnoteRef/>
      </w:r>
      <w:r>
        <w:tab/>
        <w:t>Dit aantal is exclusief de 248 Syriërs die zijn hervestigd vanuit Turkije via het 1:1</w:t>
      </w:r>
      <w:r>
        <w:noBreakHyphen/>
        <w:t>mechanisme met toepassing van de Finse nationale regeling.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261 Syriërs die, buiten de regeling van 20 juli om, uit Turkije zijn hervestigd, moeten overeenkomstig Besluit (EU) 2016/1754 worden meegerekend.</w:t>
      </w:r>
    </w:p>
  </w:footnote>
  <w:footnote w:id="5">
    <w:p>
      <w:pPr>
        <w:pStyle w:val="FootnoteText"/>
        <w:rPr>
          <w:rFonts w:cs="Times New Roman"/>
          <w:szCs w:val="16"/>
        </w:rPr>
      </w:pPr>
      <w:r>
        <w:rPr>
          <w:rStyle w:val="FootnoteReference"/>
        </w:rPr>
        <w:footnoteRef/>
      </w:r>
      <w:r>
        <w:tab/>
        <w:t>IJsland heeft in totaal 97 personen hervestigd, allen uit Libanon.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Ierland zal personen die internationale bescherming behoeven, blijven toelaten in het kader van het nationale hervestigingsprogramma.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Er heeft nog geen hervestiging plaatsgevonden in het kader van de conclusies van 20 juli 2015, maar in het kader van het 1:1-mechanisme zijn via de Luxemburgse nationale regeling wel 98 Syriërs hervestigd, die overeenkomstig Besluit (EU) 2016/1754 moeten worden meegerekend.</w:t>
      </w:r>
    </w:p>
  </w:footnote>
  <w:footnote w:id="8">
    <w:p>
      <w:pPr>
        <w:pStyle w:val="FootnoteText"/>
        <w:rPr>
          <w:rFonts w:cs="Times New Roman"/>
          <w:szCs w:val="16"/>
        </w:rPr>
      </w:pPr>
      <w:r>
        <w:rPr>
          <w:rStyle w:val="FootnoteReference"/>
        </w:rPr>
        <w:footnoteRef/>
      </w:r>
      <w:r>
        <w:tab/>
        <w:t>Sinds 4 april 2016 heeft Noorwegen 150 Syriërs uit Turkije hervestigd via de operationele standaardprocedures voor hervestiging die met Turkije zijn overeengekomen in het kader van de 1:1-regeling. Het aantal hervestigingen in Noorwegen in het kader van de 1:1-regeling is niet in mindering gebracht op de terugkeer van Syriërs vanuit Griekenland.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69F"/>
    <w:multiLevelType w:val="hybridMultilevel"/>
    <w:tmpl w:val="EBBC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bij het"/>
    <w:docVar w:name="LW_ANNEX_NBR_FIRST" w:val="4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FA8ED796076A48CEA609DE219E8CB24E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MARKING" w:val="&lt;UNUSED&gt;"/>
    <w:docVar w:name="LW_NOM.INST" w:val="EUROPESE COMMISSIE"/>
    <w:docVar w:name="LW_NOM.INST_JOINTDOC" w:val="&lt;EMPTY&gt;"/>
    <w:docVar w:name="LW_OBJETACTEPRINCIPAL.CP" w:val="Tiende verslag over herplaatsing en hervestiging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BIJLAGE_x000b_"/>
    <w:docVar w:name="LW_TYPEACTEPRINCIPAL.CP" w:val="VERSLAG VAN DE COMMISSIE AAN HET EUROPEES PARLEMENT, DE EUROPESE RAAD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Pr>
      <w:rFonts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  <w:rPr>
      <w:rFonts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  <w:rPr>
      <w:rFonts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Pr>
      <w:rFonts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  <w:jc w:val="left"/>
    </w:pPr>
    <w:rPr>
      <w:rFonts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  <w:rPr>
      <w:rFonts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s_x0020_number xmlns="47eefe9a-f81e-47cf-b703-dc75e53a6b28" xsi:nil="true"/>
    <Deadline_x0020_DIR xmlns="47eefe9a-f81e-47cf-b703-dc75e53a6b28">2016-03-02T15:55:01+00:00</Deadline_x0020_DIR>
    <EC_Collab_Reference xmlns="47eefe9a-f81e-47cf-b703-dc75e53a6b28" xsi:nil="true"/>
    <CF xmlns="47eefe9a-f81e-47cf-b703-dc75e53a6b28">C</CF>
    <_Status xmlns="http://schemas.microsoft.com/sharepoint/v3/fields">Not Started</_Status>
    <EC_Collab_DocumentLanguage xmlns="47eefe9a-f81e-47cf-b703-dc75e53a6b28">EN</EC_Collab_DocumentLanguage>
    <Deadline xmlns="47eefe9a-f81e-47cf-b703-dc75e53a6b28">2016-03-02T15:55:01+00:00</Deadline>
    <ASOC xmlns="47eefe9a-f81e-47cf-b703-dc75e53a6b28">C</ASOC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647-51AB-4EB5-B59E-0F8D06319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C3AD-AB64-4306-89E7-3CA82C6F0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632A-5407-43A6-AE38-F1A1F9C01E0C}">
  <ds:schemaRefs>
    <ds:schemaRef ds:uri="http://schemas.microsoft.com/office/2006/metadata/properties"/>
    <ds:schemaRef ds:uri="http://schemas.microsoft.com/office/infopath/2007/PartnerControls"/>
    <ds:schemaRef ds:uri="47eefe9a-f81e-47cf-b703-dc75e53a6b28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0B12815-FAE4-4FD4-BB82-5C25378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473</Words>
  <Characters>2243</Characters>
  <Application>Microsoft Office Word</Application>
  <DocSecurity>0</DocSecurity>
  <Lines>186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SELMAYR Martin (PRES-ELECT)</dc:creator>
  <cp:lastModifiedBy>DIGIT/A3</cp:lastModifiedBy>
  <cp:revision>22</cp:revision>
  <cp:lastPrinted>2017-02-28T16:39:00Z</cp:lastPrinted>
  <dcterms:created xsi:type="dcterms:W3CDTF">2017-02-28T16:39:00Z</dcterms:created>
  <dcterms:modified xsi:type="dcterms:W3CDTF">2017-03-27T10:56:00Z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0x010100258AA79CEB83498886A3A0868112325000DB080E8D204D504794FE96D03734DA79</vt:lpwstr>
  </property>
  <property fmtid="{D5CDD505-2E9C-101B-9397-08002B2CF9AE}" pid="3" name="First annex">
    <vt:lpwstr>4</vt:lpwstr>
  </property>
  <property fmtid="{D5CDD505-2E9C-101B-9397-08002B2CF9AE}" pid="4" name="Last annex">
    <vt:lpwstr>4</vt:lpwstr>
  </property>
  <property fmtid="{D5CDD505-2E9C-101B-9397-08002B2CF9AE}" pid="5" name="Part">
    <vt:lpwstr>1</vt:lpwstr>
  </property>
  <property fmtid="{D5CDD505-2E9C-101B-9397-08002B2CF9AE}" pid="6" name="Total parts">
    <vt:lpwstr>1</vt:lpwstr>
  </property>
  <property fmtid="{D5CDD505-2E9C-101B-9397-08002B2CF9AE}" pid="7" name="Classification">
    <vt:lpwstr> </vt:lpwstr>
  </property>
  <property fmtid="{D5CDD505-2E9C-101B-9397-08002B2CF9AE}" pid="8" name="DocStatus">
    <vt:lpwstr>Green</vt:lpwstr>
  </property>
</Properties>
</file>