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D7C555BC98747EC8CB3923D1C527BD3" style="width:450.85pt;height:378.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rPr>
          <w:noProof/>
        </w:rPr>
      </w:pPr>
      <w:r>
        <w:rPr>
          <w:noProof/>
        </w:rPr>
        <w:t>O Regulamento (UE) n.º 515/2014 do Parlamento Europeu e do Conselho, de 16 de abril de 2014, que cria, no âmbito do Fundo para a Segurança Interna, um instrumento de apoio financeiro em matéria de fronteiras externas e de vistos e que revoga a Decisão n.º 574/2007/CE, entrou em vigor a 21 de maio de 2014 e é aplicável desde 1 de janeiro de 2014</w:t>
      </w:r>
      <w:r>
        <w:rPr>
          <w:rStyle w:val="FootnoteReference"/>
          <w:noProof/>
        </w:rPr>
        <w:footnoteReference w:id="1"/>
      </w:r>
      <w:r>
        <w:rPr>
          <w:noProof/>
        </w:rPr>
        <w:t>.</w:t>
      </w:r>
    </w:p>
    <w:p>
      <w:pPr>
        <w:rPr>
          <w:noProof/>
        </w:rPr>
      </w:pPr>
      <w:r>
        <w:rPr>
          <w:noProof/>
        </w:rPr>
        <w:t>O Regulamento (UE) n.º 514/2014 do Parlamento Europeu e do Conselho, de 16 de abril de 2014, que estabelece disposições gerais aplicáveis ao Fundo para o Asilo, a Migração e a Integração e ao instrumento de apoio financeiro à cooperação policial, à prevenção e luta contra a criminalidade e à gestão de crises, também entrou em vigor a 21 de maio de 2014 e é aplicável desde 1 de janeiro de 2014</w:t>
      </w:r>
      <w:r>
        <w:rPr>
          <w:rStyle w:val="FootnoteReference"/>
          <w:noProof/>
        </w:rPr>
        <w:footnoteReference w:id="2"/>
      </w:r>
      <w:r>
        <w:rPr>
          <w:noProof/>
        </w:rPr>
        <w:t>. Nos termos do artigo 19.º do Regulamento (UE) n.º 515/2014, as disposições do Regulamento (UE) n.º 514/2014 são aplicáveis ao instrumento de apoio financeiro em matéria de fronteiras externas e de vistos no âmbito do Fundo para a Segurança Interna (a seguir designado por «FSI – Fronteiras e Vistos»).</w:t>
      </w:r>
    </w:p>
    <w:p>
      <w:pPr>
        <w:rPr>
          <w:noProof/>
        </w:rPr>
      </w:pPr>
      <w:r>
        <w:rPr>
          <w:noProof/>
        </w:rPr>
        <w:t>O objetivo do FSI – Fronteiras e Vistos consiste em criar um mecanismo de solidariedade que vincule os Estados participantes às mesmas normas europeias de controlo das fronteiras externas, por conta uns dos outros, em prol dos interesses mútuos. O FSI – Fronteiras e Vistos servirá para cumprir um dos objetivos fundamentais do acervo de Schengen, nomeadamente partilhar a responsabilidade por «assegurar um nível de controlo eficiente, elevado e uniforme nas suas fronteiras externas», segundo o disposto no artigo 15.º do Regulamento (UE) 2016/399 do Parlamento Europeu e do Conselho</w:t>
      </w:r>
      <w:r>
        <w:rPr>
          <w:rStyle w:val="FootnoteReference"/>
          <w:noProof/>
        </w:rPr>
        <w:footnoteReference w:id="3"/>
      </w:r>
      <w:r>
        <w:rPr>
          <w:noProof/>
        </w:rPr>
        <w:t>. Trata-se, assim, de um desenvolvimento do acervo de Schengen.</w:t>
      </w:r>
    </w:p>
    <w:p>
      <w:pPr>
        <w:rPr>
          <w:noProof/>
        </w:rPr>
      </w:pPr>
      <w:r>
        <w:rPr>
          <w:noProof/>
        </w:rPr>
        <w:t>O artigo 5.º, n.º 7, do Regulamento (UE) n.º 515/2014 dispõe que os países associados à execução, aplicação e desenvolvimento do acervo de Schengen participam no instrumento nos termos previstos nesse mesmo diploma e que serão celebrados acordos para especificar as contribuições financeiras desses países, assim como as normas complementares necessárias a essa participação, incluindo disposições que garantam a proteção dos interesses financeiros da União e o exercício das competências de auditoria do Tribunal de Contas, dado que os respetivos acordos de associação não incluem normas deste tipo.</w:t>
      </w:r>
    </w:p>
    <w:p>
      <w:pPr>
        <w:rPr>
          <w:noProof/>
        </w:rPr>
      </w:pPr>
      <w:r>
        <w:rPr>
          <w:noProof/>
        </w:rPr>
        <w:t xml:space="preserve">O objetivo do projeto de acordo com a Islândia (a seguir designada por «país associado») é estabelecer as normas referidas no artigo 5.º, n.º 7, do Regulamento (UE) n.º 515/2014 e permitir à Comissão assumir a responsabilidade final pela execução do orçamento do instrumento neste país associado e determinar a contribuição do mesmo para o orçamento da União no que diz respeito ao referido instrumento. </w:t>
      </w:r>
    </w:p>
    <w:p>
      <w:pPr>
        <w:rPr>
          <w:noProof/>
        </w:rPr>
      </w:pPr>
      <w:r>
        <w:rPr>
          <w:noProof/>
        </w:rPr>
        <w:t xml:space="preserve">No que se refere aos controlos orçamentais e financeiros, os Estados-Membros estão sujeitos a obrigações horizontais (nomeadamente, a competência do Tribunal de Contas e do Organismo Europeu de Luta Antifraude – OLAF) diretamente decorrentes do Tratado ou do direito derivado da União. Estas obrigações aplicam-se diretamente aos Estados-Membros e, por conseguinte, não são estabelecidas no Regulamento (UE) n.º 515/2014. No entanto, segundo o disposto no artigo 5.º, n.º 7, do Regulamento (UE) n.º 515/2014, devem ser alargadas ao país associado por meio de um projeto de acordo. </w:t>
      </w:r>
    </w:p>
    <w:p>
      <w:pPr>
        <w:rPr>
          <w:noProof/>
        </w:rPr>
      </w:pPr>
      <w:r>
        <w:rPr>
          <w:noProof/>
        </w:rPr>
        <w:t xml:space="preserve">No intuito de proteger os interesses financeiros da União contra a fraude e outras irregularidades, o Regulamento (UE) n.º 514/2014 prevê que o pessoal da Comissão, o Tribunal de Contas e o OLAF devem ter acesso adequado à realização dos controlos que lhes competem. O artigo 5.º, n.º 9, do Regulamento (UE) n.º 514/2014 acrescenta que os acordos de cooperação com países terceiros devem habilitar expressamente a Comissão, o Tribunal de Contas e o OLAF a conduzir tais auditorias, controlos no local e inspeções. Por conseguinte, o projeto de acordo prevê essa habilitação. </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vigentes no mesmo domínio de intervenção</w:t>
      </w:r>
    </w:p>
    <w:p>
      <w:pPr>
        <w:pBdr>
          <w:top w:val="nil"/>
          <w:left w:val="nil"/>
          <w:bottom w:val="nil"/>
          <w:right w:val="nil"/>
          <w:between w:val="nil"/>
          <w:bar w:val="nil"/>
        </w:pBdr>
        <w:spacing w:before="0" w:after="240"/>
        <w:rPr>
          <w:rFonts w:eastAsia="Arial Unicode MS"/>
          <w:noProof/>
        </w:rPr>
      </w:pPr>
      <w:r>
        <w:rPr>
          <w:noProof/>
        </w:rPr>
        <w:t>Não aplicável</w:t>
      </w:r>
      <w:r>
        <w:t>.</w:t>
      </w:r>
    </w:p>
    <w:p>
      <w:pPr>
        <w:pStyle w:val="ManualHeading2"/>
        <w:rPr>
          <w:rFonts w:eastAsia="Arial Unicode MS"/>
          <w:noProof/>
        </w:rPr>
      </w:pPr>
      <w:r>
        <w:rPr>
          <w:noProof/>
          <w:color w:val="000000"/>
          <w:u w:color="000000"/>
          <w:bdr w:val="nil"/>
        </w:rPr>
        <w:t>•</w:t>
      </w:r>
      <w:r>
        <w:rPr>
          <w:noProof/>
        </w:rPr>
        <w:tab/>
        <w:t>Coerência com outras políticas da União</w:t>
      </w:r>
    </w:p>
    <w:p>
      <w:pPr>
        <w:pBdr>
          <w:top w:val="nil"/>
          <w:left w:val="nil"/>
          <w:bottom w:val="nil"/>
          <w:right w:val="nil"/>
          <w:between w:val="nil"/>
          <w:bar w:val="nil"/>
        </w:pBdr>
        <w:spacing w:before="0" w:after="240"/>
        <w:rPr>
          <w:noProof/>
        </w:rPr>
      </w:pPr>
      <w:r>
        <w:rPr>
          <w:noProof/>
        </w:rPr>
        <w:t>Não aplicável.</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rPr>
          <w:noProof/>
        </w:rPr>
      </w:pPr>
      <w:r>
        <w:rPr>
          <w:noProof/>
        </w:rPr>
        <w:t>Tendo como objetivo a celebração de acordos entre a União Europeia e a Islândia sobre a contribuição deste país para o instrumento de apoio financeiro em matéria de fronteiras externas e de vistos para o período de 2014 a 2020 e as normas complementares necessárias a essa participação, a presente proposta de celebração do acordo tem como base os artigos 77.º, n.º 2, e 218.º, n.º 6, alínea a), do Tratado sobre o Funcionamento da União Europeia.</w:t>
      </w:r>
    </w:p>
    <w:p>
      <w:pPr>
        <w:pStyle w:val="ManualHeading2"/>
        <w:rPr>
          <w:rFonts w:eastAsia="Arial Unicode MS"/>
          <w:noProof/>
          <w:u w:color="000000"/>
          <w:bdr w:val="nil"/>
        </w:rPr>
      </w:pPr>
      <w:r>
        <w:rPr>
          <w:noProof/>
        </w:rPr>
        <w:t>•</w:t>
      </w:r>
      <w:r>
        <w:rPr>
          <w:noProof/>
        </w:rPr>
        <w:tab/>
        <w:t xml:space="preserve">Necessidade da decisão proposta </w:t>
      </w:r>
    </w:p>
    <w:p>
      <w:pPr>
        <w:pBdr>
          <w:top w:val="nil"/>
          <w:left w:val="nil"/>
          <w:bottom w:val="nil"/>
          <w:right w:val="nil"/>
          <w:between w:val="nil"/>
          <w:bar w:val="nil"/>
        </w:pBdr>
        <w:spacing w:before="0" w:after="240"/>
        <w:rPr>
          <w:noProof/>
        </w:rPr>
      </w:pPr>
      <w:r>
        <w:rPr>
          <w:noProof/>
        </w:rPr>
        <w:t>Nos termos do artigo 5.º, n.º 7, do Regulamento (UE) n.º 515/2014, a celebração do acordo com a Islândia é necessária para o estabelecimento do regime de contribuição deste país para o instrumento de apoio financeiro em matéria de fronteiras externas e de vistos para o período de 2014 a 2020 e das normas complementares necessárias a essa participação.</w:t>
      </w: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rFonts w:eastAsia="Arial Unicode MS"/>
          <w:noProof/>
        </w:rPr>
      </w:pPr>
      <w:r>
        <w:rPr>
          <w:noProof/>
        </w:rPr>
        <w:t>Não aplicável</w:t>
      </w:r>
      <w:r>
        <w:t>.</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rFonts w:eastAsia="Arial Unicode MS"/>
          <w:noProof/>
        </w:rPr>
      </w:pPr>
      <w:r>
        <w:rPr>
          <w:noProof/>
        </w:rPr>
        <w:t>Não aplicável</w:t>
      </w:r>
      <w:r>
        <w:t>.</w:t>
      </w:r>
    </w:p>
    <w:p>
      <w:pPr>
        <w:pStyle w:val="ManualHeading1"/>
        <w:rPr>
          <w:noProof/>
        </w:rPr>
      </w:pPr>
      <w:r>
        <w:rPr>
          <w:noProof/>
        </w:rPr>
        <w:t>3.</w:t>
      </w:r>
      <w:r>
        <w:rPr>
          <w:noProof/>
        </w:rPr>
        <w:tab/>
        <w:t xml:space="preserve">RESULTADOS DAS AVALIAÇÕES </w:t>
      </w:r>
      <w:r>
        <w:rPr>
          <w:i/>
          <w:noProof/>
        </w:rPr>
        <w:t>EX POST</w:t>
      </w:r>
      <w:r>
        <w:rPr>
          <w:noProof/>
        </w:rPr>
        <w:t>, DA CONSULTA DAS PARTES INTERESSADAS E DAS AVALIAÇÕES DE IMPACTO</w:t>
      </w:r>
    </w:p>
    <w:p>
      <w:pPr>
        <w:pStyle w:val="ManualHeading2"/>
        <w:rPr>
          <w:rFonts w:eastAsia="Arial Unicode MS"/>
          <w:noProof/>
          <w:u w:color="000000"/>
          <w:bdr w:val="nil"/>
        </w:rPr>
      </w:pPr>
      <w:r>
        <w:rPr>
          <w:noProof/>
        </w:rPr>
        <w:t>•</w:t>
      </w:r>
      <w:r>
        <w:rPr>
          <w:noProof/>
        </w:rPr>
        <w:tab/>
        <w:t xml:space="preserve">Avaliações </w:t>
      </w:r>
      <w:r>
        <w:rPr>
          <w:i/>
          <w:noProof/>
        </w:rPr>
        <w:t>ex post</w:t>
      </w:r>
      <w:r>
        <w:rPr>
          <w:noProof/>
        </w:rPr>
        <w:t>/controlos de adequação da legislação vigente</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rPr>
        <w:t>•</w:t>
      </w:r>
      <w:r>
        <w:rPr>
          <w:noProof/>
        </w:rPr>
        <w:tab/>
        <w:t>Consultas das partes interessadas</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rPr>
        <w:t>•</w:t>
      </w:r>
      <w:r>
        <w:rPr>
          <w:noProof/>
        </w:rPr>
        <w:tab/>
        <w:t>Obtenção e utilização de competências especializadas</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noProof/>
        </w:rPr>
      </w:pPr>
      <w:r>
        <w:rPr>
          <w:noProof/>
        </w:rPr>
        <w:t xml:space="preserve">Não aplicável, dado que a proposta está ligada à gestão do programa e tem como objetivo a assinatura de um acordo internacional negociado com base nas diretrizes de negociação estabelecidas pelo Conselho. </w:t>
      </w:r>
    </w:p>
    <w:p>
      <w:pPr>
        <w:pStyle w:val="ManualHeading2"/>
        <w:rPr>
          <w:rFonts w:eastAsia="Arial Unicode MS"/>
          <w:noProof/>
          <w:u w:color="000000"/>
          <w:bdr w:val="nil"/>
        </w:rPr>
      </w:pPr>
      <w:r>
        <w:rPr>
          <w:noProof/>
        </w:rPr>
        <w:t>•</w:t>
      </w:r>
      <w:r>
        <w:rPr>
          <w:noProof/>
        </w:rPr>
        <w:tab/>
        <w:t>Adequação e simplificação da legislação</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rPr>
        <w:t>•</w:t>
      </w:r>
      <w:r>
        <w:rPr>
          <w:noProof/>
        </w:rPr>
        <w:tab/>
        <w:t>Direitos fundamentais</w:t>
      </w:r>
    </w:p>
    <w:p>
      <w:pPr>
        <w:pBdr>
          <w:top w:val="nil"/>
          <w:left w:val="nil"/>
          <w:bottom w:val="nil"/>
          <w:right w:val="nil"/>
          <w:between w:val="nil"/>
          <w:bar w:val="nil"/>
        </w:pBdr>
        <w:spacing w:before="0" w:after="240"/>
        <w:rPr>
          <w:noProof/>
        </w:rPr>
      </w:pPr>
      <w:r>
        <w:rPr>
          <w:noProof/>
        </w:rPr>
        <w:t>Não aplicável.</w:t>
      </w:r>
    </w:p>
    <w:p>
      <w:pPr>
        <w:pStyle w:val="ManualHeading1"/>
        <w:rPr>
          <w:noProof/>
        </w:rPr>
      </w:pPr>
      <w:r>
        <w:rPr>
          <w:noProof/>
        </w:rPr>
        <w:t>4.</w:t>
      </w:r>
      <w:r>
        <w:rPr>
          <w:noProof/>
        </w:rPr>
        <w:tab/>
        <w:t>INCIDÊNCIA ORÇAMENTAL</w:t>
      </w:r>
    </w:p>
    <w:p>
      <w:pPr>
        <w:rPr>
          <w:noProof/>
        </w:rPr>
      </w:pPr>
      <w:r>
        <w:rPr>
          <w:noProof/>
        </w:rPr>
        <w:t>O artigo 10.º e o anexo do projeto de acordo incluem disposições relativas à contribuição financeira anual do país associado para o orçamento do Fundo para a Segurança Interna – Fronteiras e Vistos e à sua eventual adaptação à situação descrita no anexo.</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Aplicação territorial</w:t>
      </w:r>
    </w:p>
    <w:p>
      <w:pPr>
        <w:pBdr>
          <w:top w:val="nil"/>
          <w:left w:val="nil"/>
          <w:bottom w:val="nil"/>
          <w:right w:val="nil"/>
          <w:between w:val="nil"/>
          <w:bar w:val="nil"/>
        </w:pBdr>
        <w:spacing w:before="0" w:after="240"/>
        <w:rPr>
          <w:noProof/>
        </w:rPr>
      </w:pPr>
      <w:r>
        <w:rPr>
          <w:noProof/>
        </w:rPr>
        <w:t>O Regulamento (UE) n.º 515/2014 constitui um desenvolvimento do acervo de Schengen. A este respeito, o presente acordo com a Islândia também assenta no acervo de Schengen.</w:t>
      </w:r>
    </w:p>
    <w:p>
      <w:pPr>
        <w:pBdr>
          <w:top w:val="nil"/>
          <w:left w:val="nil"/>
          <w:bottom w:val="nil"/>
          <w:right w:val="nil"/>
          <w:between w:val="nil"/>
          <w:bar w:val="nil"/>
        </w:pBdr>
        <w:spacing w:before="0" w:after="240"/>
        <w:rPr>
          <w:noProof/>
        </w:rPr>
      </w:pPr>
      <w:r>
        <w:rPr>
          <w:noProof/>
        </w:rPr>
        <w:t>Em conformidade com os artigos 1.º e 2.º do Protocolo n.º 22 relativo à posição da Dinamarca, anexo ao TUE e ao TFUE, a Dinamarca não participa na adoção da presente decisão, não ficando por ela vinculada nem sujeita à sua aplicação. Nos termos do artigo 4.º do protocolo acima referido, a Dinamarca decidirá, no prazo de seis meses a contar da adoção da presente proposta pelo Conselho, se procederá à transposição da decisão para o direito interno.</w:t>
      </w:r>
    </w:p>
    <w:p>
      <w:pPr>
        <w:pBdr>
          <w:top w:val="nil"/>
          <w:left w:val="nil"/>
          <w:bottom w:val="nil"/>
          <w:right w:val="nil"/>
          <w:between w:val="nil"/>
          <w:bar w:val="nil"/>
        </w:pBdr>
        <w:spacing w:before="0" w:after="240"/>
        <w:rPr>
          <w:noProof/>
        </w:rPr>
      </w:pPr>
      <w:r>
        <w:rPr>
          <w:noProof/>
        </w:rPr>
        <w:t>A presente proposta constitui um desenvolvimento de disposições do acervo de Schengen em que o Reino Unido e a Irlanda não participam. Estes Estados não ficam, por conseguinte, por ela vinculados nem sujeitos à sua aplicação, em conformidade com as Decisões 2000/365/CE</w:t>
      </w:r>
      <w:r>
        <w:rPr>
          <w:rStyle w:val="FootnoteReference"/>
          <w:noProof/>
        </w:rPr>
        <w:footnoteReference w:id="4"/>
      </w:r>
      <w:r>
        <w:rPr>
          <w:noProof/>
        </w:rPr>
        <w:t xml:space="preserve"> e 2002/192/CE</w:t>
      </w:r>
      <w:r>
        <w:rPr>
          <w:rStyle w:val="FootnoteReference"/>
          <w:noProof/>
        </w:rPr>
        <w:footnoteReference w:id="5"/>
      </w:r>
      <w:r>
        <w:rPr>
          <w:noProof/>
        </w:rPr>
        <w:t xml:space="preserve"> do Conselho, respetivamente.</w:t>
      </w:r>
    </w:p>
    <w:p>
      <w:pPr>
        <w:pStyle w:val="ManualHeading2"/>
        <w:rPr>
          <w:rFonts w:eastAsia="Arial Unicode MS"/>
          <w:noProof/>
          <w:u w:color="000000"/>
          <w:bdr w:val="nil"/>
        </w:rPr>
      </w:pPr>
      <w:r>
        <w:rPr>
          <w:noProof/>
        </w:rPr>
        <w:t>•</w:t>
      </w:r>
      <w:r>
        <w:rPr>
          <w:noProof/>
        </w:rPr>
        <w:tab/>
        <w:t>Planos de execução e mecanismos de acompanhamento, de avaliação e de informação</w:t>
      </w:r>
    </w:p>
    <w:p>
      <w:pPr>
        <w:pBdr>
          <w:top w:val="nil"/>
          <w:left w:val="nil"/>
          <w:bottom w:val="nil"/>
          <w:right w:val="nil"/>
          <w:between w:val="nil"/>
          <w:bar w:val="nil"/>
        </w:pBdr>
        <w:spacing w:before="0" w:after="240"/>
        <w:rPr>
          <w:noProof/>
        </w:rPr>
      </w:pPr>
      <w:r>
        <w:rPr>
          <w:noProof/>
        </w:rPr>
        <w:t>O artigo 17.º do acordo especifica as modalidades de prestação de informações e acompanhamento. Até 15 de fevereiro de cada ano e até 2022 (inclusive), a Islândia deve apresentar à Comissão um relatório de execução anual do exercício financeiro anterior.</w:t>
      </w:r>
    </w:p>
    <w:p>
      <w:pPr>
        <w:pStyle w:val="ManualHeading2"/>
        <w:rPr>
          <w:rFonts w:eastAsia="Arial Unicode MS"/>
          <w:noProof/>
          <w:u w:color="000000"/>
          <w:bdr w:val="nil"/>
        </w:rPr>
      </w:pPr>
      <w:r>
        <w:rPr>
          <w:noProof/>
        </w:rPr>
        <w:t>•</w:t>
      </w:r>
      <w:r>
        <w:rPr>
          <w:noProof/>
        </w:rPr>
        <w:tab/>
        <w:t>Documentos explicativos (para as diretivas)</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rPr>
          <w:rFonts w:eastAsia="Arial Unicode MS"/>
          <w:noProof/>
          <w:u w:color="000000"/>
          <w:bdr w:val="nil"/>
        </w:rPr>
      </w:pPr>
      <w:r>
        <w:rPr>
          <w:noProof/>
        </w:rPr>
        <w:t>•</w:t>
      </w:r>
      <w:r>
        <w:rPr>
          <w:noProof/>
        </w:rPr>
        <w:tab/>
        <w:t>Explicação pormenorizada das disposições específicas da proposta</w:t>
      </w:r>
    </w:p>
    <w:p>
      <w:pPr>
        <w:pBdr>
          <w:top w:val="nil"/>
          <w:left w:val="nil"/>
          <w:bottom w:val="nil"/>
          <w:right w:val="nil"/>
          <w:between w:val="nil"/>
          <w:bar w:val="nil"/>
        </w:pBdr>
        <w:spacing w:before="0" w:after="240"/>
        <w:rPr>
          <w:noProof/>
        </w:rPr>
      </w:pPr>
      <w:r>
        <w:rPr>
          <w:noProof/>
        </w:rPr>
        <w:t>Não é necessária.</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À luz do acima exposto, a Comissão propõe ao Conselho que aprove, depois de obtida a aprovação do Parlamento Europeu, o Acordo com a Islândia sobre normas complementares relativas ao instrumento de apoio financeiro em matéria de fronteiras externas e de vistos, no âmbito do Fundo para a Segurança Interna, para o período de 2014 a 2020.</w:t>
      </w:r>
    </w:p>
    <w:p>
      <w:pPr>
        <w:pStyle w:val="Rfrenceinterinstitutionnelle"/>
        <w:rPr>
          <w:noProof/>
        </w:rPr>
      </w:pPr>
      <w:r>
        <w:rPr>
          <w:noProof/>
        </w:rPr>
        <w:t>2017/0088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respeitante à celebração, em nome da União Europeia, de um Acordo entre a União Europeia e a Islândia sobre normas complementares relativas ao instrumento de apoio financeiro em matéria de fronteiras externas e de vistos, no âmbito do Fundo para a Segurança Interna, para o período de 2014 a 2020</w:t>
      </w:r>
    </w:p>
    <w:p>
      <w:pPr>
        <w:pStyle w:val="Institutionquiagit"/>
        <w:rPr>
          <w:noProof/>
        </w:rPr>
      </w:pPr>
      <w:r>
        <w:rPr>
          <w:noProof/>
        </w:rPr>
        <w:t>O CONSELHO DA UNIÃO EUROPEIA,</w:t>
      </w:r>
    </w:p>
    <w:p>
      <w:pPr>
        <w:rPr>
          <w:noProof/>
        </w:rPr>
      </w:pPr>
      <w:r>
        <w:rPr>
          <w:noProof/>
        </w:rPr>
        <w:t>Tendo em conta o Tratado sobre o Funcionamento da União Europeia, nomeadamente os artigos 77.º, n.º 2, e 218.º, n.º 6, alínea a),</w:t>
      </w:r>
    </w:p>
    <w:p>
      <w:pPr>
        <w:rPr>
          <w:noProof/>
        </w:rPr>
      </w:pPr>
      <w:r>
        <w:rPr>
          <w:noProof/>
        </w:rPr>
        <w:t>Tendo em conta a proposta da Comissão Europeia,</w:t>
      </w:r>
    </w:p>
    <w:p>
      <w:pPr>
        <w:rPr>
          <w:noProof/>
        </w:rPr>
      </w:pPr>
      <w:r>
        <w:rPr>
          <w:noProof/>
        </w:rPr>
        <w:t>Tendo em conta a aprovação do Parlamento Europeu</w:t>
      </w:r>
      <w:r>
        <w:rPr>
          <w:rStyle w:val="FootnoteReference"/>
          <w:noProof/>
        </w:rPr>
        <w:footnoteReference w:id="6"/>
      </w:r>
      <w:r>
        <w:rPr>
          <w:noProof/>
        </w:rPr>
        <w:t xml:space="preserve">, </w:t>
      </w:r>
    </w:p>
    <w:p>
      <w:pPr>
        <w:rPr>
          <w:noProof/>
        </w:rPr>
      </w:pPr>
      <w:r>
        <w:rPr>
          <w:noProof/>
        </w:rPr>
        <w:t>Considerando o seguinte:</w:t>
      </w:r>
    </w:p>
    <w:p>
      <w:pPr>
        <w:pStyle w:val="ManualConsidrant"/>
        <w:rPr>
          <w:noProof/>
        </w:rPr>
      </w:pPr>
      <w:r>
        <w:t>(1)</w:t>
      </w:r>
      <w:r>
        <w:tab/>
      </w:r>
      <w:r>
        <w:rPr>
          <w:noProof/>
        </w:rPr>
        <w:t>Nos termos da Decisão 2017/XXX do Conselho, de [...]</w:t>
      </w:r>
      <w:r>
        <w:rPr>
          <w:rStyle w:val="FootnoteReference"/>
          <w:noProof/>
        </w:rPr>
        <w:footnoteReference w:id="7"/>
      </w:r>
      <w:r>
        <w:rPr>
          <w:noProof/>
        </w:rPr>
        <w:t xml:space="preserve">, o Acordo entre a União Europeia e a Islândia sobre normas complementares relativas ao instrumento de apoio financeiro em matéria de fronteiras externas e de vistos, no âmbito do Fundo para a Segurança Interna, para o período de 2014 a 2020, foi assinado em […], sob reserva da sua celebração. </w:t>
      </w:r>
    </w:p>
    <w:p>
      <w:pPr>
        <w:pStyle w:val="ManualConsidrant"/>
        <w:rPr>
          <w:noProof/>
        </w:rPr>
      </w:pPr>
      <w:r>
        <w:t>(2)</w:t>
      </w:r>
      <w:r>
        <w:tab/>
      </w:r>
      <w:r>
        <w:rPr>
          <w:noProof/>
        </w:rPr>
        <w:t>Nos termos dos artigos 1.º e 2.º do Protocolo n.º 22 relativo à posição da Dinamarca, anexo ao Tratado da União Europeia e ao Tratado sobre o Funcionamento da União Europeia, a Dinamarca não participa na adoção da presente decisão e não fica a ela vinculada nem sujeita à sua aplicação. Uma vez que a presente decisão desenvolve o acervo de Schengen, a Dinamarca devia decidir, nos termos do artigo 4.° do Protocolo acima referido e no prazo de seis meses a contar da decisão do Conselho relativa à presente decisão, se procede à sua transposição para o seu direito interno.</w:t>
      </w:r>
    </w:p>
    <w:p>
      <w:pPr>
        <w:pStyle w:val="ManualConsidrant"/>
        <w:rPr>
          <w:noProof/>
        </w:rPr>
      </w:pPr>
      <w:r>
        <w:t>(3)</w:t>
      </w:r>
      <w:r>
        <w:tab/>
      </w:r>
      <w:r>
        <w:rPr>
          <w:noProof/>
        </w:rPr>
        <w:t>A presente decisão constitui um desenvolvimento das disposições do acervo de Schengen, nas quais o Reino Unido não participa, em conformidade com a Decisão 2000/365/CE do Conselho</w:t>
      </w:r>
      <w:r>
        <w:rPr>
          <w:rStyle w:val="FootnoteReference"/>
          <w:noProof/>
        </w:rPr>
        <w:footnoteReference w:id="8"/>
      </w:r>
      <w:r>
        <w:rPr>
          <w:noProof/>
        </w:rPr>
        <w:t>. Por conseguinte, o Reino Unido não participa na sua adoção e não fica por ela vinculado nem sujeito à sua aplicação.</w:t>
      </w:r>
    </w:p>
    <w:p>
      <w:pPr>
        <w:pStyle w:val="ManualConsidrant"/>
        <w:rPr>
          <w:noProof/>
        </w:rPr>
      </w:pPr>
      <w:r>
        <w:t>(4)</w:t>
      </w:r>
      <w:r>
        <w:tab/>
      </w:r>
      <w:r>
        <w:rPr>
          <w:noProof/>
        </w:rPr>
        <w:t>A presente decisão constitui um desenvolvimento das disposições do acervo de Schengen, nas quais a Irlanda não participa, em conformidade com a Decisão 2002/192/CE do Conselho</w:t>
      </w:r>
      <w:r>
        <w:rPr>
          <w:rStyle w:val="FootnoteReference"/>
          <w:noProof/>
        </w:rPr>
        <w:footnoteReference w:id="9"/>
      </w:r>
      <w:r>
        <w:rPr>
          <w:noProof/>
        </w:rPr>
        <w:t>. Por conseguinte, a Irlanda não participa na sua adoção e não fica por ela vinculada nem sujeita à sua aplicação.</w:t>
      </w:r>
    </w:p>
    <w:p>
      <w:pPr>
        <w:pStyle w:val="ManualConsidrant"/>
        <w:rPr>
          <w:noProof/>
        </w:rPr>
      </w:pPr>
      <w:r>
        <w:t>(5)</w:t>
      </w:r>
      <w:r>
        <w:tab/>
      </w:r>
      <w:r>
        <w:rPr>
          <w:noProof/>
        </w:rPr>
        <w:t xml:space="preserve">A fim de permitir a rápida aplicação das medidas previstas no acordo e não atrasar a aprovação e a execução do programa nacional, a decisão deve entrar em vigor no dia seguinte ao da sua publicação no </w:t>
      </w:r>
      <w:r>
        <w:rPr>
          <w:i/>
          <w:noProof/>
        </w:rPr>
        <w:t>Jornal Oficial da União Europeia</w:t>
      </w:r>
      <w:r>
        <w:rPr>
          <w:noProof/>
        </w:rPr>
        <w:t xml:space="preserve">.  </w:t>
      </w:r>
    </w:p>
    <w:p>
      <w:pPr>
        <w:pStyle w:val="ManualConsidrant"/>
        <w:rPr>
          <w:noProof/>
        </w:rPr>
      </w:pPr>
      <w:r>
        <w:t>(6)</w:t>
      </w:r>
      <w:r>
        <w:tab/>
      </w:r>
      <w:r>
        <w:rPr>
          <w:noProof/>
        </w:rPr>
        <w:t>O acordo deverá ser aprovado,</w:t>
      </w:r>
    </w:p>
    <w:p>
      <w:pPr>
        <w:pStyle w:val="Formuledadoption"/>
        <w:rPr>
          <w:noProof/>
        </w:rPr>
      </w:pPr>
      <w:r>
        <w:rPr>
          <w:noProof/>
        </w:rPr>
        <w:t>ADOTOU A PRESENTE DECISÃO:</w:t>
      </w:r>
    </w:p>
    <w:p>
      <w:pPr>
        <w:pStyle w:val="Titrearticle"/>
        <w:rPr>
          <w:noProof/>
        </w:rPr>
      </w:pPr>
      <w:r>
        <w:rPr>
          <w:noProof/>
        </w:rPr>
        <w:t>Artigo 1.°</w:t>
      </w:r>
    </w:p>
    <w:p>
      <w:pPr>
        <w:rPr>
          <w:noProof/>
        </w:rPr>
      </w:pPr>
      <w:r>
        <w:rPr>
          <w:noProof/>
        </w:rPr>
        <w:t>É aprovado em nome da União o Acordo entre a União Europeia e a Islândia sobre normas complementares relativas ao instrumento de apoio financeiro em matéria de fronteiras externas e de vistos, no âmbito do Fundo para a Segurança Interna, para o período de 2014 a 2020.</w:t>
      </w:r>
    </w:p>
    <w:p>
      <w:pPr>
        <w:rPr>
          <w:noProof/>
        </w:rPr>
      </w:pPr>
      <w:r>
        <w:rPr>
          <w:noProof/>
        </w:rPr>
        <w:t>O texto do acordo acompanha a presente decisão.</w:t>
      </w:r>
    </w:p>
    <w:p>
      <w:pPr>
        <w:pStyle w:val="Titrearticle"/>
        <w:keepNext w:val="0"/>
        <w:rPr>
          <w:noProof/>
        </w:rPr>
      </w:pPr>
      <w:r>
        <w:rPr>
          <w:noProof/>
        </w:rPr>
        <w:t>Artigo 2.°</w:t>
      </w:r>
    </w:p>
    <w:p>
      <w:pPr>
        <w:rPr>
          <w:noProof/>
        </w:rPr>
      </w:pPr>
      <w:r>
        <w:rPr>
          <w:noProof/>
        </w:rPr>
        <w:t>O Presidente do Conselho designa a(s) pessoa(s) com poderes para proceder, em nome da União, à notificação prevista no artigo 19.°, n.° 2, do acordo, a fim de expressar o consentimento da União em ficar vinculada pelo acordo.</w:t>
      </w:r>
    </w:p>
    <w:p>
      <w:pPr>
        <w:pStyle w:val="Titrearticle"/>
        <w:rPr>
          <w:noProof/>
        </w:rPr>
      </w:pPr>
      <w:r>
        <w:rPr>
          <w:noProof/>
        </w:rPr>
        <w:t>Artigo 3.°</w:t>
      </w:r>
    </w:p>
    <w:p>
      <w:pPr>
        <w:rPr>
          <w:noProof/>
        </w:rPr>
      </w:pPr>
      <w:r>
        <w:rPr>
          <w:noProof/>
        </w:rPr>
        <w:t xml:space="preserve">A presente decisão entra em vigor no dia seguinte ao da sua publicação no </w:t>
      </w:r>
      <w:r>
        <w:rPr>
          <w:i/>
          <w:noProof/>
        </w:rPr>
        <w:t>Jornal Oficial da União Europeia</w:t>
      </w:r>
      <w:r>
        <w:rPr>
          <w:noProof/>
        </w:rPr>
        <w:t xml:space="preserve">. </w:t>
      </w: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150 de 20.5.2014, p. 143.</w:t>
      </w:r>
    </w:p>
  </w:footnote>
  <w:footnote w:id="2">
    <w:p>
      <w:pPr>
        <w:pStyle w:val="FootnoteText"/>
      </w:pPr>
      <w:r>
        <w:rPr>
          <w:rStyle w:val="FootnoteReference"/>
        </w:rPr>
        <w:footnoteRef/>
      </w:r>
      <w:r>
        <w:tab/>
        <w:t>JO L 150 de 20.5.2014, p. 112.</w:t>
      </w:r>
    </w:p>
  </w:footnote>
  <w:footnote w:id="3">
    <w:p>
      <w:pPr>
        <w:pStyle w:val="FootnoteText"/>
      </w:pPr>
      <w:r>
        <w:rPr>
          <w:rStyle w:val="FootnoteReference"/>
        </w:rPr>
        <w:footnoteRef/>
      </w:r>
      <w:r>
        <w:tab/>
        <w:t>JO L 77 de 23.3.2016, p. 1.</w:t>
      </w:r>
    </w:p>
  </w:footnote>
  <w:footnote w:id="4">
    <w:p>
      <w:pPr>
        <w:pStyle w:val="FootnoteText"/>
      </w:pPr>
      <w:r>
        <w:rPr>
          <w:rStyle w:val="FootnoteReference"/>
        </w:rPr>
        <w:footnoteRef/>
      </w:r>
      <w:r>
        <w:tab/>
        <w:t>Decisão do Conselho, de 29 de maio de 2000, sobre o pedido do Reino Unido da Grã-Bretanha e da Irlanda do Norte para participar em algumas das disposições do acervo de Schengen (JO L 131 de 1.6.2000, p. 43).</w:t>
      </w:r>
    </w:p>
  </w:footnote>
  <w:footnote w:id="5">
    <w:p>
      <w:pPr>
        <w:pStyle w:val="FootnoteText"/>
      </w:pPr>
      <w:r>
        <w:rPr>
          <w:rStyle w:val="FootnoteReference"/>
        </w:rPr>
        <w:footnoteRef/>
      </w:r>
      <w:r>
        <w:tab/>
        <w:t>Decisão do Conselho, de 28 de fevereiro de 2002, sobre o pedido da Irlanda para participar em algumas das disposições do acervo de Schengen (JO L 64 de 7.3.2002, p. 20).</w:t>
      </w:r>
    </w:p>
  </w:footnote>
  <w:footnote w:id="6">
    <w:p>
      <w:pPr>
        <w:pStyle w:val="FootnoteText"/>
      </w:pPr>
      <w:r>
        <w:rPr>
          <w:rStyle w:val="FootnoteReference"/>
        </w:rPr>
        <w:footnoteRef/>
      </w:r>
      <w:r>
        <w:tab/>
        <w:t>JO C  de , p. .</w:t>
      </w:r>
    </w:p>
  </w:footnote>
  <w:footnote w:id="7">
    <w:p>
      <w:pPr>
        <w:pStyle w:val="FootnoteText"/>
      </w:pPr>
      <w:r>
        <w:rPr>
          <w:rStyle w:val="FootnoteReference"/>
        </w:rPr>
        <w:footnoteRef/>
      </w:r>
      <w:r>
        <w:tab/>
        <w:t>[Referência completa]</w:t>
      </w:r>
    </w:p>
  </w:footnote>
  <w:footnote w:id="8">
    <w:p>
      <w:pPr>
        <w:pStyle w:val="FootnoteText"/>
      </w:pPr>
      <w:r>
        <w:rPr>
          <w:rStyle w:val="FootnoteReference"/>
        </w:rPr>
        <w:footnoteRef/>
      </w:r>
      <w:r>
        <w:tab/>
        <w:t>Decisão 2000/365/CE do Conselho, de 29 de maio de 2000, sobre o pedido do Reino Unido da Grã-Bretanha e da Irlanda do Norte para participar em algumas das disposições do acervo de Schengen (JO L 131 de 1.6.2000, p. 43).</w:t>
      </w:r>
    </w:p>
  </w:footnote>
  <w:footnote w:id="9">
    <w:p>
      <w:pPr>
        <w:pStyle w:val="FootnoteText"/>
      </w:pPr>
      <w:r>
        <w:rPr>
          <w:rStyle w:val="FootnoteReference"/>
        </w:rPr>
        <w:footnoteRef/>
      </w:r>
      <w:r>
        <w:tab/>
        <w:t>Decisão 2002/192/CE do Conselho, de 28 de fevereiro de 2002, sobre o pedido da Irlanda para participar em algumas das disposições do acervo de Schengen (JO L 64 de 7.3.2002, p.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0B634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802F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C4C13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DCA93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A611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E9A03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D421972"/>
    <w:lvl w:ilvl="0">
      <w:start w:val="1"/>
      <w:numFmt w:val="decimal"/>
      <w:pStyle w:val="ListNumber"/>
      <w:lvlText w:val="%1."/>
      <w:lvlJc w:val="left"/>
      <w:pPr>
        <w:tabs>
          <w:tab w:val="num" w:pos="360"/>
        </w:tabs>
        <w:ind w:left="360" w:hanging="360"/>
      </w:pPr>
    </w:lvl>
  </w:abstractNum>
  <w:abstractNum w:abstractNumId="7">
    <w:nsid w:val="FFFFFF89"/>
    <w:multiLevelType w:val="singleLevel"/>
    <w:tmpl w:val="1D0009D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02 18:15: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D7C555BC98747EC8CB3923D1C527BD3"/>
    <w:docVar w:name="LW_CROSSREFERENCE" w:val="&lt;UNUSED&gt;"/>
    <w:docVar w:name="LW_DocType" w:val="COM"/>
    <w:docVar w:name="LW_EMISSION" w:val="8.5.2017"/>
    <w:docVar w:name="LW_EMISSION_ISODATE" w:val="2017-05-08"/>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NLE"/>
    <w:docVar w:name="LW_REF.II.NEW.CP_NUMBER" w:val="0088"/>
    <w:docVar w:name="LW_REF.II.NEW.CP_YEAR" w:val="2017"/>
    <w:docVar w:name="LW_REF.INST.NEW" w:val="COM"/>
    <w:docVar w:name="LW_REF.INST.NEW_ADOPTED" w:val="final"/>
    <w:docVar w:name="LW_REF.INST.NEW_TEXT" w:val="(2017) 199"/>
    <w:docVar w:name="LW_REF.INTERNE" w:val="&lt;UNUSED&gt;"/>
    <w:docVar w:name="LW_SOUS.TITRE.OBJ.CP" w:val="&lt;UNUSED&gt;"/>
    <w:docVar w:name="LW_STATUT.CP" w:val="Proposta de"/>
    <w:docVar w:name="LW_SUPERTITRE" w:val="&lt;UNUSED&gt;"/>
    <w:docVar w:name="LW_TITRE.OBJ.CP" w:val="respeitante à celebração, em nome da União Europeia, de um Acordo entre a União Europeia e a Islândia sobre normas complementares relativas ao instrumento de apoio financeiro em matéria de fronteiras externas e de vistos, no âmbito do Fundo para a Segurança Interna, para o período de 2014 a 2020"/>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3332-8D7D-4978-93B4-59F41A0E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1770</Words>
  <Characters>9210</Characters>
  <Application>Microsoft Office Word</Application>
  <DocSecurity>0</DocSecurity>
  <Lines>177</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2017-04-25T09:33:00Z</cp:lastPrinted>
  <dcterms:created xsi:type="dcterms:W3CDTF">2017-04-25T11:17:00Z</dcterms:created>
  <dcterms:modified xsi:type="dcterms:W3CDTF">2017-05-02T16:15:00Z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