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3D034BFF7534FE3B4917856ADF8DD49" style="width:450.85pt;height:392.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rPr>
          <w:noProof/>
        </w:rPr>
      </w:pPr>
      <w:r>
        <w:rPr>
          <w:noProof/>
        </w:rPr>
        <w:t>Ο κανονισμός (ΕΕ) αριθ. 515/2014 του Ευρωπαϊκού Κοινοβουλίου και του Συμβουλίου, της 16ης Απριλίου 2014, για τη θέσπιση, στο πλαίσιο του Ταμείου Εσωτερικής Ασφάλειας, του μέσου χρηματοδοτικής στήριξης στον τομέα των εξωτερικών συνόρων και των θεωρήσεων και την κατάργηση της απόφασης αριθ. 574/2007/ΕΚ άρχισε να ισχύει την 21η Μαΐου 2014 και άρχισε να εφαρμόζεται από την 1η Ιανουαρίου 2014</w:t>
      </w:r>
      <w:r>
        <w:rPr>
          <w:rStyle w:val="FootnoteReference"/>
          <w:noProof/>
        </w:rPr>
        <w:footnoteReference w:id="1"/>
      </w:r>
      <w:r>
        <w:rPr>
          <w:noProof/>
        </w:rPr>
        <w:t>.</w:t>
      </w:r>
    </w:p>
    <w:p>
      <w:pPr>
        <w:rPr>
          <w:noProof/>
        </w:rPr>
      </w:pPr>
      <w:r>
        <w:rPr>
          <w:noProof/>
        </w:rPr>
        <w:t>Ο κανονισμός (ΕΕ) αριθ. 514/2014 του Ευρωπαϊκού Κοινοβουλίου και του Συμβουλίου, της 16ης Απριλίου 2014, σχετικά με τον καθορισμό γενικών διατάξεων όσον αφορά το Ταμείο Ασύλου, Μετανάστευσης και Ένταξης και το μέσο για τη χρηματοδοτική στήριξη της αστυνομικής συνεργασίας, της πρόληψης και καταστολής της εγκληματικότητας και της διαχείρισης κρίσεων άρχισε επίσης να ισχύει την 21η Μαΐου 2014 και άρχισε να εφαρμόζεται από την 1η Ιανουαρίου 2014</w:t>
      </w:r>
      <w:r>
        <w:rPr>
          <w:rStyle w:val="FootnoteReference"/>
          <w:noProof/>
        </w:rPr>
        <w:footnoteReference w:id="2"/>
      </w:r>
      <w:r>
        <w:rPr>
          <w:noProof/>
        </w:rPr>
        <w:t>. Σύμφωνα με το άρθρο 19 του κανονισμού (ΕΕ) αριθ. 515/2014, οι διατάξεις του κανονισμού (ΕΕ) αριθ. 514/2014 εφαρμόζονται στο μέσο χρηματοδοτικής στήριξης στον τομέα των εξωτερικών συνόρων και των θεωρήσεων, στο πλαίσιο του Ταμείου Εσωτερικής Ασφάλειας (εφεξής «ΤΕΑ Σύνορα και Θεωρήσεις»).</w:t>
      </w:r>
    </w:p>
    <w:p>
      <w:pPr>
        <w:rPr>
          <w:noProof/>
        </w:rPr>
      </w:pPr>
      <w:r>
        <w:rPr>
          <w:noProof/>
        </w:rPr>
        <w:t>Σκοπός του ΤΕΑ Σύνορα και Θεωρήσεις είναι να θεσπιστεί μηχανισμός αλληλεγγύης που θα δεσμεύει τα συμμετέχοντα κράτη, προς το αμοιβαίο συμφέρον τους και το καθένα για λογαριασμό του άλλου, με τους ίδιους ευρωπαϊκούς κανόνες για τον έλεγχο των εξωτερικών συνόρων. Το ΤΕΑ Σύνορα και Θεωρήσεις θα συμβάλει στην επίτευξη ενός βασικού στόχου του κεκτημένου του Σένγκεν, και συγκεκριμένα στην από κοινού ανάληψη ευθύνης για «αποτελεσματικό, υψηλό και ενιαίο επίπεδο ελέγχου στα εξωτερικά σύνορα», όπως ορίζεται στο άρθρο 15 του κανονισμού (ΕΕ) 2016/399 του Ευρωπαϊκού Κοινοβουλίου και του Συμβουλίου</w:t>
      </w:r>
      <w:r>
        <w:rPr>
          <w:rStyle w:val="FootnoteReference"/>
          <w:noProof/>
        </w:rPr>
        <w:footnoteReference w:id="3"/>
      </w:r>
      <w:r>
        <w:rPr>
          <w:noProof/>
        </w:rPr>
        <w:t>. Επομένως, αποτελεί ανάπτυξη του κεκτημένου του Σένγκεν.</w:t>
      </w:r>
    </w:p>
    <w:p>
      <w:pPr>
        <w:rPr>
          <w:noProof/>
        </w:rPr>
      </w:pPr>
      <w:r>
        <w:rPr>
          <w:noProof/>
        </w:rPr>
        <w:t>Το άρθρο 5 παράγραφος 7 του κανονισμού (ΕΕ) αριθ. 515/2014 προβλέπει ότι οι χώρες που συμμετέχουν στην εκτέλεση, εφαρμογή και ανάπτυξη του κεκτημένου του Σένγκεν συμμετέχουν στο μέσο σύμφωνα με τις διατάξεις του ίδιου κανονισμού, καθώς και ότι πρέπει να συνάπτονται ρυθμίσεις για τις χρηματοδοτικές συνεισφορές των χωρών αυτών και τους συμπληρωματικούς κανόνες που είναι απαραίτητοι για την εν λόγω συμμετοχή, συμπεριλαμβανομένων των διατάξεων που διασφαλίζουν την προστασία των οικονομικών συμφερόντων της Ένωσης και την ελεγκτική εξουσία του Ελεγκτικού Συνεδρίου, δεδομένου ότι οι αντίστοιχες συμφωνίες σύνδεσης δεν προβλέπουν τέτοιου είδους κανόνες.</w:t>
      </w:r>
    </w:p>
    <w:p>
      <w:pPr>
        <w:rPr>
          <w:noProof/>
        </w:rPr>
      </w:pPr>
      <w:r>
        <w:rPr>
          <w:noProof/>
        </w:rPr>
        <w:t xml:space="preserve">Σκοπός του σχεδίου συμφωνίας με την Ισλανδία (εφεξής «η συνδεδεμένη χώρα») είναι να καθοριστούν οι ρυθμίσεις που προβλέπονται στο άρθρο 5 παράγραφος 7 του κανονισμού (ΕΕ) αριθ. 515/2014 και να παρασχεθεί στην Επιτροπή η δυνατότητα να αναλάβει την τελική ευθύνη για την εκτέλεση του προϋπολογισμού του μέσου στην εν λόγω συνδεδεμένη χώρα, καθώς και να προσδιοριστεί η συνεισφορά αυτής της χώρας στον προϋπολογισμό της Ένωσης όσον αφορά το εν λόγω μέσο. </w:t>
      </w:r>
    </w:p>
    <w:p>
      <w:pPr>
        <w:rPr>
          <w:noProof/>
        </w:rPr>
      </w:pPr>
      <w:r>
        <w:rPr>
          <w:noProof/>
        </w:rPr>
        <w:t xml:space="preserve">Όσον αφορά τους δημοσιονομικούς και χρηματοοικονομικούς ελέγχους, τα κράτη μέλη υπόκεινται σε οριζόντιες υποχρεώσεις (για παράδειγμα στην αρμοδιότητα του Ελεγκτικού Συνεδρίου και της Ευρωπαϊκής Υπηρεσίας Καταπολέμησης της Απάτης (OLAF)), οι οποίες απορρέουν άμεσα από τη Συνθήκη ή από το παράγωγο ενωσιακό δίκαιο. Οι υποχρεώσεις αυτές ισχύουν άμεσα στα κράτη μέλη και, ως εκ τούτου, δεν καθορίζονται στον κανονισμό (ΕΕ) αριθ. 515/2014. Ωστόσο, κατ’ εφαρμογή του άρθρου 5 παράγραφος 7 του κανονισμού (ΕΕ) αριθ. 515/2014, πρέπει να επεκταθούν στη συνδεδεμένη χώρα μέσω του σχεδίου συμφωνίας. </w:t>
      </w:r>
    </w:p>
    <w:p>
      <w:pPr>
        <w:rPr>
          <w:noProof/>
        </w:rPr>
      </w:pPr>
      <w:r>
        <w:rPr>
          <w:noProof/>
        </w:rPr>
        <w:t xml:space="preserve">Για την προστασία των οικονομικών συμφερόντων της Ένωσης από απάτες και λοιπές παρατυπίες, ο κανονισμός (ΕΕ) αριθ. 514/2014 προβλέπει την παροχή κατάλληλης πρόσβασης στο προσωπικό της Επιτροπής, το Ελεγκτικό Συνέδριο και την OLAF για τη διενέργεια ελέγχων. Στο άρθρο 5 παράγραφος 9 του κανονισμού (ΕΕ) αριθ. 514/2014 ορίζεται επίσης ότι συμφωνίες συνεργασίας με τρίτες χώρες θα εξουσιοδοτούν ρητά την Επιτροπή, το Ελεγκτικό Συνέδριο και την OLAF να διενεργούν τους εν λόγω λογιστικούς ελέγχους, επιτόπιους ελέγχους και εξακριβώσεις. Κατά συνέπεια, υπάρχει η σχετική πρόβλεψη στο σχέδιο συμφωνίας.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Συνοχή με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Άνευ αντικειμένου</w:t>
      </w:r>
      <w:r>
        <w:t>.</w:t>
      </w:r>
    </w:p>
    <w:p>
      <w:pPr>
        <w:pStyle w:val="ManualHeading2"/>
        <w:rPr>
          <w:rFonts w:eastAsia="Arial Unicode MS"/>
          <w:noProof/>
        </w:rPr>
      </w:pPr>
      <w:r>
        <w:rPr>
          <w:noProof/>
          <w:u w:color="000000"/>
          <w:bdr w:val="nil"/>
        </w:rPr>
        <w:t>•</w:t>
      </w:r>
      <w:r>
        <w:rPr>
          <w:noProof/>
          <w:u w:color="000000"/>
          <w:bdr w:val="nil"/>
        </w:rPr>
        <w:tab/>
      </w:r>
      <w:r>
        <w:rPr>
          <w:noProof/>
        </w:rPr>
        <w:t>Συνοχή με άλλες πολιτικές της Ένωσης</w:t>
      </w:r>
    </w:p>
    <w:p>
      <w:pPr>
        <w:pBdr>
          <w:top w:val="nil"/>
          <w:left w:val="nil"/>
          <w:bottom w:val="nil"/>
          <w:right w:val="nil"/>
          <w:between w:val="nil"/>
          <w:bar w:val="nil"/>
        </w:pBdr>
        <w:spacing w:before="0" w:after="240"/>
        <w:rPr>
          <w:noProof/>
        </w:rPr>
      </w:pPr>
      <w:r>
        <w:rPr>
          <w:noProof/>
        </w:rPr>
        <w:t>Άνευ αντικειμένου.</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rPr>
          <w:noProof/>
        </w:rPr>
      </w:pPr>
      <w:r>
        <w:rPr>
          <w:noProof/>
        </w:rPr>
        <w:t>Επειδή έχει ως σκοπό τη σύναψη ρυθμίσεων μεταξύ της Ένωσης και της Ισλανδίας σχετικά με τη συνεισφορά αυτής της χώρας στο μέσο χρηματοδοτικής στήριξης στον τομέα των εξωτερικών συνόρων και των θεωρήσεων για την περίοδο 2014-2020, καθώς και σχετικά με τους συμπληρωματικούς κανόνες που απαιτούνται για τη συμμετοχή αυτή, η παρούσα πρόταση για τη σύναψη της συμφωνίας βασίζεται στο άρθρο 77 παράγραφος 2 και το άρθρο 218 παράγραφος 6 στοιχείο α) της Συνθήκης για τη λειτουργία της Ευρωπαϊκής Ένωσης.</w:t>
      </w:r>
    </w:p>
    <w:p>
      <w:pPr>
        <w:pStyle w:val="ManualHeading2"/>
        <w:rPr>
          <w:rFonts w:eastAsia="Arial Unicode MS"/>
          <w:noProof/>
          <w:u w:color="000000"/>
          <w:bdr w:val="nil"/>
        </w:rPr>
      </w:pPr>
      <w:r>
        <w:rPr>
          <w:noProof/>
          <w:u w:color="000000"/>
          <w:bdr w:val="nil"/>
        </w:rPr>
        <w:t>•</w:t>
      </w:r>
      <w:r>
        <w:rPr>
          <w:noProof/>
          <w:u w:color="000000"/>
          <w:bdr w:val="nil"/>
        </w:rPr>
        <w:tab/>
        <w:t xml:space="preserve">Η αναγκαιότητα της προτεινόμενης απόφασης </w:t>
      </w:r>
    </w:p>
    <w:p>
      <w:pPr>
        <w:pBdr>
          <w:top w:val="nil"/>
          <w:left w:val="nil"/>
          <w:bottom w:val="nil"/>
          <w:right w:val="nil"/>
          <w:between w:val="nil"/>
          <w:bar w:val="nil"/>
        </w:pBdr>
        <w:spacing w:before="0" w:after="240"/>
        <w:rPr>
          <w:noProof/>
        </w:rPr>
      </w:pPr>
      <w:r>
        <w:rPr>
          <w:noProof/>
        </w:rPr>
        <w:t>Βάσει του άρθρου 5 παράγραφος 7 του κανονισμού (ΕΕ)</w:t>
      </w:r>
      <w:r>
        <w:t xml:space="preserve"> </w:t>
      </w:r>
      <w:r>
        <w:rPr>
          <w:noProof/>
        </w:rPr>
        <w:t>αριθ. 515/2014, είναι αναγκαίο να συναφθεί η συμφωνία με την Ισλανδία, ώστε να καθοριστούν οι ρυθμίσεις σχετικά με τη συνεισφορά αυτής της χώρας στο μέσο χρηματοδοτικής στήριξης στον τομέα των εξωτερικών συνόρων και των θεωρήσεων για την περίοδο 2014-2020, καθώς και σχετικά με τους συμπληρωματικούς κανόνες που απαιτούνται για τη συμμετοχή αυτή.</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rPr>
        <w:t>Άνευ αντικειμένου</w:t>
      </w:r>
      <w:r>
        <w:t>.</w:t>
      </w:r>
    </w:p>
    <w:p>
      <w:pPr>
        <w:pStyle w:val="ManualHeading2"/>
        <w:rPr>
          <w:rFonts w:eastAsia="Arial Unicode MS"/>
          <w:noProof/>
          <w:u w:color="000000"/>
          <w:bdr w:val="nil"/>
        </w:rPr>
      </w:pPr>
      <w:r>
        <w:rPr>
          <w:noProof/>
          <w:u w:color="000000"/>
          <w:bdr w:val="nil"/>
        </w:rPr>
        <w:t>•</w:t>
      </w:r>
      <w:r>
        <w:rPr>
          <w:noProof/>
          <w:u w:color="000000"/>
          <w:bdr w:val="nil"/>
        </w:rPr>
        <w:tab/>
        <w:t>Επιλογή του νομικού μέσου</w:t>
      </w:r>
    </w:p>
    <w:p>
      <w:pPr>
        <w:pBdr>
          <w:top w:val="nil"/>
          <w:left w:val="nil"/>
          <w:bottom w:val="nil"/>
          <w:right w:val="nil"/>
          <w:between w:val="nil"/>
          <w:bar w:val="nil"/>
        </w:pBdr>
        <w:spacing w:before="0" w:after="240"/>
        <w:rPr>
          <w:rFonts w:eastAsia="Arial Unicode MS"/>
          <w:noProof/>
        </w:rPr>
      </w:pPr>
      <w:r>
        <w:rPr>
          <w:noProof/>
        </w:rPr>
        <w:t>Άνευ αντικειμένου</w:t>
      </w:r>
      <w:r>
        <w:t>.</w:t>
      </w:r>
    </w:p>
    <w:p>
      <w:pPr>
        <w:pStyle w:val="ManualHeading1"/>
        <w:rPr>
          <w:noProof/>
        </w:rPr>
      </w:pPr>
      <w:r>
        <w:rPr>
          <w:noProof/>
        </w:rPr>
        <w:t>3.</w:t>
      </w:r>
      <w:r>
        <w:rPr>
          <w:noProof/>
        </w:rPr>
        <w:tab/>
        <w:t>ΑΠΟΤΕΛΕΣΜΑΤΑ ΕΚ ΤΩΝ ΥΣΤΕΡΩΝ ΑΞΙΟΛΟΓΗΣΕΩΝ, ΔΙΑΒΟΥΛΕΥΣΕΩΝ ΜΕ ΤΑ ΕΝΔΙΑΦΕΡΟΜΕΝΑ ΜΕΡΗ ΚΑΙ ΕΚΤΙΜΗΣΕΩΝ ΤΩΝ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ισχύουσας νομοθεσίας</w:t>
      </w:r>
    </w:p>
    <w:p>
      <w:pPr>
        <w:pBdr>
          <w:top w:val="nil"/>
          <w:left w:val="nil"/>
          <w:bottom w:val="nil"/>
          <w:right w:val="nil"/>
          <w:between w:val="nil"/>
          <w:bar w:val="nil"/>
        </w:pBdr>
        <w:spacing w:before="0" w:after="240"/>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0" w:after="240"/>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Εκτίμηση των επιπτώσεων</w:t>
      </w:r>
    </w:p>
    <w:p>
      <w:pPr>
        <w:pBdr>
          <w:top w:val="nil"/>
          <w:left w:val="nil"/>
          <w:bottom w:val="nil"/>
          <w:right w:val="nil"/>
          <w:between w:val="nil"/>
          <w:bar w:val="nil"/>
        </w:pBdr>
        <w:spacing w:before="0" w:after="240"/>
        <w:rPr>
          <w:noProof/>
        </w:rPr>
      </w:pPr>
      <w:r>
        <w:rPr>
          <w:noProof/>
        </w:rPr>
        <w:t xml:space="preserve">Άνευ αντικειμένου, δεδομένου ότι η πρόταση συνδέεται με τη διαχείριση του προγράμματος και έχει ως στόχο την υπογραφή διεθνούς συμφωνίας που αποτέλεσε αντικείμενο διαπραγμάτευσης με βάση τις οδηγίες διαπραγμάτευσης που καθόρισε το Συμβούλιο. </w:t>
      </w:r>
    </w:p>
    <w:p>
      <w:pPr>
        <w:pStyle w:val="ManualHeading2"/>
        <w:rPr>
          <w:rFonts w:eastAsia="Arial Unicode MS"/>
          <w:noProof/>
          <w:u w:color="000000"/>
          <w:bdr w:val="nil"/>
        </w:rPr>
      </w:pPr>
      <w:r>
        <w:rPr>
          <w:noProof/>
          <w:u w:color="000000"/>
          <w:bdr w:val="nil"/>
        </w:rPr>
        <w:t>•</w:t>
      </w:r>
      <w:r>
        <w:rPr>
          <w:noProof/>
          <w:u w:color="000000"/>
          <w:bdr w:val="nil"/>
        </w:rPr>
        <w:tab/>
        <w:t>Καταλληλότητα του κανονιστικού πλαισίου και απλούστευση</w:t>
      </w:r>
    </w:p>
    <w:p>
      <w:pPr>
        <w:pBdr>
          <w:top w:val="nil"/>
          <w:left w:val="nil"/>
          <w:bottom w:val="nil"/>
          <w:right w:val="nil"/>
          <w:between w:val="nil"/>
          <w:bar w:val="nil"/>
        </w:pBdr>
        <w:spacing w:before="0" w:after="240"/>
        <w:rPr>
          <w:noProof/>
        </w:rPr>
      </w:pPr>
      <w:r>
        <w:rPr>
          <w:noProof/>
        </w:rPr>
        <w:t>Άνευ αντικειμένου.</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0" w:after="240"/>
        <w:rPr>
          <w:noProof/>
        </w:rPr>
      </w:pPr>
      <w:r>
        <w:rPr>
          <w:noProof/>
        </w:rPr>
        <w:t>Άνευ αντικειμένου.</w:t>
      </w:r>
    </w:p>
    <w:p>
      <w:pPr>
        <w:pStyle w:val="ManualHeading1"/>
        <w:rPr>
          <w:noProof/>
        </w:rPr>
      </w:pPr>
      <w:r>
        <w:rPr>
          <w:noProof/>
        </w:rPr>
        <w:t>4.</w:t>
      </w:r>
      <w:r>
        <w:rPr>
          <w:noProof/>
        </w:rPr>
        <w:tab/>
        <w:t>ΔΗΜΟΣΙΟΝΟΜΙΚΕΣ ΕΠΙΠΤΩΣΕΙΣ</w:t>
      </w:r>
    </w:p>
    <w:p>
      <w:pPr>
        <w:rPr>
          <w:noProof/>
        </w:rPr>
      </w:pPr>
      <w:r>
        <w:rPr>
          <w:noProof/>
        </w:rPr>
        <w:t>Στο άρθρο 10 και στο παράρτημα του σχεδίου συμφωνίας περιλαμβάνονται οι διατάξεις που αφορούν τις ετήσιες χρηματοδοτικές συνεισφορές της συνδεδεμένης χώρας στον προϋπολογισμό του Ταμείου Εσωτερικής Ασφάλειας – Σύνορα και θεωρήσεις, καθώς και την πιθανή προσαρμογή τους στην κατάσταση που περιγράφεται στο Παράρτημα.</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u w:color="000000"/>
          <w:bdr w:val="nil"/>
        </w:rPr>
        <w:tab/>
        <w:t>Εδαφική εφαρμογή</w:t>
      </w:r>
    </w:p>
    <w:p>
      <w:pPr>
        <w:pBdr>
          <w:top w:val="nil"/>
          <w:left w:val="nil"/>
          <w:bottom w:val="nil"/>
          <w:right w:val="nil"/>
          <w:between w:val="nil"/>
          <w:bar w:val="nil"/>
        </w:pBdr>
        <w:spacing w:before="0" w:after="240"/>
        <w:rPr>
          <w:noProof/>
        </w:rPr>
      </w:pPr>
      <w:r>
        <w:rPr>
          <w:noProof/>
        </w:rPr>
        <w:t>Ο κανονισμός (ΕΕ) αριθ. 515/2014 συνιστά ανάπτυξη του κεκτημένου του Σένγκεν. Επομένως, η παρούσα συμφωνία με την Ισλανδία βασίζεται επίσης στο κεκτημένο του Σένγκεν.</w:t>
      </w:r>
    </w:p>
    <w:p>
      <w:pPr>
        <w:pBdr>
          <w:top w:val="nil"/>
          <w:left w:val="nil"/>
          <w:bottom w:val="nil"/>
          <w:right w:val="nil"/>
          <w:between w:val="nil"/>
          <w:bar w:val="nil"/>
        </w:pBdr>
        <w:spacing w:before="0" w:after="240"/>
        <w:rPr>
          <w:noProof/>
        </w:rPr>
      </w:pPr>
      <w:r>
        <w:rPr>
          <w:noProof/>
        </w:rPr>
        <w:t>Σύμφωνα με τα άρθρα 1 και 2 του πρωτοκόλλου αριθ. 22 σχετικά με τη θέση της Δανίας, το οποίο προσαρτάται στη ΣΕΕ και στη ΣΛΕΕ, η Δανία δεν συμμετέχει στην έκδοση της παρούσας απόφασης και δεν δεσμεύεται από αυτήν ούτε υπόκειται στην εφαρμογή της. Σύμφωνα με το άρθρο 4 του προαναφερόμενου πρωτοκόλλου, η Δανία θα αποφασίσει, εντός έξι μηνών αφότου το Συμβούλιο εκδώσει την παρούσα πρόταση, αν θα ενσωματώσει την προτεινόμενη απόφαση στο εθνικό της δίκαιο.</w:t>
      </w:r>
    </w:p>
    <w:p>
      <w:pPr>
        <w:pBdr>
          <w:top w:val="nil"/>
          <w:left w:val="nil"/>
          <w:bottom w:val="nil"/>
          <w:right w:val="nil"/>
          <w:between w:val="nil"/>
          <w:bar w:val="nil"/>
        </w:pBdr>
        <w:spacing w:before="0" w:after="240"/>
        <w:rPr>
          <w:noProof/>
        </w:rPr>
      </w:pPr>
      <w:r>
        <w:rPr>
          <w:noProof/>
        </w:rPr>
        <w:t>Δεδομένου ότι η παρούσα πρόταση αποτελεί ανάπτυξη στοιχείων του κεκτημένου Σένγκεν, στα οποία δεν συμμετέχουν το Ηνωμένο Βασίλειο και η Ιρλανδία, οι χώρες αυτές δεν δεσμεύονται ούτε υπόκεινται στην εφαρμογή της, σύμφωνα με τις αποφάσεις 2000/365/ΕΚ</w:t>
      </w:r>
      <w:r>
        <w:rPr>
          <w:rStyle w:val="FootnoteReference"/>
          <w:noProof/>
        </w:rPr>
        <w:footnoteReference w:id="4"/>
      </w:r>
      <w:r>
        <w:rPr>
          <w:noProof/>
        </w:rPr>
        <w:t xml:space="preserve">  και 2002/192/ΕΚ</w:t>
      </w:r>
      <w:r>
        <w:rPr>
          <w:rStyle w:val="FootnoteReference"/>
          <w:noProof/>
        </w:rPr>
        <w:footnoteReference w:id="5"/>
      </w:r>
      <w:r>
        <w:rPr>
          <w:noProof/>
        </w:rPr>
        <w:t xml:space="preserve"> του Συμβουλίου, αντίστοιχα.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rPr>
      </w:pPr>
      <w:r>
        <w:rPr>
          <w:noProof/>
        </w:rPr>
        <w:t>Το άρθρο 17 της συμφωνίας καθορίζει τις εφαρμοστέες ρυθμίσεις περί υποβολής εκθέσεων και παρακολούθησης. Έως τις 15 Φεβρουαρίου κάθε έτους και μέχρι και το 2022, η Ισλανδία πρέπει να υποβάλλει στην Επιτροπή ετήσια έκθεση εφαρμογής για το προηγούμενο οικονομικό έτος.</w:t>
      </w:r>
    </w:p>
    <w:p>
      <w:pPr>
        <w:pStyle w:val="ManualHeading2"/>
        <w:rPr>
          <w:rFonts w:eastAsia="Arial Unicode MS"/>
          <w:noProof/>
          <w:u w:color="000000"/>
          <w:bdr w:val="nil"/>
        </w:rPr>
      </w:pPr>
      <w:r>
        <w:rPr>
          <w:noProof/>
          <w:u w:color="000000"/>
          <w:bdr w:val="nil"/>
        </w:rPr>
        <w:t>•</w:t>
      </w:r>
      <w:r>
        <w:rPr>
          <w:noProof/>
          <w:u w:color="000000"/>
          <w:bdr w:val="nil"/>
        </w:rPr>
        <w:tab/>
        <w:t>Επεξηγηματικά έγγραφα (για οδηγίες)</w:t>
      </w:r>
    </w:p>
    <w:p>
      <w:pPr>
        <w:pBdr>
          <w:top w:val="nil"/>
          <w:left w:val="nil"/>
          <w:bottom w:val="nil"/>
          <w:right w:val="nil"/>
          <w:between w:val="nil"/>
          <w:bar w:val="nil"/>
        </w:pBdr>
        <w:spacing w:before="0" w:after="240"/>
        <w:rPr>
          <w:rFonts w:eastAsia="Arial Unicode MS"/>
          <w:noProof/>
        </w:rPr>
      </w:pPr>
      <w:r>
        <w:rPr>
          <w:noProof/>
        </w:rPr>
        <w:t>Άνευ</w:t>
      </w:r>
      <w:r>
        <w:t xml:space="preserve"> </w:t>
      </w:r>
      <w:r>
        <w:rPr>
          <w:noProof/>
        </w:rPr>
        <w:t>αντικειμένου.</w:t>
      </w:r>
    </w:p>
    <w:p>
      <w:pPr>
        <w:pStyle w:val="ManualHeading2"/>
        <w:rPr>
          <w:rFonts w:eastAsia="Arial Unicode MS"/>
          <w:noProof/>
          <w:u w:color="000000"/>
          <w:bdr w:val="nil"/>
        </w:rPr>
      </w:pPr>
      <w:r>
        <w:rPr>
          <w:noProof/>
          <w:u w:color="000000"/>
          <w:bdr w:val="nil"/>
        </w:rPr>
        <w:t>•</w:t>
      </w:r>
      <w:r>
        <w:rPr>
          <w:noProof/>
          <w:u w:color="000000"/>
          <w:bdr w:val="nil"/>
        </w:rPr>
        <w:tab/>
        <w:t>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Δεν απαιτείται.</w:t>
      </w:r>
    </w:p>
    <w:p>
      <w:pPr>
        <w:rPr>
          <w:noProof/>
        </w:rPr>
      </w:pPr>
      <w:r>
        <w:rPr>
          <w:noProof/>
        </w:rPr>
        <w:t>Με βάση τις προαναφερθείσες παρατηρήσεις, η Επιτροπή προτείνει στο Συμβούλιο να εγκρίνει, κατόπιν έγκρισης από το Ευρωπαϊκό Κοινοβούλιο, τη συμφωνία με την Ισλανδία για συμπληρωματικούς κανόνες σχετικά με το μέσο χρηματοδοτικής στήριξης στον τομέα των εξωτερικών συνόρων και των θεωρήσεων, στο πλαίσιο του Ταμείου Εσωτερικής Ασφάλειας για την περίοδο 2014-2020.</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2017/0088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 σύναψη, εξ ονόματος της Ευρωπαϊκής Ένωσης, συμφωνίας μεταξύ της Ευρωπαϊκής Ένωσης και της Ισλανδίας για συμπληρωματικούς κανόνες σχετικά με το μέσο χρηματοδοτικής στήριξης στον τομέα των εξωτερικών συνόρων και των θεωρήσεων, στο πλαίσιο του Ταμείου Εσωτερικής Ασφάλειας, για την περίοδο 2014-2020</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77 παράγραφος 2 και το άρθρο 218 παράγραφος 6 στοιχείο α),</w:t>
      </w:r>
    </w:p>
    <w:p>
      <w:pPr>
        <w:rPr>
          <w:noProof/>
        </w:rPr>
      </w:pPr>
      <w:r>
        <w:rPr>
          <w:noProof/>
        </w:rPr>
        <w:t>Έχοντας υπόψη την πρόταση της Ευρωπαϊκής Επιτροπής,</w:t>
      </w:r>
    </w:p>
    <w:p>
      <w:pPr>
        <w:rPr>
          <w:noProof/>
        </w:rPr>
      </w:pPr>
      <w:r>
        <w:rPr>
          <w:noProof/>
        </w:rPr>
        <w:t>Έχοντας υπόψη την έγκριση του Ευρωπαϊκού Κοινοβουλίου</w:t>
      </w:r>
      <w:r>
        <w:rPr>
          <w:rStyle w:val="FootnoteReference"/>
          <w:noProof/>
        </w:rPr>
        <w:footnoteReference w:id="6"/>
      </w:r>
      <w:r>
        <w:rPr>
          <w:noProof/>
        </w:rPr>
        <w:t xml:space="preserve">, </w:t>
      </w:r>
    </w:p>
    <w:p>
      <w:pPr>
        <w:rPr>
          <w:noProof/>
        </w:rPr>
      </w:pPr>
      <w:r>
        <w:rPr>
          <w:noProof/>
        </w:rPr>
        <w:t>Εκτιμώντας τα ακόλουθα:</w:t>
      </w:r>
    </w:p>
    <w:p>
      <w:pPr>
        <w:pStyle w:val="ManualConsidrant"/>
        <w:rPr>
          <w:noProof/>
        </w:rPr>
      </w:pPr>
      <w:r>
        <w:t>(1)</w:t>
      </w:r>
      <w:r>
        <w:tab/>
      </w:r>
      <w:r>
        <w:rPr>
          <w:noProof/>
        </w:rPr>
        <w:t>Σύμφωνα με την απόφαση 2017/XXX του Συμβουλίου, της [...]</w:t>
      </w:r>
      <w:r>
        <w:rPr>
          <w:rStyle w:val="FootnoteReference"/>
          <w:noProof/>
        </w:rPr>
        <w:footnoteReference w:id="7"/>
      </w:r>
      <w:r>
        <w:rPr>
          <w:noProof/>
        </w:rPr>
        <w:t xml:space="preserve">, η συμφωνία μεταξύ της Ευρωπαϊκής Ένωσης και της Ισλανδίας για συμπληρωματικούς κανόνες σχετικά με το μέσο χρηματοδοτικής στήριξης στον τομέα των εξωτερικών συνόρων και των θεωρήσεων, στο πλαίσιο του Ταμείου Εσωτερικής Ασφάλειας για την περίοδο 2014-2020 (εφεξής «συμφωνία») υπεγράφη την [...], με την επιφύλαξη της σύναψης της συμφωνίας. </w:t>
      </w:r>
    </w:p>
    <w:p>
      <w:pPr>
        <w:pStyle w:val="ManualConsidrant"/>
        <w:rPr>
          <w:noProof/>
        </w:rPr>
      </w:pPr>
      <w:r>
        <w:t>(2)</w:t>
      </w:r>
      <w:r>
        <w:tab/>
      </w:r>
      <w:r>
        <w:rPr>
          <w:noProof/>
        </w:rPr>
        <w:t>Σύμφωνα με τα άρθρα 1 και 2 του πρωτοκόλλου (αριθ. 22) για με τη θέση της Δανίας, που έχει προσαρτηθεί στη Συνθήκη για την Ευρωπαϊκή Ένωση και στη Συνθήκη για τη λειτουργία της Ευρωπαϊκής Ένωσης, η Δανία δεν συμμετέχει στην έκδοση της παρούσας απόφασης και δεν δεσμεύεται από αυτήν ούτε υπόκειται στην εφαρμογή της. Δεδομένου ότι η παρούσα απόφαση αναπτύσσει περαιτέρω το κεκτημένο του Σένγκεν, η Δανία, σύμφωνα με το άρθρο 4 του εν λόγω πρωτοκόλλου, θα πρέπει να αποφασίσει, εντός έξι μηνών αφότου το Συμβούλιο λάβει θέση για την παρούσα απόφαση, αν θα την ενσωματώσει στο εθνικό της δίκαιο.</w:t>
      </w:r>
    </w:p>
    <w:p>
      <w:pPr>
        <w:pStyle w:val="ManualConsidrant"/>
        <w:rPr>
          <w:noProof/>
        </w:rPr>
      </w:pPr>
      <w:r>
        <w:t>(3)</w:t>
      </w:r>
      <w:r>
        <w:tab/>
      </w:r>
      <w:r>
        <w:rPr>
          <w:noProof/>
        </w:rPr>
        <w:t>Η παρούσα απόφαση αποτελεί ανάπτυξη των διατάξεων του κεκτημένου του Σένγκεν, στις οποίες δεν συμμετέχει το Ηνωμένο Βασίλειο, σύμφωνα με την απόφαση 2000/365/ΕΚ του Συμβουλίου</w:t>
      </w:r>
      <w:r>
        <w:rPr>
          <w:rStyle w:val="FootnoteReference"/>
          <w:noProof/>
        </w:rPr>
        <w:footnoteReference w:id="8"/>
      </w:r>
      <w:r>
        <w:rPr>
          <w:noProof/>
        </w:rPr>
        <w:t>· συνεπώς, το Ηνωμένο Βασίλειο δεν συμμετέχει στην έκδοση της παρούσας απόφασης και δεν δεσμεύεται από αυτήν ούτε υπόκειται στην εφαρμογή της.</w:t>
      </w:r>
    </w:p>
    <w:p>
      <w:pPr>
        <w:pStyle w:val="ManualConsidrant"/>
        <w:rPr>
          <w:noProof/>
        </w:rPr>
      </w:pPr>
      <w:r>
        <w:t>(4)</w:t>
      </w:r>
      <w:r>
        <w:tab/>
      </w:r>
      <w:r>
        <w:rPr>
          <w:noProof/>
        </w:rPr>
        <w:t>Η παρούσα απόφαση αποτελεί ανάπτυξη των διατάξεων του κεκτημένου του Σένγκεν, στις οποίες δεν συμμετέχει η Ιρλανδία, σύμφωνα με την απόφαση 2002/192/ΕΚ του Συμβουλίου</w:t>
      </w:r>
      <w:r>
        <w:rPr>
          <w:rStyle w:val="FootnoteReference"/>
          <w:noProof/>
        </w:rPr>
        <w:footnoteReference w:id="9"/>
      </w:r>
      <w:r>
        <w:rPr>
          <w:noProof/>
        </w:rPr>
        <w:t>. Συνεπώς, η Ιρλανδία δεν συμμετέχει στην έκδοση της παρούσας απόφασης και δεν δεσμεύεται από αυτήν ούτε υπόκειται στην εφαρμογή της.</w:t>
      </w:r>
    </w:p>
    <w:p>
      <w:pPr>
        <w:pStyle w:val="ManualConsidrant"/>
        <w:rPr>
          <w:noProof/>
        </w:rPr>
      </w:pPr>
      <w:r>
        <w:t>(5)</w:t>
      </w:r>
      <w:r>
        <w:tab/>
      </w:r>
      <w:r>
        <w:rPr>
          <w:noProof/>
        </w:rPr>
        <w:t xml:space="preserve">Προκειμένου να καταστεί δυνατή η άμεση εφαρμογή των μέτρων που προβλέπονται στη συμφωνία και να μην καθυστερήσει η έγκριση και εφαρμογή του εθνικού προγράμματος, η απόφαση θα πρέπει να αρχίσει να ισχύει την επομένη της δημοσίευσής της στην </w:t>
      </w:r>
      <w:r>
        <w:rPr>
          <w:i/>
          <w:noProof/>
        </w:rPr>
        <w:t>Επίσημη Εφημερίδα της Ευρωπαϊκής Ένωσης</w:t>
      </w:r>
      <w:r>
        <w:rPr>
          <w:noProof/>
        </w:rPr>
        <w:t xml:space="preserve">.  </w:t>
      </w:r>
    </w:p>
    <w:p>
      <w:pPr>
        <w:pStyle w:val="ManualConsidrant"/>
        <w:rPr>
          <w:noProof/>
        </w:rPr>
      </w:pPr>
      <w:r>
        <w:t>(6)</w:t>
      </w:r>
      <w:r>
        <w:tab/>
      </w:r>
      <w:r>
        <w:rPr>
          <w:noProof/>
        </w:rPr>
        <w:t>Η συμφωνία θα πρέπει να εγκριθεί,</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Εγκρίνεται, εξ ονόματος της Ένωσης, η συμφωνία μεταξύ της Ευρωπαϊκής Ένωσης και της Ισλανδίας για συμπληρωματικούς κανόνες σχετικά με το μέσο χρηματοδοτικής στήριξης στον τομέα των εξωτερικών συνόρων και των θεωρήσεων, στο πλαίσιο του Ταμείου Εσωτερικής Ασφάλειας, για την περίοδο 2014-2020.</w:t>
      </w:r>
    </w:p>
    <w:p>
      <w:pPr>
        <w:rPr>
          <w:noProof/>
        </w:rPr>
      </w:pPr>
      <w:r>
        <w:rPr>
          <w:noProof/>
        </w:rPr>
        <w:t>Το κείμενο της συμφωνίας επισυνάπτεται στην παρούσα απόφαση.</w:t>
      </w:r>
    </w:p>
    <w:p>
      <w:pPr>
        <w:pStyle w:val="Titrearticle"/>
        <w:keepNext w:val="0"/>
        <w:rPr>
          <w:noProof/>
        </w:rPr>
      </w:pPr>
      <w:r>
        <w:rPr>
          <w:noProof/>
        </w:rPr>
        <w:t>Άρθρο 2</w:t>
      </w:r>
    </w:p>
    <w:p>
      <w:pPr>
        <w:rPr>
          <w:noProof/>
        </w:rPr>
      </w:pPr>
      <w:r>
        <w:rPr>
          <w:noProof/>
        </w:rPr>
        <w:t>Ο Πρόεδρος του Συμβουλίου ορίζει το πρόσωπο ή τα πρόσωπα που είναι αρμόδια να προβούν, εξ ονόματος της Ένωσης, στην κοινοποίηση που προβλέπεται στο άρθρο 19 παράγραφος 2 της συμφωνίας, προκειμένου να εκφραστεί η συναίνεση της Ένωσης να δεσμευθεί από τη συμφωνία.</w:t>
      </w:r>
    </w:p>
    <w:p>
      <w:pPr>
        <w:pStyle w:val="Titrearticle"/>
        <w:rPr>
          <w:noProof/>
        </w:rPr>
      </w:pPr>
      <w:r>
        <w:rPr>
          <w:noProof/>
        </w:rPr>
        <w:t>Άρθρο 3</w:t>
      </w:r>
    </w:p>
    <w:p>
      <w:pPr>
        <w:rPr>
          <w:noProof/>
        </w:rPr>
      </w:pPr>
      <w:r>
        <w:rPr>
          <w:noProof/>
        </w:rPr>
        <w:t xml:space="preserve">Η παρούσα απόφαση αρχίζει να ισχύει την επομένη της δημοσίευσής της στην </w:t>
      </w:r>
      <w:r>
        <w:rPr>
          <w:i/>
          <w:noProof/>
        </w:rPr>
        <w:t>Επίσημη Εφημερίδα της Ευρωπαϊκής Ένωσης</w:t>
      </w:r>
      <w:r>
        <w:rPr>
          <w:noProof/>
        </w:rPr>
        <w:t xml:space="preserve">. </w:t>
      </w:r>
    </w:p>
    <w:p>
      <w:pPr>
        <w:pStyle w:val="Fait"/>
        <w:rPr>
          <w:noProof/>
        </w:rPr>
      </w:pPr>
      <w:r>
        <w:rPr>
          <w:noProof/>
        </w:rPr>
        <w:t>Βρυξέλλες,</w:t>
      </w:r>
    </w:p>
    <w:p>
      <w:pPr>
        <w:pStyle w:val="Institutionquisigne"/>
        <w:rPr>
          <w:noProof/>
        </w:rPr>
      </w:pPr>
      <w:r>
        <w:rPr>
          <w:noProof/>
        </w:rPr>
        <w:tab/>
        <w:t>Για το Συμβούλιο</w:t>
      </w:r>
    </w:p>
    <w:p>
      <w:pPr>
        <w:pStyle w:val="Personnequisigne"/>
        <w:rPr>
          <w:noProof/>
        </w:rPr>
      </w:pPr>
      <w:r>
        <w:rPr>
          <w:noProof/>
        </w:rPr>
        <w:tab/>
        <w:t>Η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150 της 20.5.2014, σ. 143.</w:t>
      </w:r>
    </w:p>
  </w:footnote>
  <w:footnote w:id="2">
    <w:p>
      <w:pPr>
        <w:pStyle w:val="FootnoteText"/>
      </w:pPr>
      <w:r>
        <w:rPr>
          <w:rStyle w:val="FootnoteReference"/>
        </w:rPr>
        <w:footnoteRef/>
      </w:r>
      <w:r>
        <w:tab/>
        <w:t>ΕΕ L 150 της 20.5.2014, σ. 112.</w:t>
      </w:r>
    </w:p>
  </w:footnote>
  <w:footnote w:id="3">
    <w:p>
      <w:pPr>
        <w:pStyle w:val="FootnoteText"/>
      </w:pPr>
      <w:r>
        <w:rPr>
          <w:rStyle w:val="FootnoteReference"/>
        </w:rPr>
        <w:footnoteRef/>
      </w:r>
      <w:r>
        <w:tab/>
        <w:t>ΕΕ L 77 της 23.3.2016, σ. 1.</w:t>
      </w:r>
    </w:p>
  </w:footnote>
  <w:footnote w:id="4">
    <w:p>
      <w:pPr>
        <w:pStyle w:val="FootnoteText"/>
      </w:pPr>
      <w:r>
        <w:rPr>
          <w:rStyle w:val="FootnoteReference"/>
        </w:rPr>
        <w:footnoteRef/>
      </w:r>
      <w:r>
        <w:tab/>
      </w:r>
      <w:r>
        <w:rPr>
          <w:bCs/>
        </w:rPr>
        <w:t>Απόφαση του Συμβουλίου, της 29ης Μαΐου 2000, σχετικά με το αίτημα του Ηνωμένου Βασιλείου της Μεγάλης Βρετανίας και Βορείου Ιρλανδίας να συμμετέχει σε ορισμένες από τις διατάξεις του κεκτημένου του Σένγκεν (ΕΕ L 131 της 1.6.2000, σ. 43).</w:t>
      </w:r>
    </w:p>
  </w:footnote>
  <w:footnote w:id="5">
    <w:p>
      <w:pPr>
        <w:pStyle w:val="FootnoteText"/>
      </w:pPr>
      <w:r>
        <w:rPr>
          <w:rStyle w:val="FootnoteReference"/>
        </w:rPr>
        <w:footnoteRef/>
      </w:r>
      <w:r>
        <w:tab/>
      </w:r>
      <w:r>
        <w:rPr>
          <w:bCs/>
        </w:rPr>
        <w:t>Απόφαση του Συμβουλίου, της 28ης Φεβρουαρίου 2002, σχετικά με το αίτημα της Ιρλανδίας να συμμετέχει σε ορισμένες από τις διατάξεις του κεκτημένου του Σένγκεν (</w:t>
      </w:r>
      <w:r>
        <w:rPr>
          <w:iCs/>
        </w:rPr>
        <w:t>ΕΕ L 64 της 7.3.2002, σ. 20).</w:t>
      </w:r>
    </w:p>
  </w:footnote>
  <w:footnote w:id="6">
    <w:p>
      <w:pPr>
        <w:pStyle w:val="FootnoteText"/>
      </w:pPr>
      <w:r>
        <w:rPr>
          <w:rStyle w:val="FootnoteReference"/>
        </w:rPr>
        <w:footnoteRef/>
      </w:r>
      <w:r>
        <w:tab/>
        <w:t>ΕΕ C  της , σ. .</w:t>
      </w:r>
    </w:p>
  </w:footnote>
  <w:footnote w:id="7">
    <w:p>
      <w:pPr>
        <w:pStyle w:val="FootnoteText"/>
      </w:pPr>
      <w:r>
        <w:rPr>
          <w:rStyle w:val="FootnoteReference"/>
        </w:rPr>
        <w:footnoteRef/>
      </w:r>
      <w:r>
        <w:tab/>
        <w:t>[Πλήρης παραπομπή]</w:t>
      </w:r>
    </w:p>
  </w:footnote>
  <w:footnote w:id="8">
    <w:p>
      <w:pPr>
        <w:pStyle w:val="FootnoteText"/>
      </w:pPr>
      <w:r>
        <w:rPr>
          <w:rStyle w:val="FootnoteReference"/>
        </w:rPr>
        <w:footnoteRef/>
      </w:r>
      <w:r>
        <w:tab/>
        <w:t>Απόφαση 2000/365/ΕΚ του Συμβουλίου, της 29ης Μαΐου 2000, σχετικά με το αίτημα του Ηνωμένου Βασιλείου της Μεγάλης Βρετανίας και Βορείου Ιρλανδίας να συμμετέχει σε ορισμένες από τις διατάξεις του κεκτημένου του Σένγκεν (ΕΕ L 131 της 1.6.2000, σ. 43).</w:t>
      </w:r>
    </w:p>
  </w:footnote>
  <w:footnote w:id="9">
    <w:p>
      <w:pPr>
        <w:pStyle w:val="FootnoteText"/>
      </w:pPr>
      <w:r>
        <w:rPr>
          <w:rStyle w:val="FootnoteReference"/>
        </w:rPr>
        <w:footnoteRef/>
      </w:r>
      <w:r>
        <w:tab/>
        <w:t>Απόφαση 2002/192/ΕΚ του Συμβουλίου, της 28ης Φεβρουαρίου 2002, σχετικά με το αίτημα της Ιρλανδίας να συμμετέχει σε ορισμένες από τις διατάξεις του κεκτημένου του Σένγκεν (ΕΕ L 64 της 7.3.2002, σ.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0B634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802F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C4C13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DCA93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A611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9A03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421972"/>
    <w:lvl w:ilvl="0">
      <w:start w:val="1"/>
      <w:numFmt w:val="decimal"/>
      <w:pStyle w:val="ListNumber"/>
      <w:lvlText w:val="%1."/>
      <w:lvlJc w:val="left"/>
      <w:pPr>
        <w:tabs>
          <w:tab w:val="num" w:pos="360"/>
        </w:tabs>
        <w:ind w:left="360" w:hanging="360"/>
      </w:pPr>
    </w:lvl>
  </w:abstractNum>
  <w:abstractNum w:abstractNumId="7">
    <w:nsid w:val="FFFFFF89"/>
    <w:multiLevelType w:val="singleLevel"/>
    <w:tmpl w:val="1D0009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02 18:15:4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3D034BFF7534FE3B4917856ADF8DD49"/>
    <w:docVar w:name="LW_CROSSREFERENCE" w:val="&lt;UNUSED&gt;"/>
    <w:docVar w:name="LW_DocType" w:val="COM"/>
    <w:docVar w:name="LW_EMISSION" w:val="8.5.2017"/>
    <w:docVar w:name="LW_EMISSION_ISODATE" w:val="2017-05-08"/>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88"/>
    <w:docVar w:name="LW_REF.II.NEW.CP_YEAR" w:val="2017"/>
    <w:docVar w:name="LW_REF.INST.NEW" w:val="COM"/>
    <w:docVar w:name="LW_REF.INST.NEW_ADOPTED" w:val="final"/>
    <w:docVar w:name="LW_REF.INST.NEW_TEXT" w:val="(2017) 199"/>
    <w:docVar w:name="LW_REF.INTERNE" w:val="&lt;UNUSED&gt;"/>
    <w:docVar w:name="LW_SOUS.TITRE.OBJ.CP" w:val="&lt;UNUSED&gt;"/>
    <w:docVar w:name="LW_STATUT.CP" w:val="\u928?\u961?\u972?\u964?\u945?\u963?\u951?"/>
    <w:docVar w:name="LW_SUPERTITRE" w:val="&lt;UNUSED&gt;"/>
    <w:docVar w:name="LW_TITRE.OBJ.CP" w:val="\u947?\u953?\u945? \u964?\u951? \u963?\u973?\u957?\u945?\u968?\u951?, \u949?\u958? \u959?\u957?\u972?\u956?\u945?\u964?\u959?\u962? \u964?\u951?\u962? \u917?\u965?\u961?\u969?\u960?\u945?\u970?\u954?\u942?\u962? \u904?\u957?\u969?\u963?\u951?\u962?, \u963?\u965?\u956?\u966?\u969?\u957?\u943?\u945?\u962? \u956?\u949?\u964?\u945?\u958?\u973? \u964?\u951?\u962? \u917?\u965?\u961?\u969?\u960?\u945?\u970?\u954?\u942?\u962? \u904?\u957?\u969?\u963?\u951?\u962? \u954?\u945?\u953? \u964?\u951?\u962? \u921?\u963?\u955?\u945?\u957?\u948?\u943?\u945?\u962? \u947?\u953?\u945? \u963?\u965?\u956?\u960?\u955?\u951?\u961?\u969?\u956?\u945?\u964?\u953?\u954?\u959?\u973?\u962? \u954?\u945?\u957?\u972?\u957?\u949?\u962? \u963?\u967?\u949?\u964?\u953?\u954?\u940? \u956?\u949? \u964?\u959? \u956?\u941?\u963?\u959? \u967?\u961?\u951?\u956?\u945?\u964?\u959?\u948?\u959?\u964?\u953?\u954?\u942?\u962? \u963?\u964?\u942?\u961?\u953?\u958?\u951?\u962? \u963?\u964?\u959?\u957? \u964?\u959?\u956?\u941?\u945? \u964?\u969?\u957? \u949?\u958?\u969?\u964?\u949?\u961?\u953?\u954?\u974?\u957? \u963?\u965?\u957?\u972?\u961?\u969?\u957? \u954?\u945?\u953? \u964?\u969?\u957? \u952?\u949?\u969?\u961?\u942?\u963?\u949?\u969?\u957?, \u963?\u964?\u959? \u960?\u955?\u945?\u943?\u963?\u953?\u959? \u964?\u959?\u965? \u932?\u945?\u956?\u949?\u943?\u959?\u965? \u917?\u963?\u969?\u964?\u949?\u961?\u953?\u954?\u942?\u962? \u913?\u963?\u966?\u940?\u955?\u949?\u953?\u945?\u962?, \u947?\u953?\u945? \u964?\u951?\u957? \u960?\u949?\u961?\u943?\u959?\u948?\u959? 2014-2020"/>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A65C-1B45-488E-A868-7EF28792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1709</Words>
  <Characters>9966</Characters>
  <Application>Microsoft Office Word</Application>
  <DocSecurity>0</DocSecurity>
  <Lines>195</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2017-04-25T13:54:00Z</cp:lastPrinted>
  <dcterms:created xsi:type="dcterms:W3CDTF">2017-04-25T14:04:00Z</dcterms:created>
  <dcterms:modified xsi:type="dcterms:W3CDTF">2017-05-02T16:15:00Z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