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82271AD2DF58406A83DE49CADC861114" style="width:450.75pt;height:420.7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before="240"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noProof/>
          <w:sz w:val="24"/>
        </w:rPr>
        <w:lastRenderedPageBreak/>
        <w:t>EVROPSKÁ UNIE, dále jen „Unie“,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>
      <w:pPr>
        <w:spacing w:before="240"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</w:t>
      </w:r>
    </w:p>
    <w:p>
      <w:pPr>
        <w:spacing w:before="240"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ISLAND, </w:t>
      </w:r>
    </w:p>
    <w:p>
      <w:pPr>
        <w:spacing w:before="240"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společně dále jen „strany“,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 OHLEDEM na dohodu uzavřenou mezi Radou Evropské unie a Islandem a Norským královstvím o přidružení Norského království k dohodě k provádění, uplatňování a rozvoji schengenského </w:t>
      </w:r>
      <w:r>
        <w:rPr>
          <w:rFonts w:ascii="Times New Roman" w:hAnsi="Times New Roman"/>
          <w:i/>
          <w:noProof/>
          <w:sz w:val="24"/>
        </w:rPr>
        <w:t>acquis</w:t>
      </w:r>
      <w:r>
        <w:rPr>
          <w:rFonts w:ascii="Times New Roman" w:hAnsi="Times New Roman"/>
          <w:noProof/>
          <w:sz w:val="24"/>
          <w:vertAlign w:val="superscript"/>
        </w:rPr>
        <w:footnoteReference w:id="1"/>
      </w:r>
      <w:r>
        <w:rPr>
          <w:rFonts w:ascii="Times New Roman" w:hAnsi="Times New Roman"/>
          <w:noProof/>
          <w:sz w:val="24"/>
        </w:rPr>
        <w:t xml:space="preserve"> (dále jen „dohoda o přidružení Islandu a Norska“),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VZHLEDEM K TĚMTO DŮVODŮM: </w:t>
      </w:r>
    </w:p>
    <w:p>
      <w:pPr>
        <w:spacing w:after="120" w:line="240" w:lineRule="auto"/>
        <w:ind w:left="860" w:hanging="8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(1)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Unie zřídila nástroj pro finanční podporu v oblasti vnějších hranic a víz jako součást Fondu pro vnitřní bezpečnost nařízením Evropského parlamentu a Rady (EU) č. 515/2014</w:t>
      </w:r>
      <w:r>
        <w:rPr>
          <w:rFonts w:ascii="Times New Roman" w:hAnsi="Times New Roman"/>
          <w:noProof/>
          <w:sz w:val="24"/>
          <w:vertAlign w:val="superscript"/>
        </w:rPr>
        <w:footnoteReference w:id="2"/>
      </w:r>
      <w:r>
        <w:rPr>
          <w:rFonts w:ascii="Times New Roman" w:hAnsi="Times New Roman"/>
          <w:noProof/>
          <w:sz w:val="24"/>
        </w:rPr>
        <w:t xml:space="preserve">. </w:t>
      </w:r>
    </w:p>
    <w:p>
      <w:pPr>
        <w:spacing w:after="120" w:line="240" w:lineRule="auto"/>
        <w:ind w:left="860" w:hanging="8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(2)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Nařízení (EU) č. 515/2014 rozvíjí schengenské </w:t>
      </w:r>
      <w:r>
        <w:rPr>
          <w:rFonts w:ascii="Times New Roman" w:hAnsi="Times New Roman"/>
          <w:i/>
          <w:noProof/>
          <w:sz w:val="24"/>
        </w:rPr>
        <w:t>acquis</w:t>
      </w:r>
      <w:r>
        <w:rPr>
          <w:rFonts w:ascii="Times New Roman" w:hAnsi="Times New Roman"/>
          <w:noProof/>
          <w:sz w:val="24"/>
        </w:rPr>
        <w:t xml:space="preserve"> ve smyslu dohody o přidružení Islandu a Norska.</w:t>
      </w:r>
    </w:p>
    <w:p>
      <w:pPr>
        <w:spacing w:after="120" w:line="240" w:lineRule="auto"/>
        <w:ind w:left="860" w:hanging="8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(3)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Jelikož nařízení Evropského parlamentu a Rady (EU) č. 514/2014</w:t>
      </w:r>
      <w:r>
        <w:rPr>
          <w:rFonts w:ascii="Times New Roman" w:hAnsi="Times New Roman"/>
          <w:noProof/>
          <w:sz w:val="24"/>
          <w:vertAlign w:val="superscript"/>
        </w:rPr>
        <w:footnoteReference w:id="3"/>
      </w:r>
      <w:r>
        <w:rPr>
          <w:rFonts w:ascii="Times New Roman" w:hAnsi="Times New Roman"/>
          <w:noProof/>
          <w:sz w:val="24"/>
        </w:rPr>
        <w:t xml:space="preserve"> má přímý dopad na uplatňování ustanovení nařízení (EU) č. 515/2014, a ovlivňuje tak jeho právní rámec, a jelikož při přijetí nařízení (EU) č. 514/2014, které bylo Islandu oznámeno, byly použity postupy stanovené v dohodě o přidružení Islandu a Norska, smluvní strany uznávají, že nařízení (EU) č. 514/2014 rozvíjí schengenské </w:t>
      </w:r>
      <w:r>
        <w:rPr>
          <w:rFonts w:ascii="Times New Roman" w:hAnsi="Times New Roman"/>
          <w:i/>
          <w:noProof/>
          <w:sz w:val="24"/>
        </w:rPr>
        <w:t>acquis</w:t>
      </w:r>
      <w:r>
        <w:rPr>
          <w:rFonts w:ascii="Times New Roman" w:hAnsi="Times New Roman"/>
          <w:noProof/>
          <w:sz w:val="24"/>
        </w:rPr>
        <w:t xml:space="preserve"> ve smyslu dohody o přidružení Islandu a Norska, protože je to nezbytné pro provádění nařízení (EU) č. 515/2014.</w:t>
      </w:r>
    </w:p>
    <w:p>
      <w:pPr>
        <w:spacing w:after="120" w:line="240" w:lineRule="auto"/>
        <w:ind w:left="860" w:hanging="8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(4)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V čl. 5 odst. 7 nařízení (EU) č. 515/2014 se stanoví, že se země přidružené k provádění, uplatňování a rozvoji schengenského </w:t>
      </w:r>
      <w:r>
        <w:rPr>
          <w:rFonts w:ascii="Times New Roman" w:hAnsi="Times New Roman"/>
          <w:i/>
          <w:noProof/>
          <w:sz w:val="24"/>
        </w:rPr>
        <w:t>acquis</w:t>
      </w:r>
      <w:r>
        <w:rPr>
          <w:rFonts w:ascii="Times New Roman" w:hAnsi="Times New Roman"/>
          <w:noProof/>
          <w:sz w:val="24"/>
        </w:rPr>
        <w:t xml:space="preserve">, mimo jiné Island, účastní nástroje v souladu s jeho ustanoveními a že by měla být uzavřena ujednání stanovující finanční příspěvky uvedených zemí a doplňková pravidla nezbytná pro takovou účast, včetně ustanovení na zajištění ochrany finančních zájmů Unie a pravomoci auditu Účetního dvora. </w:t>
      </w:r>
    </w:p>
    <w:p>
      <w:pPr>
        <w:spacing w:after="120" w:line="240" w:lineRule="auto"/>
        <w:ind w:left="860" w:hanging="8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(5)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Nástroj pro finanční podporu v oblasti vnějších hranic a víz jako součást Fondu pro vnitřní bezpečnost (dále jen „Fond pro vnitřní bezpečnost – hranice a víza“) představuje specifický nástroj v kontextu schengenského </w:t>
      </w:r>
      <w:r>
        <w:rPr>
          <w:rFonts w:ascii="Times New Roman" w:hAnsi="Times New Roman"/>
          <w:i/>
          <w:noProof/>
          <w:sz w:val="24"/>
        </w:rPr>
        <w:t>acquis</w:t>
      </w:r>
      <w:r>
        <w:rPr>
          <w:rFonts w:ascii="Times New Roman" w:hAnsi="Times New Roman"/>
          <w:noProof/>
          <w:sz w:val="24"/>
        </w:rPr>
        <w:t>, jenž byl vytvořen za účelem umožnit sdílení zátěže a finanční podporu v oblasti vnějších hranic a vízové politiky v členských státech a přidružených státech.</w:t>
      </w:r>
    </w:p>
    <w:p>
      <w:pPr>
        <w:spacing w:after="120" w:line="240" w:lineRule="auto"/>
        <w:ind w:left="860" w:hanging="8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(6)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Článek 60 nařízení Evropského parlamentu a Rady (EU, Euratom) č. 966/2012</w:t>
      </w:r>
      <w:r>
        <w:rPr>
          <w:rFonts w:ascii="Times New Roman" w:hAnsi="Times New Roman"/>
          <w:noProof/>
          <w:sz w:val="24"/>
          <w:vertAlign w:val="superscript"/>
        </w:rPr>
        <w:footnoteReference w:id="4"/>
      </w:r>
      <w:r>
        <w:rPr>
          <w:rFonts w:ascii="Times New Roman" w:hAnsi="Times New Roman"/>
          <w:noProof/>
          <w:sz w:val="24"/>
        </w:rPr>
        <w:t xml:space="preserve"> stanoví pravidla pro nepřímé řízení, která jsou použitelná, jsou-li třetí země, včetně přidružených států, pověřeny úkoly souvisejícími s plněním rozpočtu. </w:t>
      </w:r>
    </w:p>
    <w:p>
      <w:pPr>
        <w:spacing w:before="120" w:after="120" w:line="240" w:lineRule="auto"/>
        <w:ind w:left="860" w:hanging="8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lastRenderedPageBreak/>
        <w:t xml:space="preserve">(7)   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V čl. 17 odst. 4 nařízení (EU) č. 514/2014 se stanoví způsobilost výdajů vynaložených v roce 2014 odpovědným orgánem, který ještě nebyl formálně určen, a tím se zajišťuje hladký přechod mezi Fondem pro vnější hranice a Fondem pro vnitřní bezpečnost. Stejně tak je důležité, aby stejný záměr odrážela i tato dohoda. Vzhledem k tomu, že tato dohoda nevstoupila v platnost před koncem roku 2014, je nezbytné zajistit způsobilost výdajů vynaložených před formálním určením, případně do formálního určení odpovědného orgánu, pokud systémy řízení a kontroly používané před tímto formálním určením jsou v zásadě totožné se systémy účinnými po formálním určení odpovědného orgánu.</w:t>
      </w:r>
    </w:p>
    <w:p>
      <w:pPr>
        <w:spacing w:after="120" w:line="240" w:lineRule="auto"/>
        <w:ind w:left="860" w:hanging="8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(8)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Aby byl usnadněn výpočet a použití splatných ročních příspěvků Islandu do Fondu pro vnitřní bezpečnost – hranice a víza, budou jeho příspěvky za období 2014–2020 uhrazeny v pěti ročních splátkách od roku 2016 do roku 2020. Od roku 2016 do roku 2018 jsou roční příspěvky stanoveny jako paušální částky, zatímco příspěvky splatné za roky 2019 a 2020 budou stanoveny v roce 2019 na základě hrubého domácího produktu všech států účastnících se Fondu pro vnitřní bezpečnost – hranice a víza s přihlédnutím ke skutečně uhrazeným platbám,  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SE DOHODLY TAKTO:</w:t>
      </w:r>
    </w:p>
    <w:p>
      <w:pPr>
        <w:keepNext/>
        <w:spacing w:after="120" w:line="240" w:lineRule="auto"/>
        <w:jc w:val="center"/>
        <w:rPr>
          <w:rFonts w:ascii="Times New Roman" w:hAnsi="Times New Roman" w:cs="Times New Roman"/>
          <w:i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>Článek 1</w:t>
      </w:r>
    </w:p>
    <w:p>
      <w:pPr>
        <w:keepNext/>
        <w:spacing w:after="120" w:line="240" w:lineRule="auto"/>
        <w:jc w:val="center"/>
        <w:rPr>
          <w:rFonts w:ascii="Times New Roman" w:hAnsi="Times New Roman" w:cs="Times New Roman"/>
          <w:i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>Oblast působnosti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Tato dohoda stanoví doplňková pravidla nezbytná pro účast Islandu ve Fondu pro vnitřní bezpečnost – hranice a víza v souladu s nařízením (EU) č. 515/2014. </w:t>
      </w:r>
    </w:p>
    <w:p>
      <w:pPr>
        <w:keepNext/>
        <w:spacing w:before="480" w:after="120" w:line="240" w:lineRule="auto"/>
        <w:jc w:val="center"/>
        <w:rPr>
          <w:rFonts w:ascii="Times New Roman" w:hAnsi="Times New Roman" w:cs="Times New Roman"/>
          <w:i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>Článek 2</w:t>
      </w:r>
    </w:p>
    <w:p>
      <w:pPr>
        <w:keepNext/>
        <w:spacing w:after="120" w:line="240" w:lineRule="auto"/>
        <w:jc w:val="center"/>
        <w:rPr>
          <w:rFonts w:ascii="Times New Roman" w:hAnsi="Times New Roman" w:cs="Times New Roman"/>
          <w:i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>Finanční řízení a kontrola</w:t>
      </w:r>
    </w:p>
    <w:p>
      <w:pPr>
        <w:spacing w:after="120" w:line="240" w:lineRule="auto"/>
        <w:ind w:left="860" w:hanging="8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1.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Island přijme nezbytná opatření k zajištění souladu s ustanoveními vztahujícími se na finanční řízení a kontrolu, jež jsou obsažena ve Smlouvě o fungování Evropské unie (dále jen „SFEU“) a v sekundárních právních předpisech. </w:t>
      </w:r>
    </w:p>
    <w:p>
      <w:pPr>
        <w:spacing w:after="120" w:line="240" w:lineRule="auto"/>
        <w:ind w:left="8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Ustanovení SFEU a sekundárních právních předpisů uvedená v prvním pododstavci jsou tato: </w:t>
      </w:r>
    </w:p>
    <w:p>
      <w:pPr>
        <w:pStyle w:val="Point2letter"/>
        <w:rPr>
          <w:noProof/>
        </w:rPr>
      </w:pPr>
      <w:r>
        <w:rPr>
          <w:noProof/>
        </w:rPr>
        <w:t xml:space="preserve">čl. 287 odst. 1, 2 a 3 SFEU; </w:t>
      </w:r>
    </w:p>
    <w:p>
      <w:pPr>
        <w:pStyle w:val="Point2letter"/>
        <w:rPr>
          <w:noProof/>
        </w:rPr>
      </w:pPr>
      <w:r>
        <w:rPr>
          <w:noProof/>
        </w:rPr>
        <w:t xml:space="preserve">články 30, 32 a 57, čl. 58 odst. 1 písm. c) bod i), článek 60, čl. 79 odst. 2 a čl. 108 odst. 2 nařízení (EU, Euratom) č. 966/2012; </w:t>
      </w:r>
    </w:p>
    <w:p>
      <w:pPr>
        <w:pStyle w:val="Point2letter"/>
        <w:rPr>
          <w:noProof/>
        </w:rPr>
      </w:pPr>
      <w:r>
        <w:rPr>
          <w:noProof/>
        </w:rPr>
        <w:t>články 32, 38, 42, 84, 88, 142 a 144 nařízení Komise v přenesené pravomoci (EU) č. 1268/2012</w:t>
      </w:r>
      <w:r>
        <w:rPr>
          <w:noProof/>
          <w:vertAlign w:val="superscript"/>
        </w:rPr>
        <w:footnoteReference w:id="5"/>
      </w:r>
      <w:r>
        <w:rPr>
          <w:noProof/>
        </w:rPr>
        <w:t>;</w:t>
      </w:r>
    </w:p>
    <w:p>
      <w:pPr>
        <w:pStyle w:val="Point2letter"/>
        <w:rPr>
          <w:noProof/>
        </w:rPr>
      </w:pPr>
      <w:r>
        <w:rPr>
          <w:noProof/>
        </w:rPr>
        <w:t>nařízení Rady (Euratom, ES) č. 2185/96</w:t>
      </w:r>
      <w:r>
        <w:rPr>
          <w:noProof/>
          <w:vertAlign w:val="superscript"/>
        </w:rPr>
        <w:footnoteReference w:id="6"/>
      </w:r>
      <w:r>
        <w:rPr>
          <w:noProof/>
        </w:rPr>
        <w:t xml:space="preserve">; </w:t>
      </w:r>
    </w:p>
    <w:p>
      <w:pPr>
        <w:pStyle w:val="Point2letter"/>
        <w:rPr>
          <w:noProof/>
        </w:rPr>
      </w:pPr>
      <w:r>
        <w:rPr>
          <w:noProof/>
        </w:rPr>
        <w:t>nařízení Evropského parlamentu a Rady (EU, Euratom) č. 883/2013</w:t>
      </w:r>
      <w:r>
        <w:rPr>
          <w:noProof/>
          <w:vertAlign w:val="superscript"/>
        </w:rPr>
        <w:footnoteReference w:id="7"/>
      </w:r>
      <w:r>
        <w:rPr>
          <w:noProof/>
        </w:rPr>
        <w:t>.</w:t>
      </w:r>
    </w:p>
    <w:p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Strany mohou rozhodnout o pozměnění tohoto seznamu na základě vzájemné dohody. </w:t>
      </w:r>
    </w:p>
    <w:p>
      <w:pPr>
        <w:spacing w:after="120" w:line="240" w:lineRule="auto"/>
        <w:ind w:left="860" w:hanging="8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2.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Island uplatňuje ustanovení uvedená v odstavci 1 na svém území v souladu s touto dohodou. </w:t>
      </w:r>
    </w:p>
    <w:p>
      <w:pPr>
        <w:keepNext/>
        <w:spacing w:before="480" w:after="120" w:line="240" w:lineRule="auto"/>
        <w:jc w:val="center"/>
        <w:rPr>
          <w:rFonts w:ascii="Times New Roman" w:hAnsi="Times New Roman" w:cs="Times New Roman"/>
          <w:i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>Článek 3</w:t>
      </w:r>
    </w:p>
    <w:p>
      <w:pPr>
        <w:keepNext/>
        <w:spacing w:after="120" w:line="240" w:lineRule="auto"/>
        <w:jc w:val="center"/>
        <w:rPr>
          <w:rFonts w:ascii="Times New Roman" w:hAnsi="Times New Roman" w:cs="Times New Roman"/>
          <w:i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>Dodržování zásady řádného finančního řízení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Finanční prostředky přidělené Islandu v rámci Fondu pro vnitřní bezpečnost – hranice a víza se použijí v souladu se zásadou řádného finančního řízení. </w:t>
      </w:r>
    </w:p>
    <w:p>
      <w:pPr>
        <w:keepNext/>
        <w:spacing w:before="480" w:after="120" w:line="240" w:lineRule="auto"/>
        <w:jc w:val="center"/>
        <w:rPr>
          <w:rFonts w:ascii="Times New Roman" w:hAnsi="Times New Roman" w:cs="Times New Roman"/>
          <w:i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>Článek 4</w:t>
      </w:r>
    </w:p>
    <w:p>
      <w:pPr>
        <w:keepNext/>
        <w:spacing w:after="120" w:line="240" w:lineRule="auto"/>
        <w:jc w:val="center"/>
        <w:rPr>
          <w:rFonts w:ascii="Times New Roman" w:hAnsi="Times New Roman" w:cs="Times New Roman"/>
          <w:i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>Dodržování zásady zamezení střetu zájmů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Všichni účastníci finančních operací a jiné osoby podílející se na území Islandu na plnění rozpočtu a jeho správě, včetně přípravy na tuto činnost, na auditu nebo kontrole, se zdrží jakéhokoliv jednání, jež by mohlo uvést jejich zájmy do střetu se zájmy Unie. </w:t>
      </w:r>
    </w:p>
    <w:p>
      <w:pPr>
        <w:keepNext/>
        <w:spacing w:before="480" w:after="120" w:line="240" w:lineRule="auto"/>
        <w:jc w:val="center"/>
        <w:rPr>
          <w:rFonts w:ascii="Times New Roman" w:hAnsi="Times New Roman" w:cs="Times New Roman"/>
          <w:b/>
          <w:i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 xml:space="preserve">Článek 5 </w:t>
      </w:r>
    </w:p>
    <w:p>
      <w:pPr>
        <w:keepNext/>
        <w:spacing w:after="120" w:line="240" w:lineRule="auto"/>
        <w:jc w:val="center"/>
        <w:rPr>
          <w:rFonts w:ascii="Times New Roman" w:hAnsi="Times New Roman" w:cs="Times New Roman"/>
          <w:i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>Výkon rozhodnutí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Rozhodnutí přijatá Komisí, která ukládají finanční závazky jiným osobám než státům, jsou vykonatelná na území Islandu. 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Výkon rozhodnutí se řídí předpisy občanského procesního práva platnými na Islandu. Doložku vykonatelnosti rozhodnutí připojí po jeho přezkoumání, omezeném jen na ověření pravosti, vnitrostátní orgán, který k tomu účelu určí vláda Islandu a oznámí jej Komisi.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Jsou-li uvedené formální náležitosti splněny na žádost Komise, může Komise v souladu s vnitrostátním právem požádat o výkon rozhodnutí přímo příslušný orgán.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Výkon rozhodnutí může být zastaven pouze na základě rozhodnutí Soudního dvora Evropské unie. Kontrola řádného provádění výkonu rozhodnutí však spadá do pravomoci soudních orgánů Islandu. </w:t>
      </w:r>
    </w:p>
    <w:p>
      <w:pPr>
        <w:keepNext/>
        <w:spacing w:before="480" w:after="120" w:line="240" w:lineRule="auto"/>
        <w:jc w:val="center"/>
        <w:rPr>
          <w:rFonts w:ascii="Times New Roman" w:hAnsi="Times New Roman" w:cs="Times New Roman"/>
          <w:i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>Článek 6</w:t>
      </w:r>
    </w:p>
    <w:p>
      <w:pPr>
        <w:keepNext/>
        <w:spacing w:after="120" w:line="240" w:lineRule="auto"/>
        <w:jc w:val="center"/>
        <w:rPr>
          <w:rFonts w:ascii="Times New Roman" w:hAnsi="Times New Roman" w:cs="Times New Roman"/>
          <w:i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>Ochrana finančních zájmů Unie proti podvodům</w:t>
      </w:r>
    </w:p>
    <w:p>
      <w:pPr>
        <w:numPr>
          <w:ilvl w:val="0"/>
          <w:numId w:val="2"/>
        </w:numPr>
        <w:spacing w:before="120" w:after="120" w:line="240" w:lineRule="auto"/>
        <w:ind w:left="860" w:hanging="8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Island:</w:t>
      </w:r>
    </w:p>
    <w:p>
      <w:pPr>
        <w:pStyle w:val="ListParagraph"/>
        <w:numPr>
          <w:ilvl w:val="0"/>
          <w:numId w:val="13"/>
        </w:numPr>
        <w:tabs>
          <w:tab w:val="num" w:pos="1417"/>
        </w:tabs>
        <w:spacing w:after="120" w:line="240" w:lineRule="auto"/>
        <w:ind w:left="1423" w:hanging="56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bojuje proti podvodům a jiným protiprávním jednáním poškozujícím nebo ohrožujícím finanční zájmy Unie opatřeními, která mají odstrašující účinek a poskytují účinnou ochranu na Islandu; </w:t>
      </w:r>
    </w:p>
    <w:p>
      <w:pPr>
        <w:pStyle w:val="ListParagraph"/>
        <w:numPr>
          <w:ilvl w:val="0"/>
          <w:numId w:val="13"/>
        </w:numPr>
        <w:tabs>
          <w:tab w:val="num" w:pos="1417"/>
        </w:tabs>
        <w:spacing w:after="120" w:line="240" w:lineRule="auto"/>
        <w:ind w:left="1423" w:hanging="56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přijme k zamezení podvodů ohrožujících finanční zájmy Unie stejná opatření, jaká přijímá k zamezení podvodů ohrožujících jeho vlastní finanční zájmy, a </w:t>
      </w:r>
    </w:p>
    <w:p>
      <w:pPr>
        <w:pStyle w:val="ListParagraph"/>
        <w:numPr>
          <w:ilvl w:val="0"/>
          <w:numId w:val="13"/>
        </w:numPr>
        <w:tabs>
          <w:tab w:val="num" w:pos="1417"/>
        </w:tabs>
        <w:spacing w:after="120" w:line="240" w:lineRule="auto"/>
        <w:ind w:left="1423" w:hanging="56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 členskými státy a Komisí koordinuje svou činnost zaměřenou na ochranu finančních zájmů Unie proti podvodům. </w:t>
      </w:r>
    </w:p>
    <w:p>
      <w:pPr>
        <w:numPr>
          <w:ilvl w:val="0"/>
          <w:numId w:val="2"/>
        </w:numPr>
        <w:spacing w:before="120" w:after="120" w:line="240" w:lineRule="auto"/>
        <w:ind w:left="860" w:hanging="8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Island přijme opatření rovnocenná opatřením přijatým Unií v souladu s čl. 325 odst. 4 SFEU, která jsou platná v den podpisu této dohody.</w:t>
      </w:r>
    </w:p>
    <w:p>
      <w:pPr>
        <w:spacing w:after="120" w:line="240" w:lineRule="auto"/>
        <w:ind w:left="8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Strany mohou rozhodnout na základě vzájemné dohody o přijetí opatření rovnocenných následným opatřením přijatým Unií v souladu s tímto článkem. </w:t>
      </w:r>
    </w:p>
    <w:p>
      <w:pPr>
        <w:keepNext/>
        <w:spacing w:before="480" w:after="120" w:line="240" w:lineRule="auto"/>
        <w:jc w:val="center"/>
        <w:rPr>
          <w:rFonts w:ascii="Times New Roman" w:hAnsi="Times New Roman" w:cs="Times New Roman"/>
          <w:i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>Článek 7</w:t>
      </w:r>
    </w:p>
    <w:p>
      <w:pPr>
        <w:keepNext/>
        <w:spacing w:after="120" w:line="240" w:lineRule="auto"/>
        <w:jc w:val="center"/>
        <w:rPr>
          <w:rFonts w:ascii="Times New Roman" w:hAnsi="Times New Roman" w:cs="Times New Roman"/>
          <w:i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>Kontroly a inspekce na místě prováděné Komisí (OLAF)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Aniž jsou dotčena její práva podle čl. 5 odst. 8 nařízení (EU) č. 514/2014, je Komise (Evropský úřad pro boj proti podvodům, OLAF) oprávněna provádět kontroly a inspekce na místě na území Islandu, pokud jde o Fond pro vnitřní bezpečnost – hranice a víza, v souladu s podmínkami stanovenými v nařízení (Euratom, ES) č. 2185/96.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Orgány Islandu jsou nápomocny při kontrolách a inspekcích na místě, které – pokud si to tyto orgány přejí – mohou být prováděny společně s nimi.</w:t>
      </w:r>
    </w:p>
    <w:p>
      <w:pPr>
        <w:keepNext/>
        <w:spacing w:before="480" w:after="120" w:line="240" w:lineRule="auto"/>
        <w:jc w:val="center"/>
        <w:rPr>
          <w:rFonts w:ascii="Times New Roman" w:hAnsi="Times New Roman" w:cs="Times New Roman"/>
          <w:i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>Článek 8</w:t>
      </w:r>
    </w:p>
    <w:p>
      <w:pPr>
        <w:keepNext/>
        <w:spacing w:after="120" w:line="240" w:lineRule="auto"/>
        <w:jc w:val="center"/>
        <w:rPr>
          <w:rFonts w:ascii="Times New Roman" w:hAnsi="Times New Roman" w:cs="Times New Roman"/>
          <w:i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>Účetní dvůr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Jak je stanoveno v čl. 287 odst. 3 SFEU a v části první hlavě X kapitole 1 nařízení (EU, Euratom) č. 966/2012, má Účetní dvůr možnost provádět audity v prostorách jakéhokoli subjektu spravujícího příjmy nebo výdaje jménem Unie na území Islandu, pokud jde o Fond pro vnitřní bezpečnost – hranice a víza, včetně prostor jakékoli fyzické nebo právnické osoby přijímající platby z rozpočtu. 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Na Islandu se audity prováděné Účetním dvorem uskutečňují v součinnosti s vnitrostátními kontrolními orgány, a nemají-li tyto orgány potřebné pravomoci, v součinnosti s příslušnými vnitrostátními úřady. Účetní dvůr a vnitrostátní kontrolní orgány Islandu spolupracují v duchu důvěry při zachování své nezávislosti. Tyto orgány nebo úřady sdělí Účetnímu dvoru, zda se na auditu zamýšlejí podílet. 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Účetní dvůr má přinejmenším tatáž práva jako Komise, a to podle čl. 5 odst. 7 nařízení (EU) č. 514/2014 a článku 7 této dohody. </w:t>
      </w:r>
    </w:p>
    <w:p>
      <w:pPr>
        <w:keepNext/>
        <w:spacing w:before="480" w:after="120" w:line="240" w:lineRule="auto"/>
        <w:jc w:val="center"/>
        <w:rPr>
          <w:rFonts w:ascii="Times New Roman" w:hAnsi="Times New Roman" w:cs="Times New Roman"/>
          <w:i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>Článek 9</w:t>
      </w:r>
    </w:p>
    <w:p>
      <w:pPr>
        <w:keepNext/>
        <w:spacing w:after="120" w:line="240" w:lineRule="auto"/>
        <w:jc w:val="center"/>
        <w:rPr>
          <w:rFonts w:ascii="Times New Roman" w:hAnsi="Times New Roman" w:cs="Times New Roman"/>
          <w:i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>Veřejné zakázky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Island uplatní ustanovení svého zákona o zadávání veřejných zakázek v souladu s přílohou XVI Dohody o Evropském hospodářském prostoru</w:t>
      </w:r>
      <w:r>
        <w:rPr>
          <w:rFonts w:ascii="Times New Roman" w:hAnsi="Times New Roman"/>
          <w:noProof/>
          <w:sz w:val="24"/>
          <w:vertAlign w:val="superscript"/>
        </w:rPr>
        <w:footnoteReference w:id="8"/>
      </w:r>
      <w:r>
        <w:rPr>
          <w:rFonts w:ascii="Times New Roman" w:hAnsi="Times New Roman"/>
          <w:noProof/>
          <w:sz w:val="24"/>
        </w:rPr>
        <w:t xml:space="preserve">. </w:t>
      </w:r>
    </w:p>
    <w:p>
      <w:pPr>
        <w:keepNext/>
        <w:spacing w:before="480" w:after="120" w:line="240" w:lineRule="auto"/>
        <w:jc w:val="center"/>
        <w:rPr>
          <w:rFonts w:ascii="Times New Roman" w:hAnsi="Times New Roman" w:cs="Times New Roman"/>
          <w:i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>Článek 10</w:t>
      </w:r>
    </w:p>
    <w:p>
      <w:pPr>
        <w:keepNext/>
        <w:spacing w:after="120" w:line="240" w:lineRule="auto"/>
        <w:jc w:val="center"/>
        <w:rPr>
          <w:rFonts w:ascii="Times New Roman" w:hAnsi="Times New Roman" w:cs="Times New Roman"/>
          <w:i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 xml:space="preserve">Finanční příspěvky </w:t>
      </w:r>
    </w:p>
    <w:p>
      <w:pPr>
        <w:spacing w:before="120" w:after="120" w:line="240" w:lineRule="auto"/>
        <w:ind w:left="850" w:hanging="85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1.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Za roky 2016 až 2018 provede Island roční platby do rozpočtu Fondu pro vnitřní bezpečnost – hranice a víza podle této tabulky: </w:t>
      </w:r>
    </w:p>
    <w:p>
      <w:pPr>
        <w:spacing w:after="120" w:line="240" w:lineRule="auto"/>
        <w:ind w:left="850"/>
        <w:jc w:val="right"/>
        <w:rPr>
          <w:rFonts w:ascii="Times New Roman" w:hAnsi="Times New Roman" w:cs="Times New Roman"/>
          <w:i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>(všechny částky v EUR)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2160"/>
        <w:gridCol w:w="2040"/>
        <w:gridCol w:w="2040"/>
      </w:tblGrid>
      <w:t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8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8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2016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8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2017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8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2018</w:t>
            </w:r>
          </w:p>
        </w:tc>
      </w:tr>
      <w:t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8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Island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8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563 999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8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563 999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8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563 999</w:t>
            </w:r>
          </w:p>
        </w:tc>
      </w:tr>
    </w:tbl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>
      <w:pPr>
        <w:spacing w:before="120" w:after="120" w:line="240" w:lineRule="auto"/>
        <w:ind w:left="850" w:hanging="85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2.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Příspěvky Islandu za roky 2019 a 2020 se vypočtou podle jeho příslušného hrubého domácího produktu (HDP) jako procentní podíl HDP všech států účastnících se Fondu pro vnitřní bezpečnost – hranice a víza podle vzorce uvedeného v příloze.</w:t>
      </w:r>
    </w:p>
    <w:p>
      <w:pPr>
        <w:numPr>
          <w:ilvl w:val="0"/>
          <w:numId w:val="2"/>
        </w:numPr>
        <w:tabs>
          <w:tab w:val="clear" w:pos="850"/>
          <w:tab w:val="num" w:pos="840"/>
        </w:tabs>
        <w:spacing w:before="120" w:after="120" w:line="240" w:lineRule="auto"/>
        <w:ind w:left="840" w:hanging="84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Finanční příspěvky Islandu uvedené v tomto článku jsou Islandem splatné bez ohledu na datum přijetí jeho národního programu uvedeného v článku 14 nařízení (EU) č. 514/2014.  </w:t>
      </w:r>
    </w:p>
    <w:p>
      <w:pPr>
        <w:spacing w:before="480" w:after="120" w:line="240" w:lineRule="auto"/>
        <w:ind w:left="850"/>
        <w:jc w:val="center"/>
        <w:rPr>
          <w:rFonts w:ascii="Times New Roman" w:hAnsi="Times New Roman" w:cs="Times New Roman"/>
          <w:i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>Článek 11</w:t>
      </w:r>
    </w:p>
    <w:p>
      <w:pPr>
        <w:spacing w:after="120" w:line="240" w:lineRule="auto"/>
        <w:ind w:left="850"/>
        <w:jc w:val="center"/>
        <w:rPr>
          <w:rFonts w:ascii="Times New Roman" w:hAnsi="Times New Roman" w:cs="Times New Roman"/>
          <w:i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>Použití finančních příspěvků</w:t>
      </w:r>
    </w:p>
    <w:p>
      <w:pPr>
        <w:numPr>
          <w:ilvl w:val="0"/>
          <w:numId w:val="1"/>
        </w:numPr>
        <w:spacing w:before="120" w:after="120" w:line="240" w:lineRule="auto"/>
        <w:ind w:left="860" w:hanging="8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Celkové roční platby za roky 2016 a 2017 se přidělí takto: </w:t>
      </w:r>
    </w:p>
    <w:p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 xml:space="preserve">75 % na přezkum v polovině období uvedený v článku 8 nařízení (EU) č. 515/2014; </w:t>
      </w:r>
    </w:p>
    <w:p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 xml:space="preserve">15 % na rozvoj systémů informačních technologií uvedených v článku 15 nařízení (EU) č. 515/2014, s výhradou přijetí příslušných legislativních aktů Unie do 30. června 2017; </w:t>
      </w:r>
    </w:p>
    <w:p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 xml:space="preserve">10 % na akce Unie uvedené v článku 13 nařízení (EU) č. 515/2014 a mimořádnou pomoc uvedenou v článku 14 nařízení (EU) č. 515/2014. </w:t>
      </w:r>
    </w:p>
    <w:p>
      <w:pPr>
        <w:spacing w:before="120" w:after="120" w:line="240" w:lineRule="auto"/>
        <w:ind w:left="8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Pokud částka uvedená v písmenu b) není přidělena nebo vynaložena, Komise ji podle postupu stanoveného v čl. 5 odst. 5 písm. b) druhém pododstavci nařízení (EU) č. 515/2014 přidělí na specifické akce uvedené v článku 7 nařízení (EU) č. 515/2014.</w:t>
      </w:r>
    </w:p>
    <w:p>
      <w:pPr>
        <w:spacing w:before="120" w:after="120" w:line="240" w:lineRule="auto"/>
        <w:ind w:left="8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Pokud tato dohoda nevstoupí v platnost nebo nebude prozatímně prováděna do 1. června 2017, celý příspěvek Islandu se použije v souladu s odstavcem 2 tohoto článku.</w:t>
      </w:r>
    </w:p>
    <w:p>
      <w:pPr>
        <w:tabs>
          <w:tab w:val="num" w:pos="850"/>
        </w:tabs>
        <w:spacing w:before="120" w:after="120" w:line="240" w:lineRule="auto"/>
        <w:ind w:left="850" w:hanging="85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Celkové roční platby za roky 2018, 2019 a 2020 se přidělí takto:</w:t>
      </w:r>
    </w:p>
    <w:p>
      <w:pPr>
        <w:numPr>
          <w:ilvl w:val="3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40 % na specifické akce uvedené v článku 7 nařízení (EU) č. 515/2014; </w:t>
      </w:r>
    </w:p>
    <w:p>
      <w:pPr>
        <w:numPr>
          <w:ilvl w:val="3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50 % na rozvoj systémů informačních technologií uvedených v článku 15 nařízení (EU) č. 515/2014, s výhradou přijetí příslušných legislativních aktů Unie do 31. prosince 2018; </w:t>
      </w:r>
    </w:p>
    <w:p>
      <w:pPr>
        <w:numPr>
          <w:ilvl w:val="3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10 % na akce Unie uvedené v článku 13 nařízení (EU) č. 515/2014 a mimořádnou pomoc uvedenou v článku 14 nařízení (EU) č. 515/2014.</w:t>
      </w:r>
    </w:p>
    <w:p>
      <w:pPr>
        <w:spacing w:before="120" w:after="120" w:line="240" w:lineRule="auto"/>
        <w:ind w:left="8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Pokud částka uvedená v písmenu b) není přidělena nebo vynaložena, Komise ji podle postupu stanoveného v čl. 5 odst. 5 písm. b) druhém pododstavci nařízení (EU) č. 515/2014 přidělí na specifické akce uvedené v článku 7 nařízení (EU) č. 515/2014. </w:t>
      </w:r>
    </w:p>
    <w:p>
      <w:pPr>
        <w:tabs>
          <w:tab w:val="num" w:pos="850"/>
        </w:tabs>
        <w:spacing w:before="120" w:after="120" w:line="240" w:lineRule="auto"/>
        <w:ind w:left="850" w:hanging="85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Další částky určené na přezkum v polovině období, akce Unie, specifické akce nebo program rozvoje systémů informačních technologií se použijí v souladu s příslušným postupem stanoveným v jednom z těchto ustanovení:</w:t>
      </w:r>
    </w:p>
    <w:p>
      <w:pPr>
        <w:numPr>
          <w:ilvl w:val="3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čl. 6 odst. 2 nařízení (EU) č. 514/2014;</w:t>
      </w:r>
    </w:p>
    <w:p>
      <w:pPr>
        <w:numPr>
          <w:ilvl w:val="3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čl. 8 odst. 7 nařízení (EU) č. 515/2014; </w:t>
      </w:r>
    </w:p>
    <w:p>
      <w:pPr>
        <w:numPr>
          <w:ilvl w:val="3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čl. 7 odst. 3 nařízení (EU) č. 515/2014;</w:t>
      </w:r>
    </w:p>
    <w:p>
      <w:pPr>
        <w:numPr>
          <w:ilvl w:val="3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čl. 15 druhý pododstavec nařízení (EU) č. 515/2014. </w:t>
      </w:r>
    </w:p>
    <w:p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4.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Komise může z plateb provedených Islandem každoročně použít částku do výše 4 076 EUR za účelem financování správních výdajů na zaměstnance nebo externí pracovníky, jejichž činnost je nezbytná pro podporu provádění nařízení (EU) č. 515/2014 a této dohody s Islandem.</w:t>
      </w:r>
    </w:p>
    <w:p>
      <w:pPr>
        <w:keepNext/>
        <w:spacing w:before="480" w:after="120" w:line="240" w:lineRule="auto"/>
        <w:jc w:val="center"/>
        <w:rPr>
          <w:rFonts w:ascii="Times New Roman" w:hAnsi="Times New Roman" w:cs="Times New Roman"/>
          <w:i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>Článek 12</w:t>
      </w:r>
    </w:p>
    <w:p>
      <w:pPr>
        <w:keepNext/>
        <w:spacing w:after="120" w:line="240" w:lineRule="auto"/>
        <w:jc w:val="center"/>
        <w:rPr>
          <w:rFonts w:ascii="Times New Roman" w:hAnsi="Times New Roman" w:cs="Times New Roman"/>
          <w:i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>Důvěrnost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Na informace sdělené nebo získané v jakékoli formě podle této dohody se vztahuje služební tajemství a jsou chráněny stejným způsobem, jakým jsou podobné informace chráněny předpisy použitelnými na orgány Unie a právními předpisy Islandu. Tyto informace nelze sdělovat jiným osobám kromě osob v orgánech Unie, členských státech nebo na Islandu, pro něž je jejich znalost vzhledem k jejich funkci nezbytná, a nelze je využívat k jiným účelům než k zajištění účinné ochrany finančních zájmů smluvních stran. </w:t>
      </w:r>
    </w:p>
    <w:p>
      <w:pPr>
        <w:keepNext/>
        <w:spacing w:before="480" w:after="120" w:line="240" w:lineRule="auto"/>
        <w:jc w:val="center"/>
        <w:rPr>
          <w:rFonts w:ascii="Times New Roman" w:hAnsi="Times New Roman" w:cs="Times New Roman"/>
          <w:i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>Článek 13</w:t>
      </w:r>
    </w:p>
    <w:p>
      <w:pPr>
        <w:spacing w:before="120" w:after="120"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 xml:space="preserve">Určení odpovědného orgánu </w:t>
      </w:r>
    </w:p>
    <w:p>
      <w:pPr>
        <w:tabs>
          <w:tab w:val="left" w:pos="850"/>
        </w:tabs>
        <w:spacing w:before="120" w:after="120" w:line="240" w:lineRule="auto"/>
        <w:ind w:left="860" w:hanging="8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Co nejdříve po schválení národního programu oznámí Island Komisi formálně určený odpovědný orgán na ministerské úrovni, který odpovídá za správu a kontrolu výdajů v rámci Fondu pro vnitřní bezpečnost – hranice a víza. </w:t>
      </w:r>
    </w:p>
    <w:p>
      <w:pPr>
        <w:tabs>
          <w:tab w:val="left" w:pos="850"/>
        </w:tabs>
        <w:spacing w:before="120" w:after="120" w:line="240" w:lineRule="auto"/>
        <w:ind w:left="860" w:hanging="86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2.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Podmínkou pro určení daného subjektu podle odstavce 1 je splnění kritérií pro určení týkajících se vnitřního prostředí, kontrolní činnosti, informací a komunikace a monitorování, jež jsou stanovena v nařízení (EU) č. 514/2014 či na jeho základě.</w:t>
      </w:r>
    </w:p>
    <w:p>
      <w:pPr>
        <w:tabs>
          <w:tab w:val="left" w:pos="850"/>
        </w:tabs>
        <w:spacing w:before="120" w:after="120" w:line="240" w:lineRule="auto"/>
        <w:ind w:left="860" w:hanging="86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3.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Určení odpovědného orgánu vychází z výroku auditorského subjektu, kterým může být auditní orgán a který posuzuje, zda odpovědný orgán splňuje kritéria pro určení. Tímto subjektem může být nezávislá veřejnoprávní instituce odpovědná za monitorování, hodnocení a kontrolu správy. Tento auditorský subjekt musí být nezávislý na odpovědném orgánu a vykonávat svou činnost v souladu s mezinárodně uznávanými auditorskými standardy.</w:t>
      </w:r>
      <w:r>
        <w:rPr>
          <w:rFonts w:ascii="Times New Roman" w:hAnsi="Times New Roman"/>
          <w:b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Při rozhodování o určení odpovědného orgánu může Island vycházet z toho, zda jsou systémy řízení a kontroly v podstatě totožné s již existujícími systémy z předchozího období a zda řádně fungují.</w:t>
      </w:r>
      <w:r>
        <w:rPr>
          <w:rFonts w:ascii="Times New Roman" w:hAnsi="Times New Roman"/>
          <w:b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Pokud stávající výsledky auditu a kontroly prokáží, že určený subjekt již nesplňuje kritéria pro určení, přijme Island opatření nezbytná k zajištění nápravy nedostatků při plnění úkolů tímto subjektem, včetně toho, že jeho určení zruší.</w:t>
      </w:r>
      <w:r>
        <w:rPr>
          <w:rFonts w:ascii="Times New Roman" w:hAnsi="Times New Roman"/>
          <w:b/>
          <w:noProof/>
          <w:sz w:val="24"/>
        </w:rPr>
        <w:t xml:space="preserve"> </w:t>
      </w:r>
    </w:p>
    <w:p>
      <w:pPr>
        <w:keepNext/>
        <w:spacing w:before="480" w:after="120" w:line="240" w:lineRule="auto"/>
        <w:jc w:val="center"/>
        <w:rPr>
          <w:rFonts w:ascii="Times New Roman" w:hAnsi="Times New Roman" w:cs="Times New Roman"/>
          <w:i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>Článek 14</w:t>
      </w:r>
    </w:p>
    <w:p>
      <w:pPr>
        <w:keepNext/>
        <w:spacing w:after="120" w:line="240" w:lineRule="auto"/>
        <w:jc w:val="center"/>
        <w:rPr>
          <w:rFonts w:ascii="Times New Roman" w:hAnsi="Times New Roman" w:cs="Times New Roman"/>
          <w:i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 xml:space="preserve">Definice rozpočtového roku 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Pro účely této dohody zahrnuje rozpočtový rok podle čl. 60 odst. 5 nařízení (EU, Euratom) č. 966/2012 uskutečněné výdaje a vybrané příjmy, jež byly uvedeny v účetnictví odpovědného orgánu v období od 16. října roku „N–1“ do 15. října roku „N“.</w:t>
      </w:r>
    </w:p>
    <w:p>
      <w:pPr>
        <w:spacing w:before="480" w:after="120"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Článek 15</w:t>
      </w:r>
    </w:p>
    <w:p>
      <w:pPr>
        <w:spacing w:before="120" w:after="120"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Způsobilost výdajů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Odchylně od čl. 17 odst. 3 písm. b) a odst. 4 nařízení (EU) č. 514/2014 jsou způsobilé i ty výdaje, které odpovědný orgán uhradil dříve, než byl formálně určen podle článku 13 této dohody, pokud systémy řízení a kontroly používané před tímto formálním určením jsou v zásadě totožné se systémy účinnými po formálním určení odpovědného orgánu. </w:t>
      </w:r>
    </w:p>
    <w:p>
      <w:pPr>
        <w:keepNext/>
        <w:spacing w:before="480" w:after="120" w:line="240" w:lineRule="auto"/>
        <w:jc w:val="center"/>
        <w:rPr>
          <w:rFonts w:ascii="Times New Roman" w:hAnsi="Times New Roman" w:cs="Times New Roman"/>
          <w:i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>Článek 16</w:t>
      </w:r>
    </w:p>
    <w:p>
      <w:pPr>
        <w:keepNext/>
        <w:spacing w:after="120" w:line="240" w:lineRule="auto"/>
        <w:jc w:val="center"/>
        <w:rPr>
          <w:rFonts w:ascii="Times New Roman" w:hAnsi="Times New Roman" w:cs="Times New Roman"/>
          <w:i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 xml:space="preserve">Žádost o platbu ročního zůstatku </w:t>
      </w:r>
    </w:p>
    <w:p>
      <w:pPr>
        <w:spacing w:before="120" w:after="120" w:line="240" w:lineRule="auto"/>
        <w:ind w:left="860" w:hanging="8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Do 15. února roku následujícího po příslušném rozpočtovém roce předloží Island Komisi dokumenty a informace požadované podle čl. 60 odst. 5 prvního pododstavce písm. b) a c) nařízení (EU, Euratom) č. 966/2012.</w:t>
      </w:r>
    </w:p>
    <w:p>
      <w:pPr>
        <w:spacing w:before="120" w:after="120" w:line="240" w:lineRule="auto"/>
        <w:ind w:left="8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Odchylně od čl. 44 odst. 1 nařízení (EU) č. 514/2014 a v souladu s čl. 60 odst. 5 třetím pododstavcem nařízení (EU, Euratom) č. 966/2012 Island do 15. března roku následujícího po příslušném rozpočtovém roce předloží Komisi výrok podle čl. 60 odst. 5 druhého pododstavce nařízení (EU, Euratom) č. 966/2012.</w:t>
      </w:r>
    </w:p>
    <w:p>
      <w:pPr>
        <w:spacing w:before="120" w:after="120" w:line="240" w:lineRule="auto"/>
        <w:ind w:left="8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Předložené dokumenty uvedené v tomto odstavci slouží jako žádost o platbu ročního zůstatku. </w:t>
      </w:r>
    </w:p>
    <w:p>
      <w:pPr>
        <w:spacing w:before="120" w:after="120" w:line="240" w:lineRule="auto"/>
        <w:ind w:left="860" w:hanging="8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2.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Dokumenty uvedené v odstavci 1 se vypracují podle vzorů, jež Komise přijme na základě čl. 44 odst. 3 nařízení (EU) č. 514/2014. </w:t>
      </w:r>
    </w:p>
    <w:p>
      <w:pPr>
        <w:spacing w:before="480" w:after="12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Článek 17</w:t>
      </w:r>
    </w:p>
    <w:p>
      <w:pPr>
        <w:spacing w:before="120" w:after="120"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 xml:space="preserve">Zpráva o provádění 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Odchylně od čl. 54 odst. 1 nařízení (EU) č. 514/2014 a v souladu s čl. 60 odst. 5 třetím pododstavcem nařízení (EU, Euratom) č. 966/2012 Island předloží Komisi výroční zprávu o provádění národního programu v předchozím rozpočtovém roce do 15. února každého roku až do roku 2022 včetně a může tyto informace na příslušné úrovni zveřejnit. 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První výroční zpráva o provádění národního programu se předloží dne 15. února po vstupu této dohody v platnost nebo zahájení jejího prozatímního provádění. 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První zpráva bude zahrnovat rozpočtové roky od roku 2014 do rozpočtového roku před tím, než měla být v souladu s druhým pododstavcem předložena první výroční zpráva. Závěrečnou zprávu o provádění národního programu předloží Island do 31. prosince 2023. </w:t>
      </w:r>
    </w:p>
    <w:p>
      <w:pPr>
        <w:keepNext/>
        <w:spacing w:before="480" w:after="120" w:line="240" w:lineRule="auto"/>
        <w:jc w:val="center"/>
        <w:rPr>
          <w:rFonts w:ascii="Times New Roman" w:hAnsi="Times New Roman" w:cs="Times New Roman"/>
          <w:i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>Článek 18</w:t>
      </w:r>
    </w:p>
    <w:p>
      <w:pPr>
        <w:keepNext/>
        <w:spacing w:after="120" w:line="240" w:lineRule="auto"/>
        <w:jc w:val="center"/>
        <w:rPr>
          <w:rFonts w:ascii="Times New Roman" w:hAnsi="Times New Roman" w:cs="Times New Roman"/>
          <w:i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>Systém pro elektronickou výměnu dat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V souladu s čl. 24 odst. 5 nařízení (EU) č. 514/2014 se všechny úřední výměny informací mezi Islandem a Komisí provádějí za použití systému pro elektronickou výměnu dat poskytnutého za tímto účelem Komisí.</w:t>
      </w:r>
    </w:p>
    <w:p>
      <w:pPr>
        <w:keepNext/>
        <w:spacing w:before="480" w:after="120" w:line="240" w:lineRule="auto"/>
        <w:jc w:val="center"/>
        <w:rPr>
          <w:rFonts w:ascii="Times New Roman" w:hAnsi="Times New Roman" w:cs="Times New Roman"/>
          <w:i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>Článek 19</w:t>
      </w:r>
    </w:p>
    <w:p>
      <w:pPr>
        <w:keepNext/>
        <w:spacing w:after="120" w:line="240" w:lineRule="auto"/>
        <w:jc w:val="center"/>
        <w:rPr>
          <w:rFonts w:ascii="Times New Roman" w:hAnsi="Times New Roman" w:cs="Times New Roman"/>
          <w:i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>Vstup v platnost</w:t>
      </w:r>
    </w:p>
    <w:p>
      <w:pPr>
        <w:numPr>
          <w:ilvl w:val="0"/>
          <w:numId w:val="3"/>
        </w:numPr>
        <w:spacing w:before="120" w:after="120" w:line="240" w:lineRule="auto"/>
        <w:ind w:left="860" w:hanging="8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Depozitářem této dohody je generální tajemník Rady Evropské unie.</w:t>
      </w:r>
    </w:p>
    <w:p>
      <w:pPr>
        <w:numPr>
          <w:ilvl w:val="0"/>
          <w:numId w:val="3"/>
        </w:numPr>
        <w:spacing w:before="120" w:after="120" w:line="240" w:lineRule="auto"/>
        <w:ind w:left="860" w:hanging="8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Strany schválí tuto dohodu v souladu s vlastními postupy. Dokončení těchto postupů si navzájem oznámí.</w:t>
      </w:r>
    </w:p>
    <w:p>
      <w:pPr>
        <w:numPr>
          <w:ilvl w:val="0"/>
          <w:numId w:val="3"/>
        </w:numPr>
        <w:spacing w:before="120" w:after="120" w:line="240" w:lineRule="auto"/>
        <w:ind w:left="860" w:hanging="8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Toto ujednání vstupuje v platnost prvním dnem prvního měsíce po dni posledního oznámení uvedeného v odstavci 2.</w:t>
      </w:r>
    </w:p>
    <w:p>
      <w:pPr>
        <w:numPr>
          <w:ilvl w:val="0"/>
          <w:numId w:val="3"/>
        </w:numPr>
        <w:spacing w:before="120" w:after="120" w:line="240" w:lineRule="auto"/>
        <w:ind w:left="860" w:hanging="8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Strany provádějí tuto dohodu vyjma článku 5 prozatímně od prvního dne po jejím podpisu, aniž jsou dotčeny ústavní požadavky. </w:t>
      </w:r>
    </w:p>
    <w:p>
      <w:pPr>
        <w:keepNext/>
        <w:spacing w:before="480" w:after="120" w:line="240" w:lineRule="auto"/>
        <w:jc w:val="center"/>
        <w:rPr>
          <w:rFonts w:ascii="Times New Roman" w:hAnsi="Times New Roman" w:cs="Times New Roman"/>
          <w:i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>Článek 20</w:t>
      </w:r>
    </w:p>
    <w:p>
      <w:pPr>
        <w:keepNext/>
        <w:spacing w:after="120" w:line="240" w:lineRule="auto"/>
        <w:jc w:val="center"/>
        <w:rPr>
          <w:rFonts w:ascii="Times New Roman" w:hAnsi="Times New Roman" w:cs="Times New Roman"/>
          <w:i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>Platnost a ukončení</w:t>
      </w:r>
    </w:p>
    <w:p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Unie nebo Island mohou tuto dohodu vypovědět oznámením svého rozhodnutí druhé straně. Platnost dohody končí tři měsíce ode dne takového oznámení. Projekty a činnosti probíhající v okamžiku výpovědi pokračují za podmínek stanovených v této dohodě. Ostatní případné důsledky výpovědi vyřeší strany vzájemnou dohodou.</w:t>
      </w:r>
    </w:p>
    <w:p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Tato dohoda se ukončí, je-li ukončena dohoda o přidružení Islandu a Norska v souladu s čl. 8 odst. 4, čl. 11 odst. 3 nebo článkem 16 dohody o přidružení Islandu a Norska. </w:t>
      </w:r>
    </w:p>
    <w:p>
      <w:pPr>
        <w:keepNext/>
        <w:spacing w:before="480" w:after="120" w:line="240" w:lineRule="auto"/>
        <w:jc w:val="center"/>
        <w:rPr>
          <w:rFonts w:ascii="Times New Roman" w:hAnsi="Times New Roman" w:cs="Times New Roman"/>
          <w:i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>Článek 21</w:t>
      </w:r>
    </w:p>
    <w:p>
      <w:pPr>
        <w:keepNext/>
        <w:spacing w:after="120" w:line="240" w:lineRule="auto"/>
        <w:jc w:val="center"/>
        <w:rPr>
          <w:rFonts w:ascii="Times New Roman" w:hAnsi="Times New Roman" w:cs="Times New Roman"/>
          <w:i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>Jazyky</w:t>
      </w:r>
    </w:p>
    <w:p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Tato dohoda je sepsána v jednom vyhotovení v jazyce anglickém, bulharském, českém, dánském, estonském, finském, francouzském, chorvatském, italském, litevském, lotyšském, maďarském, maltském, německém, nizozemském, polském, portugalském, rumunském, řeckém, slovenském, slovinském, španělském, švédském a islandském, přičemž všechna znění mají stejnou platnost. </w:t>
      </w:r>
    </w:p>
    <w:p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>
      <w:pPr>
        <w:widowControl w:val="0"/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 w:val="24"/>
        </w:rPr>
        <w:t>V Bruselu dne … roku …..</w:t>
      </w:r>
    </w:p>
    <w:p>
      <w:pPr>
        <w:widowControl w:val="0"/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>
      <w:pPr>
        <w:widowControl w:val="0"/>
        <w:tabs>
          <w:tab w:val="left" w:pos="3686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 w:val="24"/>
        </w:rPr>
        <w:t>Za Evropskou unii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Za Island</w:t>
      </w:r>
    </w:p>
    <w:p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br w:type="page"/>
      </w:r>
      <w:r>
        <w:rPr>
          <w:rFonts w:ascii="Times New Roman" w:hAnsi="Times New Roman"/>
          <w:noProof/>
          <w:sz w:val="24"/>
        </w:rPr>
        <w:t>PŘÍLOHA</w:t>
      </w:r>
    </w:p>
    <w:p>
      <w:pPr>
        <w:spacing w:before="120" w:after="48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</w:rPr>
      </w:pPr>
      <w:r>
        <w:rPr>
          <w:rFonts w:ascii="Times New Roman" w:hAnsi="Times New Roman"/>
          <w:caps/>
          <w:noProof/>
          <w:sz w:val="24"/>
        </w:rPr>
        <w:t>Vzorec pro výpočet finančních příspěvků za roky 2019 a 2020 a údaje o úhradě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Finanční příspěvek Islandu do Fondu pro vnitřní bezpečnost – hranice a víza podle čl. 5 odst. 7 druhého a třetího pododstavce nařízení č. 515/2014 se za roky 2019 a 2020 vypočte takto: </w:t>
      </w:r>
    </w:p>
    <w:p>
      <w:pPr>
        <w:spacing w:before="120" w:after="120" w:line="240" w:lineRule="auto"/>
        <w:ind w:left="8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Pro každý jednotlivý rok od roku 2013 do roku 2017 se konečné údaje o výši hrubého domácího produktu (HDP) Islandu, které jsou k dispozici k 31. březnu 2019, vydělí součtem údajů o výši HDP všech států účastnících se Fondu pro vnitřní bezpečnost – hranice a víza za příslušný rok. Průměrná hodnota výsledných pěti procentních podílů za roky 2013 až 2017 se uplatní na součet skutečných ročních rozpočtových prostředků pro Fond pro vnitřní bezpečnost – hranice a víza pro roky 2014 až 2019 a na roční prostředky na závazky pro Fond pro vnitřní bezpečnost – hranice a víza pro rok 2020, jak je uvedeno v návrhu souhrnného rozpočtu Evropské unie na rozpočtový rok 2020 přijatého Komisí, za účelem získání celkové částky, která má být uhrazena Islandem za celou dobu provádění Fondu pro vnitřní bezpečnost – hranice a víza. Od této částky se odečtou roční platby skutečně provedené Islandem v souladu s čl. 10 odst. 1 této dohody, aby byla získána celková částka jeho příspěvků za roky 2019 a 2020. Polovina této částky se uhradí v roce 2019 a druhá polovina v roce 2020.</w:t>
      </w:r>
    </w:p>
    <w:p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Finanční příspěvek se hradí v eurech.</w:t>
      </w:r>
    </w:p>
    <w:p>
      <w:pPr>
        <w:spacing w:after="12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Island svůj příslušný finanční příspěvek uhradí nejpozději 45 dnů po doručení výzvy k úhradě. V případě prodlení s úhradou příspěvku se účtují úroky z prodlení z částky dlužné ke dni splatnosti. Jako úroková sazba se použije sazba, kterou uplatňuje Evropská centrální banka na své hlavní refinanční operace, zveřejněná v řadě C </w:t>
      </w:r>
      <w:r>
        <w:rPr>
          <w:rFonts w:ascii="Times New Roman" w:hAnsi="Times New Roman"/>
          <w:i/>
          <w:noProof/>
          <w:sz w:val="24"/>
        </w:rPr>
        <w:t>Úředního věstníku Evropské unie</w:t>
      </w:r>
      <w:r>
        <w:rPr>
          <w:rFonts w:ascii="Times New Roman" w:hAnsi="Times New Roman"/>
          <w:noProof/>
          <w:sz w:val="24"/>
        </w:rPr>
        <w:t xml:space="preserve"> a platná v první kalendářní den měsíců splatnosti, zvýšená o 3,5 procentního bodu.</w:t>
      </w: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/>
      <w:pgMar w:top="1134" w:right="1417" w:bottom="1134" w:left="1417" w:header="709" w:footer="709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</w:rPr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ind w:left="720" w:hanging="720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ab/>
      </w:r>
      <w:r>
        <w:rPr>
          <w:rFonts w:ascii="Times New Roman" w:hAnsi="Times New Roman"/>
        </w:rPr>
        <w:t xml:space="preserve">Úř. věst. L 176, 10.7.1999, s. 36. </w:t>
      </w:r>
    </w:p>
  </w:footnote>
  <w:footnote w:id="2">
    <w:p>
      <w:pPr>
        <w:pStyle w:val="FootnoteText"/>
        <w:ind w:left="720" w:hanging="7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tab/>
      </w:r>
      <w:r>
        <w:rPr>
          <w:rFonts w:ascii="Times New Roman" w:hAnsi="Times New Roman"/>
        </w:rPr>
        <w:t>Nařízení Evropského parlamentu a Rady (EU) č. 515/2014 ze dne 16. dubna 2014, kterým se jako součást Fondu pro vnitřní bezpečnost zřizuje nástroj pro finanční podporu v oblasti vnějších hranic a víz a zrušuje rozhodnutí č. 574/2007/ES (Úř. věst. L 150, 20.5.2014, s. 143).</w:t>
      </w:r>
    </w:p>
  </w:footnote>
  <w:footnote w:id="3">
    <w:p>
      <w:pPr>
        <w:pStyle w:val="FootnoteText"/>
        <w:ind w:left="720" w:hanging="7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tab/>
      </w:r>
      <w:r>
        <w:rPr>
          <w:rFonts w:ascii="Times New Roman" w:hAnsi="Times New Roman"/>
        </w:rPr>
        <w:t>Nařízení Evropského parlamentu a Rady (EU) č. 514/2014 ze dne 16. dubna 2014 o obecných ustanoveních týkajících se Azylového, migračního a integračního fondu a nástroje pro finanční podporu policejní spolupráce, předcházení trestné činnosti, boje proti trestné činnosti a řešení krizí (Úř. věst. L 150, 20.5.2014, s. 112).</w:t>
      </w:r>
    </w:p>
  </w:footnote>
  <w:footnote w:id="4">
    <w:p>
      <w:pPr>
        <w:pStyle w:val="FootnoteText"/>
        <w:ind w:left="720" w:hanging="720"/>
        <w:jc w:val="both"/>
        <w:rPr>
          <w:rFonts w:ascii="Times New Roman" w:hAnsi="Times New Roman" w:cs="Times New Roman"/>
          <w:lang w:val="en-US"/>
        </w:rPr>
      </w:pPr>
      <w:r>
        <w:rPr>
          <w:rStyle w:val="FootnoteReference"/>
          <w:rFonts w:ascii="Times New Roman" w:hAnsi="Times New Roman"/>
        </w:rPr>
        <w:footnoteRef/>
      </w:r>
      <w:r>
        <w:tab/>
      </w:r>
      <w:r>
        <w:rPr>
          <w:rFonts w:ascii="Times New Roman" w:hAnsi="Times New Roman"/>
        </w:rPr>
        <w:t>Nařízení Evropského parlamentu a Rady (EU, Euratom) č. 966/2012 ze dne 25. října 2012, kterým se stanoví finanční pravidla o souhrnném rozpočtu Unie a zrušuje nařízení Rady (ES, Euratom) č. 1605/2002 (Úř. věst. L 298, 26.10.2012, s. 1), naposledy pozměněné nařízením (EU, Euratom) č. 547/2014 ze dne 15. května 2014 (Úř. věst. L 163, 29.5.2014, s. 18).</w:t>
      </w:r>
    </w:p>
  </w:footnote>
  <w:footnote w:id="5">
    <w:p>
      <w:pPr>
        <w:pStyle w:val="FootnoteText"/>
        <w:ind w:left="720" w:hanging="7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tab/>
      </w:r>
      <w:r>
        <w:rPr>
          <w:rFonts w:ascii="Times New Roman" w:hAnsi="Times New Roman"/>
        </w:rPr>
        <w:t>Nařízení Komise v přenesené pravomoci (EU) č. 1268/2012 o prováděcích pravidlech k nařízení Evropského parlamentu a Rady (EU, Euratom) č. 966/2012, kterým se stanoví finanční pravidla o souhrnném rozpočtu Unie (Úř. věst. L 362, 31.12.2012, s. 1).</w:t>
      </w:r>
    </w:p>
  </w:footnote>
  <w:footnote w:id="6">
    <w:p>
      <w:pPr>
        <w:pStyle w:val="FootnoteText"/>
        <w:ind w:left="720" w:hanging="7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tab/>
      </w:r>
      <w:r>
        <w:rPr>
          <w:rFonts w:ascii="Times New Roman" w:hAnsi="Times New Roman"/>
        </w:rPr>
        <w:t xml:space="preserve">Nařízení Rady (Euratom, ES) č. 2185/96 o kontrolách a inspekcích na místě prováděných Komisí za účelem ochrany finančních zájmů Evropských společenství proti podvodům a jiným nesrovnalostem </w:t>
      </w:r>
      <w:r>
        <w:rPr>
          <w:rFonts w:ascii="Times New Roman" w:hAnsi="Times New Roman"/>
          <w:i/>
        </w:rPr>
        <w:t>(</w:t>
      </w:r>
      <w:r>
        <w:rPr>
          <w:rStyle w:val="Emphasis"/>
          <w:i w:val="0"/>
        </w:rPr>
        <w:t>Úř. věst. L 292, 15.11.1996, s. 2).</w:t>
      </w:r>
    </w:p>
  </w:footnote>
  <w:footnote w:id="7">
    <w:p>
      <w:pPr>
        <w:pStyle w:val="FootnoteText"/>
        <w:ind w:left="720" w:hanging="720"/>
        <w:jc w:val="both"/>
        <w:rPr>
          <w:rFonts w:ascii="Times New Roman" w:hAnsi="Times New Roman" w:cs="Times New Roman"/>
          <w:lang w:val="en-US"/>
        </w:rPr>
      </w:pPr>
      <w:r>
        <w:rPr>
          <w:rStyle w:val="FootnoteReference"/>
          <w:rFonts w:ascii="Times New Roman" w:hAnsi="Times New Roman"/>
        </w:rPr>
        <w:footnoteRef/>
      </w:r>
      <w:r>
        <w:tab/>
      </w:r>
      <w:r>
        <w:rPr>
          <w:rFonts w:ascii="Times New Roman" w:hAnsi="Times New Roman"/>
        </w:rPr>
        <w:t>Nařízení Evropského parlamentu a Rady (EU, Euratom) č. 883/2013 ze dne 11. září 2013 o vyšetřování prováděném Evropským úřadem pro boj proti podvodům (OLAF) a o zrušení nařízení Evropského parlamentu a Rady (ES) č. 1073/1999 a nařízení Rady (Euratom) č. 1074/1999 (Úř. věst. L 248, 18.9.2013, s. 1).</w:t>
      </w:r>
    </w:p>
  </w:footnote>
  <w:footnote w:id="8">
    <w:p>
      <w:pPr>
        <w:pStyle w:val="FootnoteText"/>
        <w:ind w:left="720" w:hanging="7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tab/>
      </w:r>
      <w:r>
        <w:rPr>
          <w:rFonts w:ascii="Times New Roman" w:hAnsi="Times New Roman"/>
        </w:rPr>
        <w:t>Úř. věst. L 1, 3.1.1994, s. 461.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26D5"/>
    <w:multiLevelType w:val="hybridMultilevel"/>
    <w:tmpl w:val="C88C48E0"/>
    <w:name w:val="NumPar2"/>
    <w:lvl w:ilvl="0" w:tplc="3D1CC87C">
      <w:start w:val="1"/>
      <w:numFmt w:val="lowerLetter"/>
      <w:lvlText w:val="%1)"/>
      <w:lvlJc w:val="left"/>
      <w:pPr>
        <w:ind w:left="3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560" w:hanging="360"/>
      </w:pPr>
    </w:lvl>
    <w:lvl w:ilvl="2" w:tplc="0405001B" w:tentative="1">
      <w:start w:val="1"/>
      <w:numFmt w:val="lowerRoman"/>
      <w:lvlText w:val="%3."/>
      <w:lvlJc w:val="right"/>
      <w:pPr>
        <w:ind w:left="5280" w:hanging="180"/>
      </w:pPr>
    </w:lvl>
    <w:lvl w:ilvl="3" w:tplc="0405000F" w:tentative="1">
      <w:start w:val="1"/>
      <w:numFmt w:val="decimal"/>
      <w:lvlText w:val="%4."/>
      <w:lvlJc w:val="left"/>
      <w:pPr>
        <w:ind w:left="6000" w:hanging="360"/>
      </w:pPr>
    </w:lvl>
    <w:lvl w:ilvl="4" w:tplc="04050019" w:tentative="1">
      <w:start w:val="1"/>
      <w:numFmt w:val="lowerLetter"/>
      <w:lvlText w:val="%5."/>
      <w:lvlJc w:val="left"/>
      <w:pPr>
        <w:ind w:left="6720" w:hanging="360"/>
      </w:pPr>
    </w:lvl>
    <w:lvl w:ilvl="5" w:tplc="0405001B">
      <w:start w:val="1"/>
      <w:numFmt w:val="lowerRoman"/>
      <w:lvlText w:val="%6."/>
      <w:lvlJc w:val="right"/>
      <w:pPr>
        <w:ind w:left="7440" w:hanging="180"/>
      </w:pPr>
    </w:lvl>
    <w:lvl w:ilvl="6" w:tplc="0405000F" w:tentative="1">
      <w:start w:val="1"/>
      <w:numFmt w:val="decimal"/>
      <w:lvlText w:val="%7."/>
      <w:lvlJc w:val="left"/>
      <w:pPr>
        <w:ind w:left="8160" w:hanging="360"/>
      </w:pPr>
    </w:lvl>
    <w:lvl w:ilvl="7" w:tplc="04050019" w:tentative="1">
      <w:start w:val="1"/>
      <w:numFmt w:val="lowerLetter"/>
      <w:lvlText w:val="%8."/>
      <w:lvlJc w:val="left"/>
      <w:pPr>
        <w:ind w:left="8880" w:hanging="360"/>
      </w:pPr>
    </w:lvl>
    <w:lvl w:ilvl="8" w:tplc="0405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1">
    <w:nsid w:val="1B3C78B8"/>
    <w:multiLevelType w:val="multilevel"/>
    <w:tmpl w:val="45DEC7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3">
      <w:start w:val="1"/>
      <w:numFmt w:val="lowerLetter"/>
      <w:pStyle w:val="Point1letter"/>
      <w:lvlText w:val="%4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lowerLetter"/>
      <w:pStyle w:val="Point2letter"/>
      <w:lvlText w:val="%6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hint="default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D21340D"/>
    <w:multiLevelType w:val="hybridMultilevel"/>
    <w:tmpl w:val="2BDCE4DC"/>
    <w:name w:val="Point2"/>
    <w:lvl w:ilvl="0" w:tplc="3D1CC87C">
      <w:start w:val="1"/>
      <w:numFmt w:val="lowerLetter"/>
      <w:lvlText w:val="%1)"/>
      <w:lvlJc w:val="left"/>
      <w:pPr>
        <w:ind w:left="15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00" w:hanging="360"/>
      </w:pPr>
    </w:lvl>
    <w:lvl w:ilvl="2" w:tplc="0405001B" w:tentative="1">
      <w:start w:val="1"/>
      <w:numFmt w:val="lowerRoman"/>
      <w:lvlText w:val="%3."/>
      <w:lvlJc w:val="right"/>
      <w:pPr>
        <w:ind w:left="3020" w:hanging="180"/>
      </w:pPr>
    </w:lvl>
    <w:lvl w:ilvl="3" w:tplc="0405000F" w:tentative="1">
      <w:start w:val="1"/>
      <w:numFmt w:val="decimal"/>
      <w:lvlText w:val="%4."/>
      <w:lvlJc w:val="left"/>
      <w:pPr>
        <w:ind w:left="3740" w:hanging="360"/>
      </w:pPr>
    </w:lvl>
    <w:lvl w:ilvl="4" w:tplc="04050019" w:tentative="1">
      <w:start w:val="1"/>
      <w:numFmt w:val="lowerLetter"/>
      <w:lvlText w:val="%5."/>
      <w:lvlJc w:val="left"/>
      <w:pPr>
        <w:ind w:left="4460" w:hanging="360"/>
      </w:pPr>
    </w:lvl>
    <w:lvl w:ilvl="5" w:tplc="0405001B" w:tentative="1">
      <w:start w:val="1"/>
      <w:numFmt w:val="lowerRoman"/>
      <w:lvlText w:val="%6."/>
      <w:lvlJc w:val="right"/>
      <w:pPr>
        <w:ind w:left="5180" w:hanging="180"/>
      </w:pPr>
    </w:lvl>
    <w:lvl w:ilvl="6" w:tplc="0405000F" w:tentative="1">
      <w:start w:val="1"/>
      <w:numFmt w:val="decimal"/>
      <w:lvlText w:val="%7."/>
      <w:lvlJc w:val="left"/>
      <w:pPr>
        <w:ind w:left="5900" w:hanging="360"/>
      </w:pPr>
    </w:lvl>
    <w:lvl w:ilvl="7" w:tplc="04050019" w:tentative="1">
      <w:start w:val="1"/>
      <w:numFmt w:val="lowerLetter"/>
      <w:lvlText w:val="%8."/>
      <w:lvlJc w:val="left"/>
      <w:pPr>
        <w:ind w:left="6620" w:hanging="360"/>
      </w:pPr>
    </w:lvl>
    <w:lvl w:ilvl="8" w:tplc="0405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  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82271AD2DF58406A83DE49CADC861114"/>
    <w:docVar w:name="LW_CROSSREFERENCE" w:val="&lt;UNUSED&gt;"/>
    <w:docVar w:name="LW_DocType" w:val="NORMAL"/>
    <w:docVar w:name="LW_EMISSION" w:val="8.5.2017"/>
    <w:docVar w:name="LW_EMISSION_ISODATE" w:val="2017-05-08"/>
    <w:docVar w:name="LW_EMISSION_LOCATION" w:val="BRX"/>
    <w:docVar w:name="LW_EMISSION_PREFIX" w:val="V Bruselu dne "/>
    <w:docVar w:name="LW_EMISSION_SUFFIX" w:val=" "/>
    <w:docVar w:name="LW_ID_DOCTYPE_NONLW" w:val="CP-036"/>
    <w:docVar w:name="LW_LANGUE" w:val="CS"/>
    <w:docVar w:name="LW_MARKING" w:val="&lt;UNUSED&gt;"/>
    <w:docVar w:name="LW_NOM.INST" w:val="EVROPSKÁ KOMISE"/>
    <w:docVar w:name="LW_NOM.INST_JOINTDOC" w:val="&lt;EMPTY&gt;"/>
    <w:docVar w:name="LW_OBJETACTEPRINCIPAL.CP" w:val="o uzav\u345?ení jménem Evropské unie Dohody mezi Evropskou unií a Islandem o dopl\u328?kových pravidlech týkajících se nástroje pro finan\u269?ní podporu v oblasti vn\u283?j\u353?ích hranic a víz jako sou\u269?ásti Fondu pro vnit\u345?ní bezpe\u269?nost na období 2014\u8211?2020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7) 199"/>
    <w:docVar w:name="LW_REF.INTERNE" w:val="&lt;UNUSED&gt;"/>
    <w:docVar w:name="LW_SUPERTITRE" w:val="&lt;UNUSED&gt;"/>
    <w:docVar w:name="LW_TITRE.OBJ.CP" w:val="&lt;UNUSED&gt;"/>
    <w:docVar w:name="LW_TYPE.DOC.CP" w:val="P\u344?ÍLOHA_x000b_"/>
    <w:docVar w:name="LW_TYPEACTEPRINCIPAL.CP" w:val="návrhu ROZHODNUTÍ RADY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Emphasis">
    <w:name w:val="Emphasis"/>
    <w:qFormat/>
    <w:rPr>
      <w:rFonts w:ascii="Times New Roman" w:hAnsi="Times New Roman" w:cs="Times New Roman" w:hint="default"/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NumPar1">
    <w:name w:val="NumPar 1"/>
    <w:basedOn w:val="Normal"/>
    <w:next w:val="Normal"/>
    <w:pPr>
      <w:numPr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NumPar2">
    <w:name w:val="NumPar 2"/>
    <w:basedOn w:val="Normal"/>
    <w:next w:val="Normal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NumPar3">
    <w:name w:val="NumPar 3"/>
    <w:basedOn w:val="Normal"/>
    <w:next w:val="Normal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NumPar4">
    <w:name w:val="NumPar 4"/>
    <w:basedOn w:val="Normal"/>
    <w:next w:val="Normal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0number">
    <w:name w:val="Point 0 (number)"/>
    <w:basedOn w:val="Normal"/>
    <w:pPr>
      <w:numPr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1number">
    <w:name w:val="Point 1 (number)"/>
    <w:basedOn w:val="Normal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2number">
    <w:name w:val="Point 2 (number)"/>
    <w:basedOn w:val="Normal"/>
    <w:pPr>
      <w:numPr>
        <w:ilvl w:val="4"/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3number">
    <w:name w:val="Point 3 (number)"/>
    <w:basedOn w:val="Normal"/>
    <w:pPr>
      <w:numPr>
        <w:ilvl w:val="6"/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0letter">
    <w:name w:val="Point 0 (letter)"/>
    <w:basedOn w:val="Normal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1letter">
    <w:name w:val="Point 1 (letter)"/>
    <w:basedOn w:val="Normal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2letter">
    <w:name w:val="Point 2 (letter)"/>
    <w:basedOn w:val="Normal"/>
    <w:pPr>
      <w:numPr>
        <w:ilvl w:val="5"/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3letter">
    <w:name w:val="Point 3 (letter)"/>
    <w:basedOn w:val="Normal"/>
    <w:pPr>
      <w:numPr>
        <w:ilvl w:val="7"/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4letter">
    <w:name w:val="Point 4 (letter)"/>
    <w:basedOn w:val="Normal"/>
    <w:pPr>
      <w:numPr>
        <w:ilvl w:val="8"/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Emphasis">
    <w:name w:val="Emphasis"/>
    <w:qFormat/>
    <w:rPr>
      <w:rFonts w:ascii="Times New Roman" w:hAnsi="Times New Roman" w:cs="Times New Roman" w:hint="default"/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NumPar1">
    <w:name w:val="NumPar 1"/>
    <w:basedOn w:val="Normal"/>
    <w:next w:val="Normal"/>
    <w:pPr>
      <w:numPr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NumPar2">
    <w:name w:val="NumPar 2"/>
    <w:basedOn w:val="Normal"/>
    <w:next w:val="Normal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NumPar3">
    <w:name w:val="NumPar 3"/>
    <w:basedOn w:val="Normal"/>
    <w:next w:val="Normal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NumPar4">
    <w:name w:val="NumPar 4"/>
    <w:basedOn w:val="Normal"/>
    <w:next w:val="Normal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0number">
    <w:name w:val="Point 0 (number)"/>
    <w:basedOn w:val="Normal"/>
    <w:pPr>
      <w:numPr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1number">
    <w:name w:val="Point 1 (number)"/>
    <w:basedOn w:val="Normal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2number">
    <w:name w:val="Point 2 (number)"/>
    <w:basedOn w:val="Normal"/>
    <w:pPr>
      <w:numPr>
        <w:ilvl w:val="4"/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3number">
    <w:name w:val="Point 3 (number)"/>
    <w:basedOn w:val="Normal"/>
    <w:pPr>
      <w:numPr>
        <w:ilvl w:val="6"/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0letter">
    <w:name w:val="Point 0 (letter)"/>
    <w:basedOn w:val="Normal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1letter">
    <w:name w:val="Point 1 (letter)"/>
    <w:basedOn w:val="Normal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2letter">
    <w:name w:val="Point 2 (letter)"/>
    <w:basedOn w:val="Normal"/>
    <w:pPr>
      <w:numPr>
        <w:ilvl w:val="5"/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3letter">
    <w:name w:val="Point 3 (letter)"/>
    <w:basedOn w:val="Normal"/>
    <w:pPr>
      <w:numPr>
        <w:ilvl w:val="7"/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4letter">
    <w:name w:val="Point 4 (letter)"/>
    <w:basedOn w:val="Normal"/>
    <w:pPr>
      <w:numPr>
        <w:ilvl w:val="8"/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2912</Words>
  <Characters>15758</Characters>
  <Application>Microsoft Office Word</Application>
  <DocSecurity>0</DocSecurity>
  <Lines>321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MILEWSKA Katarzyna (HOME)</dc:creator>
  <cp:lastModifiedBy>DIGIT/A3</cp:lastModifiedBy>
  <cp:revision>6</cp:revision>
  <dcterms:created xsi:type="dcterms:W3CDTF">2017-04-26T10:06:00Z</dcterms:created>
  <dcterms:modified xsi:type="dcterms:W3CDTF">2017-05-02T16:17:00Z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Classification">
    <vt:lpwstr> </vt:lpwstr>
  </property>
</Properties>
</file>