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CBF81AE76CA4494920CDE8AC8C4BE3A" style="width:450.8pt;height:397.6pt">
            <v:imagedata r:id="rId9" o:title=""/>
          </v:shape>
        </w:pict>
      </w:r>
    </w:p>
    <w:bookmarkEnd w:id="0"/>
    <w:p>
      <w:pPr>
        <w:spacing w:after="0"/>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26"/>
        </w:sectPr>
      </w:pPr>
    </w:p>
    <w:p>
      <w:pPr>
        <w:spacing w:before="240" w:after="240"/>
        <w:rPr>
          <w:noProof/>
          <w:szCs w:val="24"/>
        </w:rPr>
      </w:pPr>
      <w:bookmarkStart w:id="1" w:name="_GoBack"/>
      <w:bookmarkEnd w:id="1"/>
      <w:r>
        <w:rPr>
          <w:noProof/>
        </w:rPr>
        <w:lastRenderedPageBreak/>
        <w:t>EUROOPAN UNIONI, jäljempänä ’unioni’,</w:t>
      </w:r>
    </w:p>
    <w:p>
      <w:pPr>
        <w:spacing w:before="240" w:after="240"/>
        <w:rPr>
          <w:noProof/>
          <w:szCs w:val="24"/>
        </w:rPr>
      </w:pPr>
      <w:r>
        <w:rPr>
          <w:noProof/>
        </w:rPr>
        <w:t>ja</w:t>
      </w:r>
    </w:p>
    <w:p>
      <w:pPr>
        <w:spacing w:before="240" w:after="240"/>
        <w:rPr>
          <w:noProof/>
          <w:szCs w:val="24"/>
        </w:rPr>
      </w:pPr>
      <w:r>
        <w:rPr>
          <w:noProof/>
        </w:rPr>
        <w:t xml:space="preserve">ISLANTI </w:t>
      </w:r>
    </w:p>
    <w:p>
      <w:pPr>
        <w:spacing w:before="240" w:after="240"/>
        <w:rPr>
          <w:noProof/>
          <w:szCs w:val="24"/>
        </w:rPr>
      </w:pPr>
      <w:r>
        <w:rPr>
          <w:noProof/>
        </w:rPr>
        <w:t>jäljempänä yhdessä ’osapuolet’, jotka</w:t>
      </w:r>
    </w:p>
    <w:p>
      <w:pPr>
        <w:rPr>
          <w:noProof/>
          <w:szCs w:val="24"/>
        </w:rPr>
      </w:pPr>
      <w:r>
        <w:rPr>
          <w:noProof/>
        </w:rPr>
        <w:t>OTTAVAT HUOMIOON Euroopan unionin neuvoston sekä Islannin ja Norjan kuningaskunnan välisen sopimuksen viimeksi mainittujen osallistumisesta Schengenin säännöstön täytäntöönpanoon, soveltamiseen ja kehittämiseen</w:t>
      </w:r>
      <w:r>
        <w:rPr>
          <w:rStyle w:val="FootnoteReference"/>
          <w:noProof/>
        </w:rPr>
        <w:footnoteReference w:id="1"/>
      </w:r>
      <w:r>
        <w:rPr>
          <w:noProof/>
        </w:rPr>
        <w:t>, jäljempänä ’Islannin ja Norjan osallistumisesta Schengenin säännöstön täytäntöönpanoon tehty sopimus’,</w:t>
      </w:r>
    </w:p>
    <w:p>
      <w:pPr>
        <w:rPr>
          <w:noProof/>
          <w:szCs w:val="24"/>
        </w:rPr>
      </w:pPr>
      <w:r>
        <w:rPr>
          <w:noProof/>
        </w:rPr>
        <w:t xml:space="preserve">SEKÄ KATSOVAT SEURAAVAA: </w:t>
      </w:r>
    </w:p>
    <w:p>
      <w:pPr>
        <w:pStyle w:val="Point0"/>
        <w:spacing w:before="0"/>
        <w:ind w:left="860" w:hanging="860"/>
        <w:rPr>
          <w:noProof/>
        </w:rPr>
      </w:pPr>
      <w:r>
        <w:rPr>
          <w:noProof/>
        </w:rPr>
        <w:t>(1)</w:t>
      </w:r>
      <w:r>
        <w:rPr>
          <w:noProof/>
        </w:rPr>
        <w:tab/>
        <w:t>Unioni perusti ulkorajojen ja viisumipolitiikan rahoitusvälineen osana sisäisen turvallisuuden rahastoa Euroopan parlamentin ja neuvoston asetuksella (EU) N:o 515/2014</w:t>
      </w:r>
      <w:r>
        <w:rPr>
          <w:rStyle w:val="FootnoteReference"/>
          <w:noProof/>
        </w:rPr>
        <w:footnoteReference w:id="2"/>
      </w:r>
      <w:r>
        <w:rPr>
          <w:noProof/>
        </w:rPr>
        <w:t xml:space="preserve">. </w:t>
      </w:r>
    </w:p>
    <w:p>
      <w:pPr>
        <w:pStyle w:val="Point0"/>
        <w:spacing w:before="0"/>
        <w:ind w:left="860" w:hanging="860"/>
        <w:rPr>
          <w:noProof/>
        </w:rPr>
      </w:pPr>
      <w:r>
        <w:rPr>
          <w:noProof/>
        </w:rPr>
        <w:t>(2)</w:t>
      </w:r>
      <w:r>
        <w:rPr>
          <w:noProof/>
        </w:rPr>
        <w:tab/>
        <w:t>Asetuksella (EU) N:o 515/2014 kehitetään Schengenin säännöstöä Islannin ja Norjan osallistumisesta Schengenin säännöstön täytäntöönpanoon tehdyssä sopimuksessa tarkoitetulla tavalla.</w:t>
      </w:r>
    </w:p>
    <w:p>
      <w:pPr>
        <w:pStyle w:val="Point0"/>
        <w:spacing w:before="0"/>
        <w:ind w:left="860" w:hanging="860"/>
        <w:rPr>
          <w:noProof/>
        </w:rPr>
      </w:pPr>
      <w:r>
        <w:rPr>
          <w:noProof/>
        </w:rPr>
        <w:t>(3)</w:t>
      </w:r>
      <w:r>
        <w:rPr>
          <w:noProof/>
        </w:rPr>
        <w:tab/>
        <w:t>Koska Euroopan parlamentin ja neuvoston asetus (EU) N:o 514/2014</w:t>
      </w:r>
      <w:r>
        <w:rPr>
          <w:rStyle w:val="FootnoteReference"/>
          <w:noProof/>
        </w:rPr>
        <w:footnoteReference w:id="3"/>
      </w:r>
      <w:r>
        <w:rPr>
          <w:noProof/>
        </w:rPr>
        <w:t xml:space="preserve"> vaikuttaa suoraan asetuksen (EU) N:o 515/2014 säännösten soveltamiseen ja siten viimeksi mainitun asetuksen oikeudelliseen kehykseen ja koska Islannin ja Norjan osallistumisesta Schengenin säännöstön täytäntöönpanoon tehdyssä sopimuksessa vahvistettuja menettelyjä on sovellettu asetuksen (EU) N:o 514/2014, josta on ilmoitettu Islannille, antamiseen, osapuolet tunnustavat, että asetuksella (EU) N:o 514/2014 kehitetään Schengenin säännöstöä Islannin ja Norjan osallistumisesta Schengenin säännöstön täytäntöönpanoon tehdyssä sopimuksessa tarkoitetulla tavalla siltä osin kuin on tarpeen asetuksen (EU) N:o 515/2014 panemiseksi täytäntöön.</w:t>
      </w:r>
    </w:p>
    <w:p>
      <w:pPr>
        <w:pStyle w:val="Point0"/>
        <w:spacing w:before="0"/>
        <w:ind w:left="860" w:hanging="860"/>
        <w:rPr>
          <w:noProof/>
        </w:rPr>
      </w:pPr>
      <w:r>
        <w:rPr>
          <w:noProof/>
        </w:rPr>
        <w:t>(4)</w:t>
      </w:r>
      <w:r>
        <w:rPr>
          <w:noProof/>
        </w:rPr>
        <w:tab/>
        <w:t xml:space="preserve">Asetuksen (EU) N:o 515/2014 5 artiklan 7 kohdassa säädetään, että Schengenin säännöstön täytäntöönpanoon, soveltamiseen ja kehittämiseen osallistuvat maat, mukaan lukien Islanti, osallistuvat välineeseen asetuksen säännösten mukaisesti ja että tarvittavin järjestelyin täsmennetään näiden maiden rahoitusosuudet ja välineeseen osallistumiseen liittyvät täydentävät säännöt, myös säännökset, joilla varmistetaan unionin taloudellisten etujen suojaaminen ja tilintarkastustuomioistuimen toimivalta tehdä tarkastuksia. </w:t>
      </w:r>
    </w:p>
    <w:p>
      <w:pPr>
        <w:pStyle w:val="Point0"/>
        <w:spacing w:before="0"/>
        <w:ind w:left="860" w:hanging="860"/>
        <w:rPr>
          <w:noProof/>
        </w:rPr>
      </w:pPr>
      <w:r>
        <w:rPr>
          <w:noProof/>
        </w:rPr>
        <w:t>(5)</w:t>
      </w:r>
      <w:r>
        <w:rPr>
          <w:noProof/>
        </w:rPr>
        <w:tab/>
        <w:t>Ulkorajojen ja viisumipolitiikan rahoitusväline, joka on osa sisäisen turvallisuuden rahastoa, on erityinen Schengenin säännöstöön liittyvä väline, jolla pyritään jakamaan vastuuta ja antamaan taloudellista tukea ulkorajojen ja viisumipolitiikan alalla jäsenvaltioissa ja assosioituneissa valtioissa.</w:t>
      </w:r>
    </w:p>
    <w:p>
      <w:pPr>
        <w:pStyle w:val="Point0"/>
        <w:spacing w:before="0"/>
        <w:ind w:left="860" w:hanging="860"/>
        <w:rPr>
          <w:noProof/>
        </w:rPr>
      </w:pPr>
      <w:r>
        <w:rPr>
          <w:noProof/>
        </w:rPr>
        <w:t>(6)</w:t>
      </w:r>
      <w:r>
        <w:rPr>
          <w:noProof/>
        </w:rPr>
        <w:tab/>
        <w:t>Euroopan parlamentin ja neuvoston asetuksen (EU, Euratom) N:o 966/2012</w:t>
      </w:r>
      <w:r>
        <w:rPr>
          <w:rStyle w:val="FootnoteReference"/>
          <w:noProof/>
        </w:rPr>
        <w:footnoteReference w:id="4"/>
      </w:r>
      <w:r>
        <w:rPr>
          <w:noProof/>
        </w:rPr>
        <w:t xml:space="preserve"> 60 artiklassa säädetään välillistä hallinnointia koskevista säännöistä, joita sovelletaan, jos kolmansille maille, mukaan luettuina assosioituneet valtiot, on siirretty talousarvion toteuttamistehtäviä. </w:t>
      </w:r>
    </w:p>
    <w:p>
      <w:pPr>
        <w:ind w:left="860" w:hanging="860"/>
        <w:rPr>
          <w:noProof/>
          <w:szCs w:val="24"/>
        </w:rPr>
      </w:pPr>
      <w:r>
        <w:rPr>
          <w:noProof/>
        </w:rPr>
        <w:t>(7)</w:t>
      </w:r>
      <w:r>
        <w:rPr>
          <w:noProof/>
        </w:rPr>
        <w:tab/>
        <w:t>Asetuksen (EU) N:o 514/2014 17 artiklan 4 kohdassa säädetään vuonna 2014 maksettujen menojen tukikelpoisuudesta, jos vastuuviranomainen on maksanut ne ennen virallista nimeämistään, millä varmistetaan sujuva siirtyminen ulkorajarahastosta sisäisen turvallisuuden rahastoon. On tärkeää, että tämä seikka otetaan huomioon myös tässä sopimuksessa. Koska tämä sopimus ei tullut voimaan ennen vuoden 2014 loppua, on tärkeää varmistaa vastuuviranomaisen ennen virallista nimeämistään ja nimeämiseen saakka maksamien menojen tukikelpoisuus edellyttäen, että aiemmin sovelletut hallinnointi- ja valvontajärjestelmät ovat olennaisilta osin samat kuin vastuuviranomaisen nimeämisen jälkeen voimassa olevat järjestelmät.</w:t>
      </w:r>
    </w:p>
    <w:p>
      <w:pPr>
        <w:pStyle w:val="Point0"/>
        <w:spacing w:before="0"/>
        <w:ind w:left="860" w:hanging="860"/>
        <w:rPr>
          <w:noProof/>
        </w:rPr>
      </w:pPr>
      <w:r>
        <w:rPr>
          <w:noProof/>
        </w:rPr>
        <w:t>(8)</w:t>
      </w:r>
      <w:r>
        <w:rPr>
          <w:noProof/>
        </w:rPr>
        <w:tab/>
        <w:t xml:space="preserve">Vuosilta 2014–2020 Islannin maksettavaksi tulevien ulkorajojen ja viisumipolitiikan rahoitusvälineen vuotuisten rahoitusosuuksien laskemisen ja käytön helpottamiseksi sen rahoitusosuudet maksetaan viitenä vuotuisena eränä vuosina 2016–2020. Vuosien 2016–2018 vuotuiset maksut ovat kiinteämääräisiä, kun taas vuosien 2019 ja 2020 maksuosuudet määritetään vuonna 2019 kaikkien ulkorajojen ja viisumipolitiikan rahoitusvälineeseen osallistuvien valtioiden bruttokansantuotteen perusteella ottaen huomioon tosiasiallisesti suoritetut maksut,  </w:t>
      </w:r>
    </w:p>
    <w:p>
      <w:pPr>
        <w:pStyle w:val="Point0"/>
        <w:spacing w:before="0"/>
        <w:ind w:left="860" w:hanging="860"/>
        <w:rPr>
          <w:noProof/>
          <w:szCs w:val="24"/>
        </w:rPr>
      </w:pPr>
      <w:r>
        <w:rPr>
          <w:noProof/>
        </w:rPr>
        <w:tab/>
      </w:r>
    </w:p>
    <w:p>
      <w:pPr>
        <w:rPr>
          <w:noProof/>
          <w:szCs w:val="24"/>
        </w:rPr>
      </w:pPr>
      <w:r>
        <w:rPr>
          <w:noProof/>
        </w:rPr>
        <w:t>OVAT SOPINEET SEURAAVAA:</w:t>
      </w:r>
    </w:p>
    <w:p>
      <w:pPr>
        <w:pStyle w:val="Titrearticle"/>
        <w:spacing w:before="0"/>
        <w:rPr>
          <w:noProof/>
        </w:rPr>
      </w:pPr>
      <w:r>
        <w:rPr>
          <w:noProof/>
        </w:rPr>
        <w:t>1 artikla</w:t>
      </w:r>
    </w:p>
    <w:p>
      <w:pPr>
        <w:pStyle w:val="Titrearticle"/>
        <w:spacing w:before="0"/>
        <w:rPr>
          <w:noProof/>
        </w:rPr>
      </w:pPr>
      <w:r>
        <w:rPr>
          <w:noProof/>
        </w:rPr>
        <w:t>Soveltamisala</w:t>
      </w:r>
    </w:p>
    <w:p>
      <w:pPr>
        <w:rPr>
          <w:noProof/>
          <w:szCs w:val="24"/>
        </w:rPr>
      </w:pPr>
      <w:r>
        <w:rPr>
          <w:noProof/>
        </w:rPr>
        <w:t xml:space="preserve">Tässä sopimuksessa määrätään täydentävistä säännöistä, jotka ovat välttämättömiä Islannin osallistumiseksi ulkorajojen ja viisumipolitiikan rahoitusvälineeseen asetuksen (EU) N:o 515/2014 mukaisesti. </w:t>
      </w:r>
    </w:p>
    <w:p>
      <w:pPr>
        <w:pStyle w:val="Titrearticle"/>
        <w:spacing w:before="480"/>
        <w:rPr>
          <w:noProof/>
        </w:rPr>
      </w:pPr>
      <w:r>
        <w:rPr>
          <w:noProof/>
        </w:rPr>
        <w:t>2 artikla</w:t>
      </w:r>
    </w:p>
    <w:p>
      <w:pPr>
        <w:pStyle w:val="Titrearticle"/>
        <w:spacing w:before="0"/>
        <w:rPr>
          <w:noProof/>
        </w:rPr>
      </w:pPr>
      <w:r>
        <w:rPr>
          <w:noProof/>
        </w:rPr>
        <w:t>Varainhoito ja sen valvonta</w:t>
      </w:r>
    </w:p>
    <w:p>
      <w:pPr>
        <w:pStyle w:val="Text1"/>
        <w:spacing w:before="0"/>
        <w:ind w:left="860" w:hanging="860"/>
        <w:rPr>
          <w:noProof/>
        </w:rPr>
      </w:pPr>
      <w:r>
        <w:rPr>
          <w:noProof/>
        </w:rPr>
        <w:t>1.</w:t>
      </w:r>
      <w:r>
        <w:rPr>
          <w:noProof/>
        </w:rPr>
        <w:tab/>
        <w:t xml:space="preserve">Islannin on toteutettava tarvittavat toimenpiteet sen varmistamiseksi, että Euroopan unionin toiminnasta tehdyssä sopimuksessa (SEUT) ja johdetussa oikeudessa vahvistettuja varainhoitoa ja sen valvontaa koskevia säännöksiä ja määräyksiä noudatetaan. </w:t>
      </w:r>
    </w:p>
    <w:p>
      <w:pPr>
        <w:pStyle w:val="Text1"/>
        <w:spacing w:before="0"/>
        <w:ind w:left="860"/>
        <w:rPr>
          <w:noProof/>
        </w:rPr>
      </w:pPr>
      <w:r>
        <w:rPr>
          <w:noProof/>
        </w:rPr>
        <w:t xml:space="preserve">Ensimmäisessä alakohdassa tarkoitettuja Euroopan unionin toiminnasta tehdyn sopimuksen ja johdetun oikeuden säännöksiä ja määräyksiä ovat seuraavat: </w:t>
      </w:r>
    </w:p>
    <w:p>
      <w:pPr>
        <w:pStyle w:val="Point2"/>
        <w:rPr>
          <w:noProof/>
        </w:rPr>
      </w:pPr>
      <w:r>
        <w:rPr>
          <w:noProof/>
        </w:rPr>
        <w:t>a)</w:t>
      </w:r>
      <w:r>
        <w:rPr>
          <w:noProof/>
        </w:rPr>
        <w:tab/>
        <w:t>SEUT-sopimuksen 287 artiklan 1, 2 ja 3 kohta;</w:t>
      </w:r>
    </w:p>
    <w:p>
      <w:pPr>
        <w:pStyle w:val="Point2"/>
        <w:rPr>
          <w:noProof/>
        </w:rPr>
      </w:pPr>
      <w:r>
        <w:rPr>
          <w:noProof/>
        </w:rPr>
        <w:t>b)</w:t>
      </w:r>
      <w:r>
        <w:rPr>
          <w:noProof/>
        </w:rPr>
        <w:tab/>
        <w:t>asetuksen (EU, Euratom) N:o 966/2012 30, 32 ja 57 artikla, 58 artiklan 1 kohdan c alakohdan i alakohta, 60 artikla, 79 artiklan 2 kohta ja 108 artiklan 2 kohta;</w:t>
      </w:r>
    </w:p>
    <w:p>
      <w:pPr>
        <w:pStyle w:val="Point2"/>
        <w:rPr>
          <w:noProof/>
        </w:rPr>
      </w:pPr>
      <w:r>
        <w:rPr>
          <w:noProof/>
        </w:rPr>
        <w:t>c)</w:t>
      </w:r>
      <w:r>
        <w:rPr>
          <w:noProof/>
        </w:rPr>
        <w:tab/>
        <w:t>komission delegoidun asetuksen (EU) N:o 1268/2012</w:t>
      </w:r>
      <w:r>
        <w:rPr>
          <w:rStyle w:val="FootnoteReference"/>
          <w:noProof/>
        </w:rPr>
        <w:footnoteReference w:id="5"/>
      </w:r>
      <w:r>
        <w:rPr>
          <w:noProof/>
        </w:rPr>
        <w:t xml:space="preserve"> 32, 38, 42, 84, 88, 142 ja 144 artikla;</w:t>
      </w:r>
    </w:p>
    <w:p>
      <w:pPr>
        <w:pStyle w:val="Point2"/>
        <w:rPr>
          <w:noProof/>
        </w:rPr>
      </w:pPr>
      <w:r>
        <w:rPr>
          <w:noProof/>
        </w:rPr>
        <w:t>d)</w:t>
      </w:r>
      <w:r>
        <w:rPr>
          <w:noProof/>
        </w:rPr>
        <w:tab/>
        <w:t>neuvoston asetus (Euratom, EY) N:o 2185/96</w:t>
      </w:r>
      <w:r>
        <w:rPr>
          <w:rStyle w:val="FootnoteReference"/>
          <w:noProof/>
        </w:rPr>
        <w:footnoteReference w:id="6"/>
      </w:r>
      <w:r>
        <w:rPr>
          <w:noProof/>
        </w:rPr>
        <w:t xml:space="preserve">; </w:t>
      </w:r>
    </w:p>
    <w:p>
      <w:pPr>
        <w:pStyle w:val="Point2"/>
        <w:rPr>
          <w:noProof/>
        </w:rPr>
      </w:pPr>
      <w:r>
        <w:rPr>
          <w:noProof/>
        </w:rPr>
        <w:t>e)</w:t>
      </w:r>
      <w:r>
        <w:rPr>
          <w:noProof/>
        </w:rPr>
        <w:tab/>
        <w:t>Euroopan parlamentin ja neuvoston asetus (EU, Euratom) N:o 883/2013</w:t>
      </w:r>
      <w:r>
        <w:rPr>
          <w:rStyle w:val="FootnoteReference"/>
          <w:noProof/>
        </w:rPr>
        <w:footnoteReference w:id="7"/>
      </w:r>
      <w:r>
        <w:rPr>
          <w:noProof/>
        </w:rPr>
        <w:t>.</w:t>
      </w:r>
    </w:p>
    <w:p>
      <w:pPr>
        <w:pStyle w:val="ListBullet2"/>
        <w:spacing w:before="0"/>
        <w:ind w:left="1211" w:hanging="360"/>
        <w:rPr>
          <w:noProof/>
        </w:rPr>
      </w:pPr>
      <w:r>
        <w:rPr>
          <w:noProof/>
        </w:rPr>
        <w:t xml:space="preserve">Osapuolet voivat muuttaa tätä luetteloa yhteisellä sopimuksella. </w:t>
      </w:r>
    </w:p>
    <w:p>
      <w:pPr>
        <w:pStyle w:val="Text1"/>
        <w:spacing w:before="0"/>
        <w:ind w:left="860" w:hanging="860"/>
        <w:rPr>
          <w:noProof/>
        </w:rPr>
      </w:pPr>
      <w:r>
        <w:rPr>
          <w:noProof/>
        </w:rPr>
        <w:t>2.</w:t>
      </w:r>
      <w:r>
        <w:rPr>
          <w:noProof/>
        </w:rPr>
        <w:tab/>
        <w:t xml:space="preserve">Islannin on sovellettava alueellaan 1 kohdassa tarkoitettuja säännöksiä ja määräyksiä tämän sopimuksen mukaisesti. </w:t>
      </w:r>
    </w:p>
    <w:p>
      <w:pPr>
        <w:pStyle w:val="Titrearticle"/>
        <w:spacing w:before="480"/>
        <w:rPr>
          <w:noProof/>
        </w:rPr>
      </w:pPr>
      <w:r>
        <w:rPr>
          <w:noProof/>
        </w:rPr>
        <w:t>3 artikla</w:t>
      </w:r>
    </w:p>
    <w:p>
      <w:pPr>
        <w:pStyle w:val="Titrearticle"/>
        <w:spacing w:before="0"/>
        <w:rPr>
          <w:noProof/>
        </w:rPr>
      </w:pPr>
      <w:r>
        <w:rPr>
          <w:noProof/>
        </w:rPr>
        <w:t>Moitteettoman varainhoidon periaatteen noudattaminen</w:t>
      </w:r>
    </w:p>
    <w:p>
      <w:pPr>
        <w:rPr>
          <w:noProof/>
          <w:szCs w:val="24"/>
        </w:rPr>
      </w:pPr>
      <w:r>
        <w:rPr>
          <w:noProof/>
        </w:rPr>
        <w:t xml:space="preserve">Islannille kohdennettuja ulkorajojen ja viisumipolitiikan rahoitusvälineen varoja on käytettävä moitteettoman varainhoidon periaatteen mukaisesti. </w:t>
      </w:r>
    </w:p>
    <w:p>
      <w:pPr>
        <w:pStyle w:val="Titrearticle"/>
        <w:spacing w:before="480"/>
        <w:rPr>
          <w:noProof/>
        </w:rPr>
      </w:pPr>
      <w:r>
        <w:rPr>
          <w:noProof/>
        </w:rPr>
        <w:t>4 artikla</w:t>
      </w:r>
    </w:p>
    <w:p>
      <w:pPr>
        <w:pStyle w:val="Titrearticle"/>
        <w:spacing w:before="0"/>
        <w:rPr>
          <w:noProof/>
        </w:rPr>
      </w:pPr>
      <w:r>
        <w:rPr>
          <w:noProof/>
        </w:rPr>
        <w:t>Eturistiriitaa koskevan periaatteen noudattaminen</w:t>
      </w:r>
    </w:p>
    <w:p>
      <w:pPr>
        <w:rPr>
          <w:noProof/>
          <w:szCs w:val="24"/>
        </w:rPr>
      </w:pPr>
      <w:r>
        <w:rPr>
          <w:noProof/>
        </w:rPr>
        <w:t xml:space="preserve">Taloushallinnon toimija tai muu talousarvion toteuttamiseen ja hallinnointiin, mukaan lukien niiden valmistelu, tilintarkastukseen tai varainhoidon valvontaan Islannin alueella osallistuva henkilö ei saa ryhtyä sellaisiin toimiin, joiden yhteydessä saattaa syntyä ristiriita henkilön omien etujen ja unionin etujen välille. </w:t>
      </w:r>
    </w:p>
    <w:p>
      <w:pPr>
        <w:pStyle w:val="Titrearticle"/>
        <w:spacing w:before="480"/>
        <w:rPr>
          <w:b/>
          <w:noProof/>
        </w:rPr>
      </w:pPr>
      <w:r>
        <w:rPr>
          <w:noProof/>
        </w:rPr>
        <w:t xml:space="preserve">5 artikla </w:t>
      </w:r>
    </w:p>
    <w:p>
      <w:pPr>
        <w:pStyle w:val="Titrearticle"/>
        <w:spacing w:before="0"/>
        <w:rPr>
          <w:noProof/>
        </w:rPr>
      </w:pPr>
      <w:r>
        <w:rPr>
          <w:noProof/>
        </w:rPr>
        <w:t>Täytäntöönpano</w:t>
      </w:r>
    </w:p>
    <w:p>
      <w:pPr>
        <w:rPr>
          <w:noProof/>
          <w:szCs w:val="24"/>
        </w:rPr>
      </w:pPr>
      <w:r>
        <w:rPr>
          <w:noProof/>
        </w:rPr>
        <w:t xml:space="preserve">Komission tekemät päätökset, joilla määrätään maksuvelvollisuus muille kuin valtioille, ovat täytäntöönpanokelpoisia Islannin alueella. </w:t>
      </w:r>
    </w:p>
    <w:p>
      <w:pPr>
        <w:rPr>
          <w:noProof/>
          <w:szCs w:val="24"/>
        </w:rPr>
      </w:pPr>
      <w:r>
        <w:rPr>
          <w:noProof/>
        </w:rPr>
        <w:t>Täytäntöönpanoon sovelletaan Islannissa voimassa olevia säännöksiä lainkäytöstä riita-asioissa. Islannin hallituksen tehtävään nimeämä ja komissiolle ilmoittama kansallinen viranomainen liittää päätökseen täytäntöönpanomääräyksen tutkimatta muuta kuin päätöksen aitouden.</w:t>
      </w:r>
    </w:p>
    <w:p>
      <w:pPr>
        <w:rPr>
          <w:noProof/>
          <w:szCs w:val="24"/>
        </w:rPr>
      </w:pPr>
      <w:r>
        <w:rPr>
          <w:noProof/>
        </w:rPr>
        <w:t>Kun nämä muodollisuudet on komission vaatimuksesta täytetty, komissio voi hakea täytäntöönpanoa kansallisen lainsäädännön mukaisesti saattamalla asian suoraan toimivaltaisen viranomaisen käsiteltäväksi.</w:t>
      </w:r>
    </w:p>
    <w:p>
      <w:pPr>
        <w:rPr>
          <w:noProof/>
          <w:szCs w:val="24"/>
        </w:rPr>
      </w:pPr>
      <w:r>
        <w:rPr>
          <w:noProof/>
        </w:rPr>
        <w:t xml:space="preserve">Täytäntöönpanoa voidaan lykätä ainoastaan Euroopan unionin tuomioistuimen päätöksellä. Virheellistä täytäntöönpanoa koskevien valitusten käsittely kuuluu kuitenkin Islannin tuomioistuinten toimivaltaan. </w:t>
      </w:r>
    </w:p>
    <w:p>
      <w:pPr>
        <w:pStyle w:val="Titrearticle"/>
        <w:spacing w:before="480"/>
        <w:rPr>
          <w:noProof/>
        </w:rPr>
      </w:pPr>
      <w:r>
        <w:rPr>
          <w:noProof/>
        </w:rPr>
        <w:t>6 artikla</w:t>
      </w:r>
    </w:p>
    <w:p>
      <w:pPr>
        <w:pStyle w:val="Titrearticle"/>
        <w:spacing w:before="0"/>
        <w:rPr>
          <w:noProof/>
        </w:rPr>
      </w:pPr>
      <w:r>
        <w:rPr>
          <w:noProof/>
        </w:rPr>
        <w:t>Unionin taloudellisten etujen suojaaminen petoksia vastaan</w:t>
      </w:r>
    </w:p>
    <w:p>
      <w:pPr>
        <w:pStyle w:val="NumPar1"/>
        <w:numPr>
          <w:ilvl w:val="0"/>
          <w:numId w:val="3"/>
        </w:numPr>
        <w:spacing w:before="0"/>
        <w:ind w:left="860" w:hanging="860"/>
        <w:rPr>
          <w:noProof/>
        </w:rPr>
      </w:pPr>
      <w:r>
        <w:rPr>
          <w:noProof/>
        </w:rPr>
        <w:t>Islannin on</w:t>
      </w:r>
    </w:p>
    <w:p>
      <w:pPr>
        <w:pStyle w:val="Point1"/>
        <w:rPr>
          <w:noProof/>
        </w:rPr>
      </w:pPr>
      <w:r>
        <w:rPr>
          <w:noProof/>
        </w:rPr>
        <w:t>a)</w:t>
      </w:r>
      <w:r>
        <w:rPr>
          <w:noProof/>
        </w:rPr>
        <w:tab/>
        <w:t xml:space="preserve">torjuttava petoksia ja muita unionin taloudellisiin etuihin vaikuttavia laittomia toimia toimenpiteillä, joilla on ennaltaehkäisevä vaikutus ja jotka tarjoavat tehokkaan suojan Islannissa; </w:t>
      </w:r>
    </w:p>
    <w:p>
      <w:pPr>
        <w:pStyle w:val="Point1"/>
        <w:rPr>
          <w:noProof/>
        </w:rPr>
      </w:pPr>
      <w:r>
        <w:rPr>
          <w:noProof/>
        </w:rPr>
        <w:t>b)</w:t>
      </w:r>
      <w:r>
        <w:rPr>
          <w:noProof/>
        </w:rPr>
        <w:tab/>
        <w:t xml:space="preserve">toteutettava samat toimenpiteet suojatakseen unionin taloudellisia etuja petoksilta kuin se toteuttaa suojatakseen omia taloudellisia etujaan petoksilta; ja </w:t>
      </w:r>
    </w:p>
    <w:p>
      <w:pPr>
        <w:pStyle w:val="Point1"/>
        <w:rPr>
          <w:noProof/>
        </w:rPr>
      </w:pPr>
      <w:r>
        <w:rPr>
          <w:noProof/>
        </w:rPr>
        <w:t>c)</w:t>
      </w:r>
      <w:r>
        <w:rPr>
          <w:noProof/>
        </w:rPr>
        <w:tab/>
        <w:t xml:space="preserve">koordinoitava unionin taloudellisten etujen suojelemiseksi tarkoitetut toimet jäsenvaltioiden ja komission kanssa. </w:t>
      </w:r>
    </w:p>
    <w:p>
      <w:pPr>
        <w:pStyle w:val="NumPar1"/>
        <w:numPr>
          <w:ilvl w:val="0"/>
          <w:numId w:val="3"/>
        </w:numPr>
        <w:spacing w:before="0"/>
        <w:ind w:left="860" w:hanging="860"/>
        <w:rPr>
          <w:noProof/>
        </w:rPr>
      </w:pPr>
      <w:r>
        <w:rPr>
          <w:noProof/>
        </w:rPr>
        <w:t>Islannin on otettava käyttöön vastaavat toimenpiteet kuin ne, jotka unioni on ottanut käyttöön SEUT-sopimuksen 325 artiklan 4 kohdan mukaisesti ja jotka ovat voimassa tämän sopimuksen allekirjoittamispäivänä.</w:t>
      </w:r>
    </w:p>
    <w:p>
      <w:pPr>
        <w:pStyle w:val="Text1"/>
        <w:spacing w:before="0"/>
        <w:ind w:left="860"/>
        <w:rPr>
          <w:noProof/>
        </w:rPr>
      </w:pPr>
      <w:r>
        <w:rPr>
          <w:noProof/>
        </w:rPr>
        <w:t xml:space="preserve">Osapuolet voivat ottaa yhteisellä sopimuksella käyttöön vastaavat toimenpiteet kuin unioni ottaa myöhemmin käyttöön tämän artiklan mukaisesti. </w:t>
      </w:r>
    </w:p>
    <w:p>
      <w:pPr>
        <w:pStyle w:val="Titrearticle"/>
        <w:spacing w:before="480"/>
        <w:rPr>
          <w:noProof/>
        </w:rPr>
      </w:pPr>
      <w:r>
        <w:rPr>
          <w:noProof/>
        </w:rPr>
        <w:t>7 artikla</w:t>
      </w:r>
    </w:p>
    <w:p>
      <w:pPr>
        <w:pStyle w:val="Titrearticle"/>
        <w:spacing w:before="0"/>
        <w:rPr>
          <w:noProof/>
        </w:rPr>
      </w:pPr>
      <w:r>
        <w:rPr>
          <w:noProof/>
        </w:rPr>
        <w:t>Komission (OLAFin) paikalla suorittamat tarkastukset ja todentamiset</w:t>
      </w:r>
    </w:p>
    <w:p>
      <w:pPr>
        <w:rPr>
          <w:noProof/>
          <w:szCs w:val="24"/>
        </w:rPr>
      </w:pPr>
      <w:r>
        <w:rPr>
          <w:noProof/>
        </w:rPr>
        <w:t>Komissiolla (Euroopan petostentorjuntavirastolla OLAFilla) on valtuudet suorittaa paikalla ulkorajojen ja viisumipolitiikan rahoitusvälinettä koskevia tarkastuksia ja todentamisia Islannin alueella asetuksessa (Euratom, EY) N:o 2185/96 vahvistettujen ehtojen ja edellytysten mukaisesti rajoittamatta asetuksen (EU) N:o 514/2014 5 artiklan 8 kohtaan perustuvia komission oikeuksia.</w:t>
      </w:r>
    </w:p>
    <w:p>
      <w:pPr>
        <w:rPr>
          <w:noProof/>
          <w:szCs w:val="24"/>
        </w:rPr>
      </w:pPr>
      <w:r>
        <w:rPr>
          <w:noProof/>
        </w:rPr>
        <w:t>Islannin viranomaisten on helpotettava paikalla suoritettavia tarkastuksia ja todentamisia, jotka voidaan viranomaisten pyynnöstä suorittaa yhdessä niiden kanssa.</w:t>
      </w:r>
    </w:p>
    <w:p>
      <w:pPr>
        <w:pStyle w:val="Titrearticle"/>
        <w:spacing w:before="480"/>
        <w:rPr>
          <w:noProof/>
        </w:rPr>
      </w:pPr>
      <w:r>
        <w:rPr>
          <w:noProof/>
        </w:rPr>
        <w:t>8 artikla</w:t>
      </w:r>
    </w:p>
    <w:p>
      <w:pPr>
        <w:pStyle w:val="Titrearticle"/>
        <w:spacing w:before="0"/>
        <w:rPr>
          <w:noProof/>
        </w:rPr>
      </w:pPr>
      <w:r>
        <w:rPr>
          <w:noProof/>
        </w:rPr>
        <w:t>Tilintarkastustuomioistuin</w:t>
      </w:r>
    </w:p>
    <w:p>
      <w:pPr>
        <w:rPr>
          <w:noProof/>
          <w:szCs w:val="24"/>
        </w:rPr>
      </w:pPr>
      <w:r>
        <w:rPr>
          <w:noProof/>
        </w:rPr>
        <w:t xml:space="preserve">SEUT-sopimuksen 287 artiklan 3 kohdan ja asetuksen (EU, Euratom) N:o 966/2012 ensimmäisen osan X osaston 1 luvun mukaisesti tilintarkastustuomioistuimella on mahdollisuus suorittaa tilintarkastuksia kaikkien sellaisten tahojen toimitiloissa, jotka hallinnoivat ulkorajojen ja viisumipolitiikan rahoitusvälinettä koskevia tuloja tai menoja unionin puolesta Islannin alueella, mukaan luettuina kaikkien sellaisten luonnollisten henkilöiden tai oikeushenkilöiden toimitilat, joille suoritetaan maksuja talousarviosta. </w:t>
      </w:r>
    </w:p>
    <w:p>
      <w:pPr>
        <w:rPr>
          <w:noProof/>
          <w:szCs w:val="24"/>
        </w:rPr>
      </w:pPr>
      <w:r>
        <w:rPr>
          <w:noProof/>
        </w:rPr>
        <w:t xml:space="preserve">Tilintarkastustuomioistuin suorittaa tarkastukset Islannissa yhdessä kansallisten tilintarkastuselinten kanssa tai, jollei niillä ole riittävää toimivaltaa, toimivaltaisten kansallisten viranomaisten tai laitosten kanssa. Tilintarkastustuomioistuin ja Islannin kansalliset tilintarkastuselimet toimivat luottamuksellisessa yhteistyössä riippumattomuutensa säilyttäen. Nämä tilintarkastuselimet taikka viranomaiset tai laitokset ilmoittavat tilintarkastustuomioistuimelle, aikovatko ne osallistua tarkastukseen. </w:t>
      </w:r>
    </w:p>
    <w:p>
      <w:pPr>
        <w:rPr>
          <w:noProof/>
          <w:szCs w:val="24"/>
        </w:rPr>
      </w:pPr>
      <w:r>
        <w:rPr>
          <w:noProof/>
        </w:rPr>
        <w:t xml:space="preserve">Tilintarkastustuomioistuimella on vähintään samat oikeudet kuin komissiolla asetuksen (EU) N:o 514/2014 5 artiklan 7 kohdan ja tämän sopimuksen 7 artiklan nojalla. </w:t>
      </w:r>
    </w:p>
    <w:p>
      <w:pPr>
        <w:pStyle w:val="Titrearticle"/>
        <w:spacing w:before="480"/>
        <w:rPr>
          <w:noProof/>
        </w:rPr>
      </w:pPr>
      <w:r>
        <w:rPr>
          <w:noProof/>
        </w:rPr>
        <w:t>9 artikla</w:t>
      </w:r>
    </w:p>
    <w:p>
      <w:pPr>
        <w:pStyle w:val="Titrearticle"/>
        <w:spacing w:before="0"/>
        <w:rPr>
          <w:noProof/>
        </w:rPr>
      </w:pPr>
      <w:r>
        <w:rPr>
          <w:noProof/>
        </w:rPr>
        <w:t>Julkiset hankinnat</w:t>
      </w:r>
    </w:p>
    <w:p>
      <w:pPr>
        <w:rPr>
          <w:noProof/>
          <w:szCs w:val="24"/>
        </w:rPr>
      </w:pPr>
      <w:r>
        <w:rPr>
          <w:noProof/>
        </w:rPr>
        <w:t>Islannin on sovellettava julkisia hankintoja koskevan lainsäädäntönsä säännöksiä Euroopan talousalueesta tehdyn sopimuksen</w:t>
      </w:r>
      <w:r>
        <w:rPr>
          <w:rStyle w:val="FootnoteReference"/>
          <w:noProof/>
        </w:rPr>
        <w:footnoteReference w:id="8"/>
      </w:r>
      <w:r>
        <w:rPr>
          <w:noProof/>
        </w:rPr>
        <w:t xml:space="preserve"> liitteen XVI mukaisesti. </w:t>
      </w:r>
    </w:p>
    <w:p>
      <w:pPr>
        <w:pStyle w:val="Titrearticle"/>
        <w:spacing w:before="480"/>
        <w:rPr>
          <w:noProof/>
        </w:rPr>
      </w:pPr>
      <w:r>
        <w:rPr>
          <w:noProof/>
        </w:rPr>
        <w:t>10 artikla</w:t>
      </w:r>
    </w:p>
    <w:p>
      <w:pPr>
        <w:pStyle w:val="Titrearticle"/>
        <w:spacing w:before="0"/>
        <w:rPr>
          <w:noProof/>
        </w:rPr>
      </w:pPr>
      <w:r>
        <w:rPr>
          <w:noProof/>
        </w:rPr>
        <w:t xml:space="preserve">Rahoitusosuudet </w:t>
      </w:r>
    </w:p>
    <w:p>
      <w:pPr>
        <w:pStyle w:val="ManualNumPar1"/>
        <w:rPr>
          <w:noProof/>
        </w:rPr>
      </w:pPr>
      <w:r>
        <w:rPr>
          <w:noProof/>
        </w:rPr>
        <w:t>1.</w:t>
      </w:r>
      <w:r>
        <w:rPr>
          <w:noProof/>
        </w:rPr>
        <w:tab/>
        <w:t xml:space="preserve">Islannin on suoritettava vuosina 2016–2018 ulkorajojen ja viisumipolitiikan rahoitusvälineen talousarvioon vuotuiset maksut seuraavan taulukon mukaisesti: </w:t>
      </w:r>
    </w:p>
    <w:p>
      <w:pPr>
        <w:pStyle w:val="Text1"/>
        <w:spacing w:before="0"/>
        <w:jc w:val="right"/>
        <w:rPr>
          <w:i/>
          <w:noProof/>
        </w:rPr>
      </w:pPr>
      <w:r>
        <w:rPr>
          <w:i/>
          <w:noProof/>
        </w:rPr>
        <w:t>(Kaikki määrät euroina)</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160"/>
        <w:gridCol w:w="2040"/>
        <w:gridCol w:w="2040"/>
      </w:tblGrid>
      <w:tr>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p>
        </w:tc>
        <w:tc>
          <w:tcPr>
            <w:tcW w:w="216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r>
              <w:rPr>
                <w:noProof/>
              </w:rPr>
              <w:t>2016</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r>
              <w:rPr>
                <w:noProof/>
              </w:rPr>
              <w:t>2017</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r>
              <w:rPr>
                <w:noProof/>
              </w:rPr>
              <w:t>2018</w:t>
            </w:r>
          </w:p>
        </w:tc>
      </w:tr>
      <w:tr>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r>
              <w:rPr>
                <w:noProof/>
              </w:rPr>
              <w:t>Islanti</w:t>
            </w:r>
          </w:p>
        </w:tc>
        <w:tc>
          <w:tcPr>
            <w:tcW w:w="216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r>
              <w:rPr>
                <w:noProof/>
              </w:rPr>
              <w:t xml:space="preserve">563 999 </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r>
              <w:rPr>
                <w:noProof/>
              </w:rPr>
              <w:t>563 999</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rPr>
            </w:pPr>
            <w:r>
              <w:rPr>
                <w:noProof/>
              </w:rPr>
              <w:t>563 999</w:t>
            </w:r>
          </w:p>
        </w:tc>
      </w:tr>
    </w:tbl>
    <w:p>
      <w:pPr>
        <w:rPr>
          <w:noProof/>
        </w:rPr>
      </w:pPr>
    </w:p>
    <w:p>
      <w:pPr>
        <w:pStyle w:val="ManualNumPar1"/>
        <w:rPr>
          <w:noProof/>
        </w:rPr>
      </w:pPr>
      <w:r>
        <w:rPr>
          <w:noProof/>
        </w:rPr>
        <w:t>2.</w:t>
      </w:r>
      <w:r>
        <w:rPr>
          <w:noProof/>
        </w:rPr>
        <w:tab/>
        <w:t>Islannin maksuosuudet vuosina 2019 ja 2020 lasketaan liitteessä esitetyn kaavan mukaisesti sen perusteella, mikä on sen bruttokansantuotteen (BKT) prosentuaalinen osuus suhteessa kaikkien ulkorajojen ja viisumipolitiikan rahoitusvälineeseen osallistuvien valtioiden BKT:hen.</w:t>
      </w:r>
    </w:p>
    <w:p>
      <w:pPr>
        <w:pStyle w:val="NumPar1"/>
        <w:numPr>
          <w:ilvl w:val="0"/>
          <w:numId w:val="3"/>
        </w:numPr>
        <w:tabs>
          <w:tab w:val="clear" w:pos="850"/>
          <w:tab w:val="num" w:pos="840"/>
        </w:tabs>
        <w:spacing w:before="0"/>
        <w:ind w:left="840" w:hanging="840"/>
        <w:rPr>
          <w:noProof/>
        </w:rPr>
      </w:pPr>
      <w:r>
        <w:rPr>
          <w:noProof/>
        </w:rPr>
        <w:t xml:space="preserve">Islannin on suoritettava tässä artiklassa tarkoitetut rahoitusosuudet riippumatta siitä, milloin sen asetuksen (EU) N:o 514/2014 14 artiklassa tarkoitettu kansallinen ohjelma hyväksytään.  </w:t>
      </w:r>
    </w:p>
    <w:p>
      <w:pPr>
        <w:pStyle w:val="Text1"/>
        <w:spacing w:before="480"/>
        <w:jc w:val="center"/>
        <w:rPr>
          <w:i/>
          <w:noProof/>
        </w:rPr>
      </w:pPr>
      <w:r>
        <w:rPr>
          <w:i/>
          <w:noProof/>
        </w:rPr>
        <w:t>11 artikla</w:t>
      </w:r>
    </w:p>
    <w:p>
      <w:pPr>
        <w:pStyle w:val="Text1"/>
        <w:spacing w:before="0"/>
        <w:jc w:val="center"/>
        <w:rPr>
          <w:i/>
          <w:noProof/>
        </w:rPr>
      </w:pPr>
      <w:r>
        <w:rPr>
          <w:i/>
          <w:noProof/>
        </w:rPr>
        <w:t>Rahoitusosuuksien käyttö</w:t>
      </w:r>
    </w:p>
    <w:p>
      <w:pPr>
        <w:pStyle w:val="NumPar1"/>
        <w:numPr>
          <w:ilvl w:val="0"/>
          <w:numId w:val="2"/>
        </w:numPr>
        <w:spacing w:before="0"/>
        <w:ind w:left="860" w:hanging="860"/>
        <w:rPr>
          <w:noProof/>
        </w:rPr>
      </w:pPr>
      <w:r>
        <w:rPr>
          <w:noProof/>
        </w:rPr>
        <w:t xml:space="preserve">Vuosien 2016 ja 2017 vuotuisten maksujen yhteismäärä kohdennetaan seuraaviin tarkoituksiin: </w:t>
      </w:r>
    </w:p>
    <w:p>
      <w:pPr>
        <w:pStyle w:val="Point1"/>
        <w:rPr>
          <w:noProof/>
        </w:rPr>
      </w:pPr>
      <w:r>
        <w:rPr>
          <w:noProof/>
        </w:rPr>
        <w:t>a)</w:t>
      </w:r>
      <w:r>
        <w:rPr>
          <w:noProof/>
        </w:rPr>
        <w:tab/>
        <w:t xml:space="preserve">75 prosenttia asetuksen (EU) N:o 515/2014 8 artiklassa tarkoitettuun väliarviointiin; </w:t>
      </w:r>
    </w:p>
    <w:p>
      <w:pPr>
        <w:pStyle w:val="Point1"/>
        <w:rPr>
          <w:noProof/>
        </w:rPr>
      </w:pPr>
      <w:r>
        <w:rPr>
          <w:noProof/>
        </w:rPr>
        <w:t>b)</w:t>
      </w:r>
      <w:r>
        <w:rPr>
          <w:noProof/>
        </w:rPr>
        <w:tab/>
        <w:t xml:space="preserve">15 prosenttia asetuksen (EU) N:o 515/2014 15 artiklassa tarkoitettuun tietotekniikkajärjestelmien kehittämiseen edellyttäen, että asiaankuuluvat unionin säädökset on annettu viimeistään 30 päivänä kesäkuuta 2017; </w:t>
      </w:r>
    </w:p>
    <w:p>
      <w:pPr>
        <w:pStyle w:val="Point1"/>
        <w:rPr>
          <w:noProof/>
        </w:rPr>
      </w:pPr>
      <w:r>
        <w:rPr>
          <w:noProof/>
        </w:rPr>
        <w:t>c)</w:t>
      </w:r>
      <w:r>
        <w:rPr>
          <w:noProof/>
        </w:rPr>
        <w:tab/>
        <w:t xml:space="preserve">10 prosenttia asetuksen (EU) N:o 515/2014 13 artiklassa tarkoitettuihin unionin toimiin ja asetuksen (EU) N:o 515/2014 14 artiklassa tarkoitettuun hätäapuun. </w:t>
      </w:r>
    </w:p>
    <w:p>
      <w:pPr>
        <w:ind w:left="860"/>
        <w:rPr>
          <w:noProof/>
          <w:szCs w:val="24"/>
        </w:rPr>
      </w:pPr>
      <w:r>
        <w:rPr>
          <w:noProof/>
        </w:rPr>
        <w:t>Jos b alakohdassa tarkoitettu määrä jää kohdentamatta tai käyttämättä, komissio kohdentaa sen asetuksen (EU) N:o 515/2014 5 artiklan 5 kohdan b alakohdan toisessa alakohdassa säädetyn menettelyn mukaisesti asetuksen (EU) N:o 515/2014 7 artiklassa tarkoitettuihin erityistoimiin.</w:t>
      </w:r>
    </w:p>
    <w:p>
      <w:pPr>
        <w:ind w:left="860"/>
        <w:rPr>
          <w:noProof/>
          <w:szCs w:val="24"/>
        </w:rPr>
      </w:pPr>
      <w:r>
        <w:rPr>
          <w:noProof/>
        </w:rPr>
        <w:t>Jos tämä sopimus ei tule voimaan tai sitä ei sovelleta väliaikaisesti viimeistään 1 päivänä kesäkuuta 2017, Islannin koko rahoitusosuus on käytettävä tämän artiklan 2 kohdan mukaisesti.</w:t>
      </w:r>
    </w:p>
    <w:p>
      <w:pPr>
        <w:pStyle w:val="NumPar1"/>
        <w:rPr>
          <w:noProof/>
        </w:rPr>
      </w:pPr>
      <w:r>
        <w:rPr>
          <w:noProof/>
        </w:rPr>
        <w:t>Vuosien 2018, 2019 ja 2020 vuotuisten maksujen yhteismäärä kohdennetaan seuraaviin tarkoituksiin:</w:t>
      </w:r>
    </w:p>
    <w:p>
      <w:pPr>
        <w:pStyle w:val="Point1"/>
        <w:rPr>
          <w:noProof/>
        </w:rPr>
      </w:pPr>
      <w:r>
        <w:rPr>
          <w:noProof/>
        </w:rPr>
        <w:t>a)</w:t>
      </w:r>
      <w:r>
        <w:rPr>
          <w:noProof/>
        </w:rPr>
        <w:tab/>
        <w:t xml:space="preserve">40 prosenttia asetuksen (EU) N:o 515/2014 7 artiklassa tarkoitettuihin erityistoimiin; </w:t>
      </w:r>
    </w:p>
    <w:p>
      <w:pPr>
        <w:pStyle w:val="Point1"/>
        <w:rPr>
          <w:noProof/>
        </w:rPr>
      </w:pPr>
      <w:r>
        <w:rPr>
          <w:noProof/>
        </w:rPr>
        <w:t>b)</w:t>
      </w:r>
      <w:r>
        <w:rPr>
          <w:noProof/>
        </w:rPr>
        <w:tab/>
        <w:t xml:space="preserve">50 prosenttia asetuksen (EU) N:o 515/2014 15 artiklassa tarkoitettuun tietotekniikkajärjestelmien kehittämiseen edellyttäen, että asiaankuuluvat unionin säädökset on annettu viimeistään 31 päivänä joulukuuta 2018; </w:t>
      </w:r>
    </w:p>
    <w:p>
      <w:pPr>
        <w:pStyle w:val="Point1"/>
        <w:rPr>
          <w:noProof/>
        </w:rPr>
      </w:pPr>
      <w:r>
        <w:rPr>
          <w:noProof/>
        </w:rPr>
        <w:t>c)</w:t>
      </w:r>
      <w:r>
        <w:rPr>
          <w:noProof/>
        </w:rPr>
        <w:tab/>
        <w:t>10 prosenttia asetuksen (EU) N:o 515/2014 13 artiklassa tarkoitettuihin unionin toimiin ja asetuksen (EU) N:o 515/2014 14 artiklassa tarkoitettuun hätäapuun.</w:t>
      </w:r>
    </w:p>
    <w:p>
      <w:pPr>
        <w:ind w:left="860"/>
        <w:rPr>
          <w:noProof/>
        </w:rPr>
      </w:pPr>
      <w:r>
        <w:rPr>
          <w:noProof/>
        </w:rPr>
        <w:t xml:space="preserve">Jos b alakohdassa tarkoitettu määrä jää kohdentamatta tai käyttämättä, komissio kohdentaa sen asetuksen (EU) N:o 515/2014 5 artiklan 5 kohdan b alakohdan toisessa alakohdassa säädetyn menettelyn mukaisesti asetuksen (EU) N:o 515/2014 7 artiklassa tarkoitettuihin erityistoimiin. </w:t>
      </w:r>
    </w:p>
    <w:p>
      <w:pPr>
        <w:pStyle w:val="NumPar1"/>
        <w:rPr>
          <w:noProof/>
        </w:rPr>
      </w:pPr>
      <w:r>
        <w:rPr>
          <w:noProof/>
        </w:rPr>
        <w:t>Väliarviointiin, unionin toimiin, erityistoimiin tai tietotekniikkajärjestelmien kehittämisohjelmaan kohdennetut lisämäärät on käytettävä asiaa koskevan, seuraavissa säännöksissä vahvistetun menettelyn mukaisesti:</w:t>
      </w:r>
    </w:p>
    <w:p>
      <w:pPr>
        <w:pStyle w:val="Point1"/>
        <w:rPr>
          <w:noProof/>
        </w:rPr>
      </w:pPr>
      <w:r>
        <w:rPr>
          <w:noProof/>
        </w:rPr>
        <w:t>a)</w:t>
      </w:r>
      <w:r>
        <w:rPr>
          <w:noProof/>
        </w:rPr>
        <w:tab/>
        <w:t>asetuksen (EU) N:o 514/2014 6 artiklan 2 kohta;</w:t>
      </w:r>
    </w:p>
    <w:p>
      <w:pPr>
        <w:pStyle w:val="Point1"/>
        <w:rPr>
          <w:noProof/>
        </w:rPr>
      </w:pPr>
      <w:r>
        <w:rPr>
          <w:noProof/>
        </w:rPr>
        <w:t>b)</w:t>
      </w:r>
      <w:r>
        <w:rPr>
          <w:noProof/>
        </w:rPr>
        <w:tab/>
        <w:t xml:space="preserve">asetuksen (EU) N:o 515/2014 8 artiklan 7 kohta; </w:t>
      </w:r>
    </w:p>
    <w:p>
      <w:pPr>
        <w:pStyle w:val="Point1"/>
        <w:rPr>
          <w:noProof/>
        </w:rPr>
      </w:pPr>
      <w:r>
        <w:rPr>
          <w:noProof/>
        </w:rPr>
        <w:t>c)</w:t>
      </w:r>
      <w:r>
        <w:rPr>
          <w:noProof/>
        </w:rPr>
        <w:tab/>
        <w:t>asetuksen (EU) N:o 515/2014 7 artiklan 3 kohta;</w:t>
      </w:r>
    </w:p>
    <w:p>
      <w:pPr>
        <w:pStyle w:val="Point1"/>
        <w:rPr>
          <w:noProof/>
        </w:rPr>
      </w:pPr>
      <w:r>
        <w:rPr>
          <w:noProof/>
        </w:rPr>
        <w:t>d)</w:t>
      </w:r>
      <w:r>
        <w:rPr>
          <w:noProof/>
        </w:rPr>
        <w:tab/>
        <w:t xml:space="preserve">asetuksen (EU) N:o 515/2014 15 artiklan toinen alakohta. </w:t>
      </w:r>
    </w:p>
    <w:p>
      <w:pPr>
        <w:ind w:left="709" w:hanging="709"/>
        <w:rPr>
          <w:noProof/>
        </w:rPr>
      </w:pPr>
      <w:r>
        <w:rPr>
          <w:noProof/>
        </w:rPr>
        <w:t>4.</w:t>
      </w:r>
      <w:r>
        <w:rPr>
          <w:noProof/>
        </w:rPr>
        <w:tab/>
        <w:t>Komissio voi käyttää joka vuosi enintään 4 076 euroa Islannin suorittamista maksuista sellaiseen omaan tai ulkopuoliseen henkilöstöön liittyvien hallintokulujen rahoittamiseen, joka on välttämätöntä Islannin tukemiseksi asetuksen (EU) N:o 515/2014 ja tämän sopimuksen täytäntöönpanossa.</w:t>
      </w:r>
    </w:p>
    <w:p>
      <w:pPr>
        <w:pStyle w:val="Titrearticle"/>
        <w:spacing w:before="480"/>
        <w:rPr>
          <w:noProof/>
        </w:rPr>
      </w:pPr>
      <w:r>
        <w:rPr>
          <w:noProof/>
        </w:rPr>
        <w:t>12 artikla</w:t>
      </w:r>
    </w:p>
    <w:p>
      <w:pPr>
        <w:pStyle w:val="Titrearticle"/>
        <w:spacing w:before="0"/>
        <w:rPr>
          <w:noProof/>
        </w:rPr>
      </w:pPr>
      <w:r>
        <w:rPr>
          <w:noProof/>
        </w:rPr>
        <w:t>Luottamuksellisuus</w:t>
      </w:r>
    </w:p>
    <w:p>
      <w:pPr>
        <w:rPr>
          <w:noProof/>
          <w:szCs w:val="24"/>
        </w:rPr>
      </w:pPr>
      <w:r>
        <w:rPr>
          <w:noProof/>
        </w:rPr>
        <w:t xml:space="preserve">Kaikki tämän sopimuksen nojalla toimitetut ja saadut tiedot niiden muodosta riippumatta kuuluvat ammattisalaisuuden piiriin ja niillä on sama suoja, joka vastaaville tiedoille on säädetty unionin toimielimiin sovellettavissa säännöksissä ja Islannin lainsäädännössä. Kyseisiä tietoja saa ilmaista vain niille henkilöille, joiden on ne tunnettava tehtäviensä vuoksi unionin toimielimissä, jäsenvaltioissa tai Islannissa, ja niitä saa käyttää vain osapuolten taloudellisten etujen tehokkaan suojaamisen varmistamiseksi. </w:t>
      </w:r>
    </w:p>
    <w:p>
      <w:pPr>
        <w:pStyle w:val="Titrearticle"/>
        <w:spacing w:before="480"/>
        <w:rPr>
          <w:noProof/>
        </w:rPr>
      </w:pPr>
      <w:r>
        <w:rPr>
          <w:noProof/>
        </w:rPr>
        <w:t>13 artikla</w:t>
      </w:r>
    </w:p>
    <w:p>
      <w:pPr>
        <w:jc w:val="center"/>
        <w:rPr>
          <w:i/>
          <w:noProof/>
          <w:szCs w:val="24"/>
        </w:rPr>
      </w:pPr>
      <w:r>
        <w:rPr>
          <w:i/>
          <w:noProof/>
        </w:rPr>
        <w:t xml:space="preserve">Vastuuviranomaisen nimeäminen </w:t>
      </w:r>
    </w:p>
    <w:p>
      <w:pPr>
        <w:tabs>
          <w:tab w:val="left" w:pos="850"/>
        </w:tabs>
        <w:ind w:left="860" w:hanging="860"/>
        <w:rPr>
          <w:rFonts w:eastAsia="Times New Roman"/>
          <w:noProof/>
          <w:szCs w:val="24"/>
        </w:rPr>
      </w:pPr>
      <w:r>
        <w:rPr>
          <w:noProof/>
        </w:rPr>
        <w:t>1.</w:t>
      </w:r>
      <w:r>
        <w:rPr>
          <w:noProof/>
        </w:rPr>
        <w:tab/>
        <w:t xml:space="preserve">Islannin on ilmoitettava ulkorajojen ja viisumipolitiikan rahoitusvälineen menojen hallinnoinnista ja valvonnasta vastaavan vastuuviranomaisen ministeriötasolla tapahtuvasta virallisesta nimeämisestä komissiolle mahdollisimman pian kansallisen ohjelman hyväksymisen jälkeen. </w:t>
      </w:r>
    </w:p>
    <w:p>
      <w:pPr>
        <w:tabs>
          <w:tab w:val="left" w:pos="850"/>
        </w:tabs>
        <w:ind w:left="860" w:hanging="860"/>
        <w:rPr>
          <w:rFonts w:eastAsia="Times New Roman"/>
          <w:bCs/>
          <w:noProof/>
          <w:szCs w:val="24"/>
        </w:rPr>
      </w:pPr>
      <w:r>
        <w:rPr>
          <w:noProof/>
        </w:rPr>
        <w:t>2.</w:t>
      </w:r>
      <w:r>
        <w:rPr>
          <w:noProof/>
        </w:rPr>
        <w:tab/>
        <w:t>Edellä 1 kohdassa tarkoitettu nimeäminen edellyttää, että kyseinen elin täyttää asetuksessa (EU) N:o 514/2014 tai sen perusteella vahvistetut nimeämisperusteet, jotka koskevat sisäistä ympäristöä, valvontatoimia, tiedotusta ja viestintää sekä seurantaa.</w:t>
      </w:r>
    </w:p>
    <w:p>
      <w:pPr>
        <w:tabs>
          <w:tab w:val="left" w:pos="850"/>
        </w:tabs>
        <w:ind w:left="860" w:hanging="860"/>
        <w:rPr>
          <w:rFonts w:eastAsia="Times New Roman"/>
          <w:b/>
          <w:noProof/>
          <w:szCs w:val="24"/>
        </w:rPr>
      </w:pPr>
      <w:r>
        <w:rPr>
          <w:noProof/>
        </w:rPr>
        <w:t>3.</w:t>
      </w:r>
      <w:r>
        <w:rPr>
          <w:noProof/>
        </w:rPr>
        <w:tab/>
        <w:t>Vastuuviranomaisen nimeäminen perustuu tarkastuselimen lausuntoon; tarkastuselin voi olla tarkastusviranomainen, joka arvioi, täyttääkö vastuuviranomainen nimeämisperusteet. Tämä elin voi olla hallinnon seurannasta, arvioinnista ja tarkastuksesta vastaava itsenäinen julkinen laitos. Tarkastuselimen on oltava toiminnassaan riippumaton vastuuviranomaisesta ja suoritettava työnsä kansainvälisesti hyväksyttyjen tarkastusnormien mukaisesti.</w:t>
      </w:r>
      <w:r>
        <w:rPr>
          <w:b/>
          <w:noProof/>
        </w:rPr>
        <w:t xml:space="preserve"> </w:t>
      </w:r>
      <w:r>
        <w:rPr>
          <w:noProof/>
        </w:rPr>
        <w:t>Islanti voi käyttää nimeämispäätöksensä perusteena sitä, ovatko hallinnointi- ja valvontajärjestelmät olennaisilta osin samat kuin aikaisemmalla kaudella jo käytössä olleet järjestelmät ja ovatko ne toimineet tehokkaasti.</w:t>
      </w:r>
      <w:r>
        <w:rPr>
          <w:b/>
          <w:noProof/>
        </w:rPr>
        <w:t xml:space="preserve"> </w:t>
      </w:r>
      <w:r>
        <w:rPr>
          <w:noProof/>
        </w:rPr>
        <w:t>Jos tarkastus- ja valvontatulokset osoittavat, että nimetty elin ei enää täytä nimeämisperusteita, Islannin on toteutettava tarvittavat toimenpiteet, joilla varmistetaan, että kyseisen elimen hoitamien tehtävien toteuttamisessa havaitut puutteet korjataan, mukaan lukien nimeämisen purkaminen.</w:t>
      </w:r>
      <w:r>
        <w:rPr>
          <w:b/>
          <w:noProof/>
        </w:rPr>
        <w:t xml:space="preserve"> </w:t>
      </w:r>
    </w:p>
    <w:p>
      <w:pPr>
        <w:pStyle w:val="Titrearticle"/>
        <w:spacing w:before="480"/>
        <w:rPr>
          <w:noProof/>
        </w:rPr>
      </w:pPr>
      <w:r>
        <w:rPr>
          <w:noProof/>
        </w:rPr>
        <w:t>14 artikla</w:t>
      </w:r>
    </w:p>
    <w:p>
      <w:pPr>
        <w:pStyle w:val="Titrearticle"/>
        <w:spacing w:before="0"/>
        <w:rPr>
          <w:noProof/>
        </w:rPr>
      </w:pPr>
      <w:r>
        <w:rPr>
          <w:noProof/>
        </w:rPr>
        <w:t xml:space="preserve">Varainhoitovuoden määritelmä </w:t>
      </w:r>
    </w:p>
    <w:p>
      <w:pPr>
        <w:rPr>
          <w:noProof/>
          <w:szCs w:val="24"/>
        </w:rPr>
      </w:pPr>
      <w:r>
        <w:rPr>
          <w:noProof/>
        </w:rPr>
        <w:t>Tätä sopimusta sovellettaessa asetuksen (EU, Euratom) N:o 966/2012 60 artiklan 5 kohdassa tarkoitettu varainhoitovuosi kattaa maksetut menot sekä saadut ja vastuuviranomaisen tileille kirjatut tulot kaudella, joka alkaa 16 päivänä lokakuuta vuonna N – 1 ja päättyy 15 päivänä lokakuuta vuonna N.</w:t>
      </w:r>
    </w:p>
    <w:p>
      <w:pPr>
        <w:spacing w:before="480"/>
        <w:jc w:val="center"/>
        <w:rPr>
          <w:i/>
          <w:noProof/>
          <w:szCs w:val="24"/>
        </w:rPr>
      </w:pPr>
      <w:r>
        <w:rPr>
          <w:i/>
          <w:noProof/>
        </w:rPr>
        <w:t>15 artikla</w:t>
      </w:r>
    </w:p>
    <w:p>
      <w:pPr>
        <w:jc w:val="center"/>
        <w:rPr>
          <w:i/>
          <w:noProof/>
          <w:szCs w:val="24"/>
        </w:rPr>
      </w:pPr>
      <w:r>
        <w:rPr>
          <w:i/>
          <w:noProof/>
        </w:rPr>
        <w:t>Menojen tukikelpoisuus</w:t>
      </w:r>
    </w:p>
    <w:p>
      <w:pPr>
        <w:rPr>
          <w:noProof/>
          <w:szCs w:val="24"/>
        </w:rPr>
      </w:pPr>
      <w:r>
        <w:rPr>
          <w:noProof/>
        </w:rPr>
        <w:t xml:space="preserve">Poiketen siitä, mitä asetuksen (EU) N:o 514/2014 17 artiklan 3 kohdan b alakohdassa ja 4 kohdassa säädetään, menot ovat tukikelpoisia, jos vastuuviranomainen on maksanut ne ennen tämän sopimuksen 13 artiklan mukaista virallista nimeämistään edellyttäen, että virallista nimeämistä edeltävät hallinnointi- ja valvontajärjestelmät ovat olennaisilta osin samat kuin vastuuviranomaiseksi nimeämisen jälkeen voimassa olevat järjestelmät. </w:t>
      </w:r>
    </w:p>
    <w:p>
      <w:pPr>
        <w:pStyle w:val="Titrearticle"/>
        <w:spacing w:before="480"/>
        <w:rPr>
          <w:noProof/>
        </w:rPr>
      </w:pPr>
      <w:r>
        <w:rPr>
          <w:noProof/>
        </w:rPr>
        <w:t>16 artikla</w:t>
      </w:r>
    </w:p>
    <w:p>
      <w:pPr>
        <w:pStyle w:val="Titrearticle"/>
        <w:spacing w:before="0"/>
        <w:rPr>
          <w:noProof/>
        </w:rPr>
      </w:pPr>
      <w:r>
        <w:rPr>
          <w:noProof/>
        </w:rPr>
        <w:t xml:space="preserve">Vuotuisen saldon maksamista koskeva pyyntö </w:t>
      </w:r>
    </w:p>
    <w:p>
      <w:pPr>
        <w:ind w:left="860" w:hanging="860"/>
        <w:rPr>
          <w:rFonts w:eastAsia="Times New Roman"/>
          <w:noProof/>
          <w:szCs w:val="24"/>
        </w:rPr>
      </w:pPr>
      <w:r>
        <w:rPr>
          <w:noProof/>
        </w:rPr>
        <w:t>1.</w:t>
      </w:r>
      <w:r>
        <w:rPr>
          <w:noProof/>
        </w:rPr>
        <w:tab/>
        <w:t>Islannin on toimitettava komissiolle viimeistään varainhoitovuotta seuraavan vuoden helmikuun 15 päivänä asetuksen (EU, Euratom) N:o 966/2012 60 artiklan 5 kohdan ensimmäisen alakohdan b ja c alakohdassa vaaditut asiakirjat ja tiedot.</w:t>
      </w:r>
    </w:p>
    <w:p>
      <w:pPr>
        <w:ind w:left="860"/>
        <w:rPr>
          <w:rFonts w:eastAsia="Times New Roman"/>
          <w:noProof/>
          <w:szCs w:val="24"/>
        </w:rPr>
      </w:pPr>
      <w:r>
        <w:rPr>
          <w:noProof/>
        </w:rPr>
        <w:t>Poiketen siitä, mitä asetuksen (EU) N:o 514/2014 44 artiklan 1 kohdassa säädetään, ja noudattaen asetuksen (EU, Euratom) N:o 966/2012 60 artiklan 5 kohdan kolmatta alakohtaa Islannin on toimitettava komissiolle asetuksen (EU, Euratom) N:o 966/2012 60 artiklan 5 kohdan toisessa alakohdassa tarkoitettu lausunto viimeistään varainhoitovuotta seuraavan vuoden maaliskuun 15 päivänä.</w:t>
      </w:r>
    </w:p>
    <w:p>
      <w:pPr>
        <w:ind w:left="860"/>
        <w:rPr>
          <w:rFonts w:eastAsia="Times New Roman"/>
          <w:noProof/>
          <w:szCs w:val="24"/>
        </w:rPr>
      </w:pPr>
      <w:r>
        <w:rPr>
          <w:noProof/>
        </w:rPr>
        <w:t xml:space="preserve">Toimitetut tässä kohdassa tarkoitetut asiakirjat toimivat vuotuisen saldon maksamista koskevana pyyntönä. </w:t>
      </w:r>
    </w:p>
    <w:p>
      <w:pPr>
        <w:ind w:left="860" w:hanging="860"/>
        <w:rPr>
          <w:rFonts w:eastAsia="Times New Roman"/>
          <w:noProof/>
          <w:szCs w:val="24"/>
        </w:rPr>
      </w:pPr>
      <w:r>
        <w:rPr>
          <w:noProof/>
        </w:rPr>
        <w:t>2.</w:t>
      </w:r>
      <w:r>
        <w:rPr>
          <w:noProof/>
        </w:rPr>
        <w:tab/>
        <w:t xml:space="preserve">Edellä 1 kohdassa tarkoitetut asiakirjat on laadittava niiden mallien mukaisesti, jotka komissio on hyväksynyt asetuksen (EU) N:o 514/2014 44 artiklan 3 kohdan mukaisesti. </w:t>
      </w:r>
    </w:p>
    <w:p>
      <w:pPr>
        <w:spacing w:before="480"/>
        <w:jc w:val="center"/>
        <w:rPr>
          <w:rFonts w:eastAsia="Times New Roman"/>
          <w:i/>
          <w:noProof/>
          <w:szCs w:val="24"/>
        </w:rPr>
      </w:pPr>
      <w:r>
        <w:rPr>
          <w:i/>
          <w:noProof/>
        </w:rPr>
        <w:t>17 artikla</w:t>
      </w:r>
    </w:p>
    <w:p>
      <w:pPr>
        <w:jc w:val="center"/>
        <w:rPr>
          <w:i/>
          <w:noProof/>
          <w:szCs w:val="24"/>
        </w:rPr>
      </w:pPr>
      <w:r>
        <w:rPr>
          <w:i/>
          <w:noProof/>
        </w:rPr>
        <w:t xml:space="preserve">Täytäntöönpanokertomus </w:t>
      </w:r>
    </w:p>
    <w:p>
      <w:pPr>
        <w:rPr>
          <w:noProof/>
          <w:szCs w:val="24"/>
        </w:rPr>
      </w:pPr>
      <w:r>
        <w:rPr>
          <w:noProof/>
        </w:rPr>
        <w:t xml:space="preserve">Poiketen siitä, mitä asetuksen (EU) N:o 514/2014 54 artiklan 1 kohdassa säädetään, ja noudattaen asetuksen (EU, Euratom) N:o 966/2012 60 artiklan 5 kohdan kolmatta alakohtaa Islannin on toimitettava komissiolle vuosikertomus kansallisen ohjelman täytäntöönpanosta edeltävältä varainhoitovuodelta viimeistään seuraavan vuoden helmikuun 15 päivänä vuoteen 2022 saakka, ja se voi julkistaa nämä tiedot asianmukaisella tasolla. </w:t>
      </w:r>
    </w:p>
    <w:p>
      <w:pPr>
        <w:rPr>
          <w:noProof/>
          <w:szCs w:val="24"/>
        </w:rPr>
      </w:pPr>
      <w:r>
        <w:rPr>
          <w:noProof/>
        </w:rPr>
        <w:t xml:space="preserve">Ensimmäinen vuosikertomus kansallisen ohjelman täytäntöönpanosta on toimitettava 15 päivänä helmikuuta sen jälkeen, kun tämä sopimus on tullut voimaan tai sen väliaikainen soveltaminen on aloitettu. </w:t>
      </w:r>
    </w:p>
    <w:p>
      <w:pPr>
        <w:rPr>
          <w:noProof/>
          <w:szCs w:val="24"/>
        </w:rPr>
      </w:pPr>
      <w:r>
        <w:rPr>
          <w:noProof/>
        </w:rPr>
        <w:t xml:space="preserve">Ensimmäisessä kertomuksessa on käsiteltävä varainhoitovuosia vuodesta 2014 siihen varainhoitovuoteen, joka edeltää toisen kohdan mukaista ensimmäisen vuosikertomuksen määräaikaa. Islannin on toimitettava kansallista ohjelmaa koskeva lopullinen täytäntöönpanokertomus viimeistään 31 päivänä joulukuuta 2023. </w:t>
      </w:r>
    </w:p>
    <w:p>
      <w:pPr>
        <w:pStyle w:val="Titrearticle"/>
        <w:spacing w:before="480"/>
        <w:rPr>
          <w:noProof/>
        </w:rPr>
      </w:pPr>
      <w:r>
        <w:rPr>
          <w:noProof/>
        </w:rPr>
        <w:t>18 artikla</w:t>
      </w:r>
    </w:p>
    <w:p>
      <w:pPr>
        <w:pStyle w:val="Titrearticle"/>
        <w:spacing w:before="0"/>
        <w:rPr>
          <w:noProof/>
        </w:rPr>
      </w:pPr>
      <w:r>
        <w:rPr>
          <w:noProof/>
        </w:rPr>
        <w:t>Sähköinen tiedonvaihtojärjestelmä</w:t>
      </w:r>
    </w:p>
    <w:p>
      <w:pPr>
        <w:rPr>
          <w:noProof/>
          <w:szCs w:val="24"/>
        </w:rPr>
      </w:pPr>
      <w:r>
        <w:rPr>
          <w:noProof/>
        </w:rPr>
        <w:t>Asetuksen (EU) N:o 514/2014 24 artiklan 5 kohdan mukaisesti kaikessa virallisessa tiedonvaihdossa Islannin ja komission välillä on käytettävä sähköistä tiedonvaihtojärjestelmää, jonka komissio järjestää tätä tarkoitusta varten.</w:t>
      </w:r>
    </w:p>
    <w:p>
      <w:pPr>
        <w:pStyle w:val="Titrearticle"/>
        <w:spacing w:before="480"/>
        <w:rPr>
          <w:noProof/>
        </w:rPr>
      </w:pPr>
      <w:r>
        <w:rPr>
          <w:noProof/>
        </w:rPr>
        <w:t>19 artikla</w:t>
      </w:r>
    </w:p>
    <w:p>
      <w:pPr>
        <w:pStyle w:val="Titrearticle"/>
        <w:spacing w:before="0"/>
        <w:rPr>
          <w:noProof/>
        </w:rPr>
      </w:pPr>
      <w:r>
        <w:rPr>
          <w:noProof/>
        </w:rPr>
        <w:t>Voimaantulo</w:t>
      </w:r>
    </w:p>
    <w:p>
      <w:pPr>
        <w:pStyle w:val="NumPar1"/>
        <w:numPr>
          <w:ilvl w:val="0"/>
          <w:numId w:val="4"/>
        </w:numPr>
        <w:spacing w:before="0"/>
        <w:ind w:left="860" w:hanging="860"/>
        <w:rPr>
          <w:noProof/>
        </w:rPr>
      </w:pPr>
      <w:r>
        <w:rPr>
          <w:noProof/>
        </w:rPr>
        <w:t>Euroopan unionin neuvoston pääsihteeri on tämän sopimuksen tallettaja.</w:t>
      </w:r>
    </w:p>
    <w:p>
      <w:pPr>
        <w:pStyle w:val="NumPar1"/>
        <w:numPr>
          <w:ilvl w:val="0"/>
          <w:numId w:val="4"/>
        </w:numPr>
        <w:spacing w:before="0"/>
        <w:ind w:left="860" w:hanging="860"/>
        <w:rPr>
          <w:noProof/>
        </w:rPr>
      </w:pPr>
      <w:r>
        <w:rPr>
          <w:noProof/>
        </w:rPr>
        <w:t>Osapuolet hyväksyvät tämän sopimuksen omien menettelyjensä mukaisesti. Ne ilmoittavat toisilleen näiden menettelyjen päätökseen saattamisesta.</w:t>
      </w:r>
    </w:p>
    <w:p>
      <w:pPr>
        <w:pStyle w:val="NumPar1"/>
        <w:numPr>
          <w:ilvl w:val="0"/>
          <w:numId w:val="4"/>
        </w:numPr>
        <w:spacing w:before="0"/>
        <w:ind w:left="860" w:hanging="860"/>
        <w:rPr>
          <w:noProof/>
        </w:rPr>
      </w:pPr>
      <w:r>
        <w:rPr>
          <w:noProof/>
        </w:rPr>
        <w:t>Tämä sopimus tulee voimaan viimeisen 2 kohdassa tarkoitetun ilmoituksen tekemispäivää seuraavan kuukauden ensimmäisenä päivänä.</w:t>
      </w:r>
    </w:p>
    <w:p>
      <w:pPr>
        <w:pStyle w:val="NumPar1"/>
        <w:numPr>
          <w:ilvl w:val="0"/>
          <w:numId w:val="4"/>
        </w:numPr>
        <w:spacing w:before="0"/>
        <w:ind w:left="860" w:hanging="860"/>
        <w:rPr>
          <w:noProof/>
        </w:rPr>
      </w:pPr>
      <w:r>
        <w:rPr>
          <w:noProof/>
        </w:rPr>
        <w:t xml:space="preserve">Lukuun ottamatta sopimuksen 5 artiklaa, osapuolet soveltavat tätä sopimusta väliaikaisesti sen allekirjoituspäivää seuraavasta päivästä, sanotun kuitenkaan rajoittamatta valtiosäännön asettamien vaatimusten soveltamista. </w:t>
      </w:r>
    </w:p>
    <w:p>
      <w:pPr>
        <w:pStyle w:val="Titrearticle"/>
        <w:spacing w:before="480"/>
        <w:rPr>
          <w:noProof/>
        </w:rPr>
      </w:pPr>
      <w:r>
        <w:rPr>
          <w:noProof/>
        </w:rPr>
        <w:t>20 artikla</w:t>
      </w:r>
    </w:p>
    <w:p>
      <w:pPr>
        <w:pStyle w:val="Titrearticle"/>
        <w:spacing w:before="0"/>
        <w:rPr>
          <w:noProof/>
        </w:rPr>
      </w:pPr>
      <w:r>
        <w:rPr>
          <w:noProof/>
        </w:rPr>
        <w:t>Voimassaolo ja irtisanominen</w:t>
      </w:r>
    </w:p>
    <w:p>
      <w:pPr>
        <w:pStyle w:val="NumPar1"/>
        <w:numPr>
          <w:ilvl w:val="0"/>
          <w:numId w:val="15"/>
        </w:numPr>
        <w:spacing w:before="0"/>
        <w:rPr>
          <w:noProof/>
        </w:rPr>
      </w:pPr>
      <w:r>
        <w:rPr>
          <w:noProof/>
        </w:rPr>
        <w:t>Unioni tai Islanti voi irtisanoa tämän sopimuksen ilmoittamalla päätöksestään toiselle osapuolelle. Sopimuksen soveltaminen lopetetaan kolmen kuukauden kuluttua kyseisestä ilmoituksesta. Hankkeita ja toimia, jotka ovat käynnissä irtisanomisen aikaan, jatketaan tässä sopimuksessa määrättyjen ehtojen mukaisesti. Osapuolet sopivat yhdessä sopimuksen irtisanomisen muista mahdollisista seurauksista.</w:t>
      </w:r>
    </w:p>
    <w:p>
      <w:pPr>
        <w:pStyle w:val="NumPar1"/>
        <w:numPr>
          <w:ilvl w:val="0"/>
          <w:numId w:val="15"/>
        </w:numPr>
        <w:spacing w:before="0"/>
        <w:rPr>
          <w:noProof/>
        </w:rPr>
      </w:pPr>
      <w:r>
        <w:rPr>
          <w:noProof/>
        </w:rPr>
        <w:t xml:space="preserve">Sopimus irtisanotaan, kun Islannin ja Norjan osallistumisesta Schengenin säännöstön täytäntöönpanoon tehty sopimus irtisanotaan kyseisen sopimuksen 8 artiklan 4 kohdan, 11 artiklan 3 kohdan tai 16 artiklan mukaisesti. </w:t>
      </w:r>
    </w:p>
    <w:p>
      <w:pPr>
        <w:pStyle w:val="Titrearticle"/>
        <w:spacing w:before="480"/>
        <w:rPr>
          <w:noProof/>
        </w:rPr>
      </w:pPr>
      <w:r>
        <w:rPr>
          <w:noProof/>
        </w:rPr>
        <w:t>21 artikla</w:t>
      </w:r>
    </w:p>
    <w:p>
      <w:pPr>
        <w:pStyle w:val="Titrearticle"/>
        <w:spacing w:before="0"/>
        <w:rPr>
          <w:noProof/>
        </w:rPr>
      </w:pPr>
      <w:r>
        <w:rPr>
          <w:noProof/>
        </w:rPr>
        <w:t>Kielet</w:t>
      </w:r>
    </w:p>
    <w:p>
      <w:pPr>
        <w:outlineLvl w:val="0"/>
        <w:rPr>
          <w:noProof/>
          <w:szCs w:val="24"/>
        </w:rPr>
      </w:pPr>
      <w:r>
        <w:rPr>
          <w:noProof/>
        </w:rPr>
        <w:t xml:space="preserve">Tämä sopimus laaditaan yhtenä kappaleena bulgarian, englannin, espanjan, hollannin, italian, kreikan, kroaatin, latvian, liettuan, maltan, portugalin, puolan, ranskan, romanian, ruotsin, saksan, slovakin, sloveenin, suomen, tanskan, tšekin, unkarin, viron ja islannin kielellä, ja kukin teksti on yhtä todistusvoimainen. </w:t>
      </w:r>
    </w:p>
    <w:p>
      <w:pPr>
        <w:jc w:val="center"/>
        <w:outlineLvl w:val="0"/>
        <w:rPr>
          <w:noProof/>
          <w:szCs w:val="24"/>
        </w:rPr>
      </w:pPr>
    </w:p>
    <w:p>
      <w:pPr>
        <w:jc w:val="center"/>
        <w:outlineLvl w:val="0"/>
        <w:rPr>
          <w:noProof/>
          <w:szCs w:val="24"/>
        </w:rPr>
      </w:pPr>
    </w:p>
    <w:p>
      <w:pPr>
        <w:widowControl w:val="0"/>
        <w:spacing w:before="0" w:after="0" w:line="360" w:lineRule="auto"/>
        <w:jc w:val="left"/>
        <w:rPr>
          <w:rFonts w:eastAsia="Times New Roman"/>
          <w:noProof/>
          <w:szCs w:val="20"/>
        </w:rPr>
      </w:pPr>
      <w:r>
        <w:rPr>
          <w:noProof/>
        </w:rPr>
        <w:t>Tehty Brysselissä … päivänä …kuuta …..</w:t>
      </w:r>
    </w:p>
    <w:p>
      <w:pPr>
        <w:widowControl w:val="0"/>
        <w:spacing w:before="0" w:after="0" w:line="360" w:lineRule="auto"/>
        <w:jc w:val="left"/>
        <w:rPr>
          <w:rFonts w:eastAsia="Times New Roman"/>
          <w:noProof/>
          <w:szCs w:val="20"/>
        </w:rPr>
      </w:pPr>
    </w:p>
    <w:p>
      <w:pPr>
        <w:widowControl w:val="0"/>
        <w:tabs>
          <w:tab w:val="left" w:pos="3686"/>
        </w:tabs>
        <w:spacing w:before="0" w:after="0" w:line="360" w:lineRule="auto"/>
        <w:jc w:val="left"/>
        <w:rPr>
          <w:rFonts w:eastAsia="Times New Roman"/>
          <w:noProof/>
          <w:szCs w:val="20"/>
        </w:rPr>
      </w:pPr>
      <w:r>
        <w:rPr>
          <w:noProof/>
        </w:rPr>
        <w:t>Euroopan unionin puolesta</w:t>
      </w:r>
      <w:r>
        <w:rPr>
          <w:noProof/>
        </w:rPr>
        <w:tab/>
        <w:t>Islannin puolesta</w:t>
      </w:r>
    </w:p>
    <w:p>
      <w:pPr>
        <w:jc w:val="center"/>
        <w:outlineLvl w:val="0"/>
        <w:rPr>
          <w:noProof/>
          <w:szCs w:val="24"/>
        </w:rPr>
      </w:pPr>
      <w:r>
        <w:rPr>
          <w:noProof/>
        </w:rPr>
        <w:br w:type="page"/>
        <w:t xml:space="preserve">LIITE </w:t>
      </w:r>
    </w:p>
    <w:p>
      <w:pPr>
        <w:spacing w:after="480"/>
        <w:jc w:val="center"/>
        <w:rPr>
          <w:caps/>
          <w:noProof/>
          <w:szCs w:val="24"/>
        </w:rPr>
      </w:pPr>
      <w:r>
        <w:rPr>
          <w:caps/>
          <w:noProof/>
        </w:rPr>
        <w:t>Kaava vuosien 2019 ja 2020 rahoitusosuuksien laskemiseen ja maksutiedot</w:t>
      </w:r>
    </w:p>
    <w:p>
      <w:pPr>
        <w:spacing w:before="0"/>
        <w:rPr>
          <w:noProof/>
          <w:szCs w:val="24"/>
        </w:rPr>
      </w:pPr>
      <w:r>
        <w:rPr>
          <w:noProof/>
        </w:rPr>
        <w:t xml:space="preserve">Asetuksen (EU) N:o 515/2014 5 artiklan 7 kohdan toisessa ja kolmannessa alakohdassa tarkoitettu Islannin rahoitusosuus ulkorajojen ja viisumipolitiikan rahoitusvälineeseen vuosina 2019 ja 2020 lasketaan seuraavasti: </w:t>
      </w:r>
    </w:p>
    <w:p>
      <w:pPr>
        <w:ind w:left="860"/>
        <w:rPr>
          <w:noProof/>
          <w:szCs w:val="24"/>
        </w:rPr>
      </w:pPr>
      <w:r>
        <w:rPr>
          <w:noProof/>
        </w:rPr>
        <w:t>Maaliskuun 31 päivänä 2019 käytettävissä olevat Islannin bruttokansantuotteen (BKT) lopulliset vuotuiset luvut vuosilta 2013–2017 jaetaan kaikkien ulkorajojen ja viisumipolitiikan rahoitusvälineeseen osallistuvien valtioiden kyseisen vuoden BKT-lukujen yhteissummalla. Vuosilta 2013–2017 saatujen viiden prosenttiosuuden keskiarvon mukainen määrä ulkorajojen ja viisumipolitiikan rahoitusvälineen todellisten vuotuisten määrärahojen summasta vuosilta 2014–2019 ja ulkorajojen ja viisumipolitiikan rahoitusvälineen vuoden 2020 maksusitoumusmäärärahoista, sellaisina kuin ne on kirjattu komission esitykseen Euroopan unionin yleiseksi talousarvioksi varainhoitovuotta 2020 varten, on Islannin maksettavaksi tuleva kokonaismäärä ulkorajojen ja viisumipolitiikan rahoitusvälineen koko täytäntöönpanokaudelta. Tästä määrästä vähennetään Islannin tämän sopimuksen 10 artiklan 1 kohdan mukaisesti tosiasiallisesti suorittamat vuotuiset maksut, jotta saadaan vuosien 2019 ja 2020 rahoitusosuuksien yhteismäärä. Tästä määrästä maksetaan puolet vuonna 2019 ja loput vuonna 2020.</w:t>
      </w:r>
    </w:p>
    <w:p>
      <w:pPr>
        <w:outlineLvl w:val="0"/>
        <w:rPr>
          <w:noProof/>
          <w:szCs w:val="24"/>
        </w:rPr>
      </w:pPr>
      <w:r>
        <w:rPr>
          <w:noProof/>
        </w:rPr>
        <w:t>Rahoitusosuus maksetaan euroina.</w:t>
      </w:r>
    </w:p>
    <w:p>
      <w:pPr>
        <w:spacing w:before="0"/>
        <w:outlineLvl w:val="0"/>
        <w:rPr>
          <w:noProof/>
          <w:szCs w:val="24"/>
        </w:rPr>
      </w:pPr>
      <w:r>
        <w:rPr>
          <w:noProof/>
        </w:rPr>
        <w:t xml:space="preserve">Islannin on maksettava rahoitusosuutensa 45 päivän kuluessa veloitusilmoituksen vastaanottamisesta. Jos rahoitusosuuden maksu viivästyy, maksamattomasta määrästä kertyy viivästyskorkoa eräpäivästä alkaen. Korkona käytetään Euroopan keskuspankin perusrahoitusoperaatioihinsa soveltaman korkokannan mukaista </w:t>
      </w:r>
      <w:r>
        <w:rPr>
          <w:i/>
          <w:noProof/>
        </w:rPr>
        <w:t>Euroopan unionin virallisen lehden</w:t>
      </w:r>
      <w:r>
        <w:rPr>
          <w:noProof/>
        </w:rPr>
        <w:t xml:space="preserve"> C-sarjassa julkaistua, erääntymiskuukauden ensimmäisenä päivänä voimassa olevaa korkoa korotettuna 3,5 prosenttiyksiköllä.</w:t>
      </w:r>
    </w:p>
    <w:p>
      <w:pPr>
        <w:rPr>
          <w:noProof/>
        </w:rPr>
      </w:pPr>
    </w:p>
    <w:p>
      <w:pPr>
        <w:rPr>
          <w:noProof/>
        </w:rPr>
      </w:pP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EYVL L 176, 10.7.1999, s. 36. </w:t>
      </w:r>
    </w:p>
  </w:footnote>
  <w:footnote w:id="2">
    <w:p>
      <w:pPr>
        <w:pStyle w:val="FootnoteText"/>
      </w:pPr>
      <w:r>
        <w:rPr>
          <w:rStyle w:val="FootnoteReference"/>
        </w:rPr>
        <w:footnoteRef/>
      </w:r>
      <w:r>
        <w:tab/>
        <w:t>Euroopan parlamentin ja neuvoston asetus (EU) N:o 515/2014, annettu 16 päivänä huhtikuuta 2014, ulkorajojen ja viisumipolitiikan rahoitusvälineen perustamisesta osana sisäisen turvallisuuden rahastoa ja päätöksen N:o 574/2007/EY kumoamisesta (EUVL L 150, 20.5.2014, s. 143).</w:t>
      </w:r>
    </w:p>
  </w:footnote>
  <w:footnote w:id="3">
    <w:p>
      <w:pPr>
        <w:pStyle w:val="FootnoteText"/>
      </w:pPr>
      <w:r>
        <w:rPr>
          <w:rStyle w:val="FootnoteReference"/>
        </w:rPr>
        <w:footnoteRef/>
      </w:r>
      <w:r>
        <w:tab/>
        <w:t>Euroopan parlamentin ja neuvoston asetus (EU) N:o 514/2014, annettu 16 päivänä huhtikuuta 2014, turvapaikka-, maahanmuutto- ja kotouttamisrahastoon sekä poliisiyhteistyön, rikollisuuden ehkäisemisen ja torjumisen sekä kriisinhallinnan rahoitusvälineeseen sovellettavista yleisistä säännöksistä (EUVL L 150, 20.5.2014, s. 112).</w:t>
      </w:r>
    </w:p>
  </w:footnote>
  <w:footnote w:id="4">
    <w:p>
      <w:pPr>
        <w:pStyle w:val="FootnoteText"/>
      </w:pPr>
      <w:r>
        <w:rPr>
          <w:rStyle w:val="FootnoteReference"/>
        </w:rPr>
        <w:footnoteRef/>
      </w:r>
      <w:r>
        <w:tab/>
        <w:t>Euroopan parlamentin ja neuvoston asetus (EU, Euratom) N:o 966/2012, annettu 25 päivänä lokakuuta 2012, unionin yleiseen talousarvioon sovellettavista varainhoitosäännöistä ja neuvoston asetuksen (EY, Euratom) N:o 1605/2002 kumoamisesta (EUVL L 298, 26.10.2012, s. 1), sellaisena kuin se on viimeksi muutettuna 15 päivänä toukokuuta 2014 annetulla asetuksella (EU, Euratom) N:o 547/2014 (EUVL L 163, 29.5.2014, s. 18).</w:t>
      </w:r>
    </w:p>
  </w:footnote>
  <w:footnote w:id="5">
    <w:p>
      <w:pPr>
        <w:pStyle w:val="FootnoteText"/>
      </w:pPr>
      <w:r>
        <w:rPr>
          <w:rStyle w:val="FootnoteReference"/>
        </w:rPr>
        <w:footnoteRef/>
      </w:r>
      <w:r>
        <w:tab/>
        <w:t>Komission delegoitu asetus (EU) N:o 1268/2012 unionin yleiseen talousarvioon sovellettavista varainhoitosäännöistä annetun Euroopan parlamentin ja neuvoston asetuksen (EU, Euratom) N:o 966/2012 soveltamissäännöistä (EUVL L 362, 31.12.2012, s. 1).</w:t>
      </w:r>
    </w:p>
  </w:footnote>
  <w:footnote w:id="6">
    <w:p>
      <w:pPr>
        <w:pStyle w:val="FootnoteText"/>
      </w:pPr>
      <w:r>
        <w:rPr>
          <w:rStyle w:val="FootnoteReference"/>
        </w:rPr>
        <w:footnoteRef/>
      </w:r>
      <w:r>
        <w:tab/>
        <w:t>Neuvoston asetus (Euratom, EY) N:o 2185/96 komission paikan päällä suorittamista tarkastuksista ja todentamisista Euroopan yhteisöjen taloudellisiin etuihin kohdistuvien petosten ja muiden väärinkäytösten estämiseksi (EYVL L 292, 15.11.1996, s. 2).</w:t>
      </w:r>
    </w:p>
  </w:footnote>
  <w:footnote w:id="7">
    <w:p>
      <w:pPr>
        <w:pStyle w:val="FootnoteText"/>
      </w:pPr>
      <w:r>
        <w:rPr>
          <w:rStyle w:val="FootnoteReference"/>
        </w:rPr>
        <w:footnoteRef/>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8">
    <w:p>
      <w:pPr>
        <w:pStyle w:val="FootnoteText"/>
      </w:pPr>
      <w:r>
        <w:rPr>
          <w:rStyle w:val="FootnoteReference"/>
        </w:rPr>
        <w:footnoteRef/>
      </w:r>
      <w:r>
        <w:tab/>
        <w:t>EYVL L 1, 3.1.1994, s. 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610B3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E86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0497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14C9F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81E60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EDA0A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F8C3B69"/>
    <w:multiLevelType w:val="multilevel"/>
    <w:tmpl w:val="9B14DAA8"/>
    <w:name w:val="List Number"/>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9"/>
  </w:num>
  <w:num w:numId="19">
    <w:abstractNumId w:val="9"/>
  </w:num>
  <w:num w:numId="20">
    <w:abstractNumId w:val="11"/>
  </w:num>
  <w:num w:numId="21">
    <w:abstractNumId w:val="7"/>
  </w:num>
  <w:num w:numId="22">
    <w:abstractNumId w:val="18"/>
  </w:num>
  <w:num w:numId="23">
    <w:abstractNumId w:val="6"/>
  </w:num>
  <w:num w:numId="24">
    <w:abstractNumId w:val="12"/>
  </w:num>
  <w:num w:numId="25">
    <w:abstractNumId w:val="14"/>
  </w:num>
  <w:num w:numId="26">
    <w:abstractNumId w:val="15"/>
  </w:num>
  <w:num w:numId="27">
    <w:abstractNumId w:val="8"/>
  </w:num>
  <w:num w:numId="28">
    <w:abstractNumId w:val="13"/>
  </w:num>
  <w:num w:numId="29">
    <w:abstractNumId w:val="20"/>
  </w:num>
  <w:num w:numId="30">
    <w:abstractNumId w:val="16"/>
  </w:num>
  <w:num w:numId="31">
    <w:abstractNumId w:val="10"/>
  </w:num>
  <w:num w:numId="32">
    <w:abstractNumId w:val="19"/>
  </w:num>
  <w:num w:numId="33">
    <w:abstractNumId w:val="9"/>
  </w:num>
  <w:num w:numId="34">
    <w:abstractNumId w:val="11"/>
  </w:num>
  <w:num w:numId="35">
    <w:abstractNumId w:val="7"/>
  </w:num>
  <w:num w:numId="36">
    <w:abstractNumId w:val="18"/>
  </w:num>
  <w:num w:numId="37">
    <w:abstractNumId w:val="6"/>
  </w:num>
  <w:num w:numId="38">
    <w:abstractNumId w:val="12"/>
  </w:num>
  <w:num w:numId="39">
    <w:abstractNumId w:val="14"/>
  </w:num>
  <w:num w:numId="40">
    <w:abstractNumId w:val="15"/>
  </w:num>
  <w:num w:numId="41">
    <w:abstractNumId w:val="8"/>
  </w:num>
  <w:num w:numId="42">
    <w:abstractNumId w:val="13"/>
  </w:num>
  <w:num w:numId="4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8:16: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ECBF81AE76CA4494920CDE8AC8C4BE3A"/>
    <w:docVar w:name="LW_CROSSREFERENCE" w:val="&lt;UNUSED&gt;"/>
    <w:docVar w:name="LW_DocType" w:val="ANNEX"/>
    <w:docVar w:name="LW_EMISSION" w:val="8.5.2017"/>
    <w:docVar w:name="LW_EMISSION_ISODATE" w:val="2017-05-08"/>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ulkorajojen ja viisumipolitiikan rahoitusvälineeseen osana sisäisen turvallisuuden rahastoa liittyviä täydentäviä sääntöjä vuosiksi 2014\u8211?2020 koskevan Euroopan unionin ja Islannin välisen sopimuksen tekemisestä Euroopan unionin puolesta"/>
    <w:docVar w:name="LW_PART_NBR" w:val="1"/>
    <w:docVar w:name="LW_PART_NBR_TOTAL" w:val="1"/>
    <w:docVar w:name="LW_REF.INST.NEW" w:val="COM"/>
    <w:docVar w:name="LW_REF.INST.NEW_ADOPTED" w:val="final"/>
    <w:docVar w:name="LW_REF.INST.NEW_TEXT" w:val="(2017) 199"/>
    <w:docVar w:name="LW_REF.INTERNE" w:val="&lt;UNUSED&gt;"/>
    <w:docVar w:name="LW_SUPERTITRE" w:val="&lt;UNUSED&gt;"/>
    <w:docVar w:name="LW_TITRE.OBJ.CP" w:val="&lt;UNUSED&gt;"/>
    <w:docVar w:name="LW_TYPE.DOC.CP" w:val="LIITE"/>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Emphasis">
    <w:name w:val="Emphasis"/>
    <w:qFormat/>
    <w:rPr>
      <w:rFonts w:ascii="Times New Roman" w:hAnsi="Times New Roman" w:cs="Times New Roman" w:hint="default"/>
      <w:i/>
      <w:iCs/>
    </w:rPr>
  </w:style>
  <w:style w:type="paragraph" w:styleId="ListNumber">
    <w:name w:val="List Number"/>
    <w:basedOn w:val="Normal"/>
    <w:semiHidden/>
    <w:unhideWhenUsed/>
    <w:pPr>
      <w:numPr>
        <w:numId w:val="1"/>
      </w:numPr>
    </w:pPr>
    <w:rPr>
      <w:rFonts w:eastAsia="Times New Roman"/>
      <w:szCs w:val="24"/>
    </w:rPr>
  </w:style>
  <w:style w:type="paragraph" w:styleId="ListBullet2">
    <w:name w:val="List Bullet 2"/>
    <w:basedOn w:val="Normal"/>
    <w:unhideWhenUsed/>
    <w:rPr>
      <w:rFonts w:eastAsia="Times New Roman"/>
      <w:szCs w:val="24"/>
    </w:rPr>
  </w:style>
  <w:style w:type="paragraph" w:customStyle="1" w:styleId="ListNumberLevel2">
    <w:name w:val="List Number (Level 2)"/>
    <w:basedOn w:val="Normal"/>
    <w:pPr>
      <w:numPr>
        <w:ilvl w:val="1"/>
        <w:numId w:val="1"/>
      </w:numPr>
    </w:pPr>
    <w:rPr>
      <w:rFonts w:eastAsia="Times New Roman"/>
      <w:szCs w:val="24"/>
    </w:rPr>
  </w:style>
  <w:style w:type="paragraph" w:customStyle="1" w:styleId="ListNumberLevel3">
    <w:name w:val="List Number (Level 3)"/>
    <w:basedOn w:val="Normal"/>
    <w:pPr>
      <w:numPr>
        <w:ilvl w:val="2"/>
        <w:numId w:val="1"/>
      </w:numPr>
    </w:pPr>
    <w:rPr>
      <w:rFonts w:eastAsia="Times New Roman"/>
      <w:szCs w:val="24"/>
    </w:rPr>
  </w:style>
  <w:style w:type="paragraph" w:customStyle="1" w:styleId="ListNumberLevel4">
    <w:name w:val="List Number (Level 4)"/>
    <w:basedOn w:val="Normal"/>
    <w:pPr>
      <w:numPr>
        <w:ilvl w:val="3"/>
        <w:numId w:val="1"/>
      </w:numPr>
    </w:pPr>
    <w:rPr>
      <w:rFonts w:eastAsia="Times New Roman"/>
      <w:szCs w:val="24"/>
    </w:r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Emphasis">
    <w:name w:val="Emphasis"/>
    <w:qFormat/>
    <w:rPr>
      <w:rFonts w:ascii="Times New Roman" w:hAnsi="Times New Roman" w:cs="Times New Roman" w:hint="default"/>
      <w:i/>
      <w:iCs/>
    </w:rPr>
  </w:style>
  <w:style w:type="paragraph" w:styleId="ListNumber">
    <w:name w:val="List Number"/>
    <w:basedOn w:val="Normal"/>
    <w:semiHidden/>
    <w:unhideWhenUsed/>
    <w:pPr>
      <w:numPr>
        <w:numId w:val="1"/>
      </w:numPr>
    </w:pPr>
    <w:rPr>
      <w:rFonts w:eastAsia="Times New Roman"/>
      <w:szCs w:val="24"/>
    </w:rPr>
  </w:style>
  <w:style w:type="paragraph" w:styleId="ListBullet2">
    <w:name w:val="List Bullet 2"/>
    <w:basedOn w:val="Normal"/>
    <w:unhideWhenUsed/>
    <w:rPr>
      <w:rFonts w:eastAsia="Times New Roman"/>
      <w:szCs w:val="24"/>
    </w:rPr>
  </w:style>
  <w:style w:type="paragraph" w:customStyle="1" w:styleId="ListNumberLevel2">
    <w:name w:val="List Number (Level 2)"/>
    <w:basedOn w:val="Normal"/>
    <w:pPr>
      <w:numPr>
        <w:ilvl w:val="1"/>
        <w:numId w:val="1"/>
      </w:numPr>
    </w:pPr>
    <w:rPr>
      <w:rFonts w:eastAsia="Times New Roman"/>
      <w:szCs w:val="24"/>
    </w:rPr>
  </w:style>
  <w:style w:type="paragraph" w:customStyle="1" w:styleId="ListNumberLevel3">
    <w:name w:val="List Number (Level 3)"/>
    <w:basedOn w:val="Normal"/>
    <w:pPr>
      <w:numPr>
        <w:ilvl w:val="2"/>
        <w:numId w:val="1"/>
      </w:numPr>
    </w:pPr>
    <w:rPr>
      <w:rFonts w:eastAsia="Times New Roman"/>
      <w:szCs w:val="24"/>
    </w:rPr>
  </w:style>
  <w:style w:type="paragraph" w:customStyle="1" w:styleId="ListNumberLevel4">
    <w:name w:val="List Number (Level 4)"/>
    <w:basedOn w:val="Normal"/>
    <w:pPr>
      <w:numPr>
        <w:ilvl w:val="3"/>
        <w:numId w:val="1"/>
      </w:numPr>
    </w:pPr>
    <w:rPr>
      <w:rFonts w:eastAsia="Times New Roman"/>
      <w:szCs w:val="24"/>
    </w:r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599">
      <w:bodyDiv w:val="1"/>
      <w:marLeft w:val="0"/>
      <w:marRight w:val="0"/>
      <w:marTop w:val="0"/>
      <w:marBottom w:val="0"/>
      <w:divBdr>
        <w:top w:val="none" w:sz="0" w:space="0" w:color="auto"/>
        <w:left w:val="none" w:sz="0" w:space="0" w:color="auto"/>
        <w:bottom w:val="none" w:sz="0" w:space="0" w:color="auto"/>
        <w:right w:val="none" w:sz="0" w:space="0" w:color="auto"/>
      </w:divBdr>
    </w:div>
    <w:div w:id="8236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9E32-E5E4-440E-A175-C8DC0A3F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2420</Words>
  <Characters>19121</Characters>
  <Application>Microsoft Office Word</Application>
  <DocSecurity>0</DocSecurity>
  <Lines>354</Lines>
  <Paragraphs>159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DARDOUFAS Emmanouil (HOME)</dc:creator>
  <cp:lastModifiedBy>DIGIT/A3</cp:lastModifiedBy>
  <cp:revision>7</cp:revision>
  <cp:lastPrinted>2016-04-29T15:26:00Z</cp:lastPrinted>
  <dcterms:created xsi:type="dcterms:W3CDTF">2017-04-26T12:18:00Z</dcterms:created>
  <dcterms:modified xsi:type="dcterms:W3CDTF">2017-05-02T16:16:00Z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