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D3B" w:rsidRDefault="000C19A6" w:rsidP="000C19A6">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7DB66147071842B89C9DF627695CF0AC" style="width:450.6pt;height:294.2pt">
            <v:imagedata r:id="rId9" o:title=""/>
          </v:shape>
        </w:pict>
      </w:r>
    </w:p>
    <w:bookmarkEnd w:id="0"/>
    <w:p w:rsidR="00CD0D3B" w:rsidRDefault="00CD0D3B">
      <w:pPr>
        <w:rPr>
          <w:noProof/>
        </w:rPr>
        <w:sectPr w:rsidR="00CD0D3B" w:rsidSect="000C19A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CD0D3B" w:rsidRDefault="000C19A6">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lastRenderedPageBreak/>
        <w:t>Predgovor</w:t>
      </w:r>
    </w:p>
    <w:p w:rsidR="00CD0D3B" w:rsidRDefault="000C19A6">
      <w:pPr>
        <w:spacing w:after="120" w:line="240" w:lineRule="auto"/>
        <w:jc w:val="both"/>
        <w:rPr>
          <w:rFonts w:ascii="Times New Roman" w:hAnsi="Times New Roman"/>
          <w:noProof/>
          <w:color w:val="000000"/>
          <w:sz w:val="24"/>
        </w:rPr>
      </w:pPr>
      <w:r>
        <w:rPr>
          <w:rFonts w:ascii="Times New Roman" w:hAnsi="Times New Roman"/>
          <w:noProof/>
          <w:color w:val="000000"/>
          <w:sz w:val="24"/>
        </w:rPr>
        <w:t xml:space="preserve">Europska komisija predstavila je 1. ožujka 2017. Bijelu knjigu o budućnosti Europe, koja </w:t>
      </w:r>
      <w:r>
        <w:rPr>
          <w:rFonts w:ascii="Times New Roman" w:hAnsi="Times New Roman"/>
          <w:noProof/>
          <w:color w:val="000000"/>
          <w:sz w:val="24"/>
        </w:rPr>
        <w:t>je ishodište iskrene i opširne rasprave o budućnosti Unije i njezinih 27 država članica. Kao dodatan doprinos raspravi Europska komisija objavljuje niz dokumenata za razmatranje o ključnim temama koji će definirati dolazeće godine.</w:t>
      </w:r>
    </w:p>
    <w:p w:rsidR="00CD0D3B" w:rsidRDefault="000C19A6">
      <w:pPr>
        <w:spacing w:after="120" w:line="240" w:lineRule="auto"/>
        <w:jc w:val="both"/>
        <w:rPr>
          <w:rFonts w:ascii="Times New Roman" w:hAnsi="Times New Roman"/>
          <w:noProof/>
          <w:color w:val="000000"/>
          <w:sz w:val="24"/>
        </w:rPr>
      </w:pPr>
      <w:r>
        <w:rPr>
          <w:rFonts w:ascii="Times New Roman" w:hAnsi="Times New Roman"/>
          <w:noProof/>
          <w:color w:val="000000"/>
          <w:sz w:val="24"/>
        </w:rPr>
        <w:t>Drugi je u toj seriji ov</w:t>
      </w:r>
      <w:r>
        <w:rPr>
          <w:rFonts w:ascii="Times New Roman" w:hAnsi="Times New Roman"/>
          <w:noProof/>
          <w:color w:val="000000"/>
          <w:sz w:val="24"/>
        </w:rPr>
        <w:t>aj dokument o svladavanju globalizacije. Njime se želi objektivno i utemeljeno ocijeniti što globalizacija znači za Europu i Europljane.</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Mnogi Europljani, osobito mlađi, uviđaju kako povezanost s osobama u drugim zemljama i na drugim kontinentima poboljšav</w:t>
      </w:r>
      <w:r>
        <w:rPr>
          <w:rFonts w:ascii="Times New Roman" w:hAnsi="Times New Roman"/>
          <w:noProof/>
          <w:sz w:val="24"/>
        </w:rPr>
        <w:t xml:space="preserve">a njihove živote. U pravu su – oko </w:t>
      </w:r>
      <w:r>
        <w:rPr>
          <w:rFonts w:ascii="Times New Roman" w:hAnsi="Times New Roman"/>
          <w:noProof/>
          <w:color w:val="000000" w:themeColor="text1"/>
          <w:sz w:val="24"/>
        </w:rPr>
        <w:t>trećine našeg nacionalnog dohotka rezultat je trgovine s ostatkom svijeta.</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Međutim mnogo ih je i zabrinuto. Njima je globalizacija sinonim za gubitak radnih mjesta, socijalne nepravde te niske standarde u području okoliša</w:t>
      </w:r>
      <w:r>
        <w:rPr>
          <w:rFonts w:ascii="Times New Roman" w:hAnsi="Times New Roman"/>
          <w:noProof/>
          <w:sz w:val="24"/>
        </w:rPr>
        <w:t xml:space="preserve">, zdravlja i privatnosti. Doživljavaju je kao čimbenik koji pridonosi eroziji tradicije i identiteta. Te zabrinutosti treba razriješiti, a to je moguće samo ako se s problemima otvoreno suočimo. Iz rasprave trebamo izaći jači i bolje pripremljeni za to da </w:t>
      </w:r>
      <w:r>
        <w:rPr>
          <w:rFonts w:ascii="Times New Roman" w:hAnsi="Times New Roman"/>
          <w:noProof/>
          <w:sz w:val="24"/>
        </w:rPr>
        <w:t xml:space="preserve">ponudimo održive i pravedne odgovore na želje Europljana. </w:t>
      </w:r>
    </w:p>
    <w:p w:rsidR="00CD0D3B" w:rsidRDefault="000C19A6">
      <w:pPr>
        <w:spacing w:after="120" w:line="240" w:lineRule="auto"/>
        <w:jc w:val="both"/>
        <w:rPr>
          <w:rFonts w:ascii="Times New Roman" w:hAnsi="Times New Roman"/>
          <w:noProof/>
          <w:color w:val="000000"/>
          <w:sz w:val="24"/>
        </w:rPr>
      </w:pPr>
      <w:r>
        <w:rPr>
          <w:rFonts w:ascii="Times New Roman" w:hAnsi="Times New Roman"/>
          <w:noProof/>
          <w:color w:val="000000"/>
          <w:sz w:val="24"/>
        </w:rPr>
        <w:t>Danas, više nego ikada, lokalna se pitanja pretvaraju u globalna i obrnuto. Dok globalizacija utječe na gotovo sve aspekte naših života, iskustva naših građana i regija u tome znatno se razlikuju.</w:t>
      </w:r>
    </w:p>
    <w:p w:rsidR="00CD0D3B" w:rsidRDefault="000C19A6">
      <w:pPr>
        <w:spacing w:after="120" w:line="240" w:lineRule="auto"/>
        <w:jc w:val="both"/>
        <w:rPr>
          <w:rFonts w:ascii="Times New Roman" w:hAnsi="Times New Roman"/>
          <w:noProof/>
          <w:color w:val="000000"/>
          <w:sz w:val="24"/>
        </w:rPr>
      </w:pPr>
      <w:r>
        <w:rPr>
          <w:rFonts w:ascii="Times New Roman" w:hAnsi="Times New Roman"/>
          <w:noProof/>
          <w:color w:val="000000"/>
          <w:sz w:val="24"/>
        </w:rPr>
        <w:t>Stoga je sada trenutak da razmotrimo što EU može učiniti u prilagodbi globalizacije našim interesima i vrijednostima. Trenutak je da se zapitamo što možemo učiniti kako bismo obranili i osnažili građane Europe, osobito one najranjivije. Trenutak je i da se</w:t>
      </w:r>
      <w:r>
        <w:rPr>
          <w:rFonts w:ascii="Times New Roman" w:hAnsi="Times New Roman"/>
          <w:noProof/>
          <w:color w:val="000000"/>
          <w:sz w:val="24"/>
        </w:rPr>
        <w:t xml:space="preserve"> EU – sa svojim institucijama, državama članicama, regijama, lokalnom samoupravom, socijalnim partnerima, širim civilnim društvom, poduzećima, sveučilištima – i međunarodni partneri dogovore kako se mogu udružiti i svladati globalizaciju.</w:t>
      </w:r>
    </w:p>
    <w:p w:rsidR="00CD0D3B" w:rsidRDefault="00CD0D3B">
      <w:pPr>
        <w:spacing w:after="120" w:line="240" w:lineRule="auto"/>
        <w:jc w:val="both"/>
        <w:rPr>
          <w:rFonts w:ascii="Times New Roman" w:hAnsi="Times New Roman"/>
          <w:noProof/>
          <w:color w:val="000000"/>
          <w:sz w:val="24"/>
        </w:rPr>
      </w:pPr>
    </w:p>
    <w:p w:rsidR="00CD0D3B" w:rsidRDefault="00CD0D3B">
      <w:pPr>
        <w:spacing w:after="120" w:line="240" w:lineRule="auto"/>
        <w:jc w:val="both"/>
        <w:rPr>
          <w:rFonts w:ascii="Times New Roman" w:hAnsi="Times New Roman"/>
          <w:b/>
          <w:smallCaps/>
          <w:noProof/>
          <w:color w:val="000000" w:themeColor="text1"/>
          <w:sz w:val="24"/>
        </w:rPr>
      </w:pPr>
    </w:p>
    <w:p w:rsidR="00CD0D3B" w:rsidRDefault="00CD0D3B">
      <w:pPr>
        <w:spacing w:after="120" w:line="240" w:lineRule="auto"/>
        <w:jc w:val="both"/>
        <w:rPr>
          <w:rFonts w:ascii="Times New Roman" w:eastAsia="Times New Roman" w:hAnsi="Times New Roman" w:cs="Times New Roman"/>
          <w:b/>
          <w:smallCaps/>
          <w:noProof/>
          <w:color w:val="000000" w:themeColor="text1"/>
          <w:sz w:val="24"/>
          <w:szCs w:val="24"/>
        </w:rPr>
      </w:pPr>
    </w:p>
    <w:p w:rsidR="00CD0D3B" w:rsidRDefault="00CD0D3B">
      <w:pPr>
        <w:spacing w:after="120" w:line="240" w:lineRule="auto"/>
        <w:jc w:val="both"/>
        <w:rPr>
          <w:rFonts w:ascii="Times New Roman" w:eastAsia="Times New Roman" w:hAnsi="Times New Roman" w:cs="Times New Roman"/>
          <w:b/>
          <w:smallCaps/>
          <w:noProof/>
          <w:color w:val="000000" w:themeColor="text1"/>
          <w:sz w:val="24"/>
          <w:szCs w:val="24"/>
        </w:rPr>
      </w:pPr>
    </w:p>
    <w:p w:rsidR="00CD0D3B" w:rsidRDefault="00CD0D3B">
      <w:pPr>
        <w:spacing w:after="120" w:line="240" w:lineRule="auto"/>
        <w:jc w:val="both"/>
        <w:rPr>
          <w:rFonts w:ascii="Times New Roman" w:eastAsia="Times New Roman" w:hAnsi="Times New Roman" w:cs="Times New Roman"/>
          <w:b/>
          <w:smallCaps/>
          <w:noProof/>
          <w:color w:val="000000" w:themeColor="text1"/>
          <w:sz w:val="24"/>
          <w:szCs w:val="24"/>
        </w:rPr>
      </w:pPr>
    </w:p>
    <w:p w:rsidR="00CD0D3B" w:rsidRDefault="00CD0D3B">
      <w:pPr>
        <w:spacing w:after="120" w:line="240" w:lineRule="auto"/>
        <w:jc w:val="both"/>
        <w:rPr>
          <w:rFonts w:ascii="Times New Roman" w:eastAsia="Times New Roman" w:hAnsi="Times New Roman" w:cs="Times New Roman"/>
          <w:b/>
          <w:smallCaps/>
          <w:noProof/>
          <w:color w:val="000000" w:themeColor="text1"/>
          <w:sz w:val="24"/>
          <w:szCs w:val="24"/>
        </w:rPr>
      </w:pPr>
    </w:p>
    <w:p w:rsidR="00CD0D3B" w:rsidRDefault="00CD0D3B">
      <w:pPr>
        <w:spacing w:after="120" w:line="240" w:lineRule="auto"/>
        <w:jc w:val="both"/>
        <w:rPr>
          <w:rFonts w:ascii="Times New Roman" w:eastAsia="Times New Roman" w:hAnsi="Times New Roman" w:cs="Times New Roman"/>
          <w:b/>
          <w:smallCaps/>
          <w:noProof/>
          <w:color w:val="000000" w:themeColor="text1"/>
          <w:sz w:val="24"/>
          <w:szCs w:val="24"/>
        </w:rPr>
      </w:pPr>
    </w:p>
    <w:p w:rsidR="00CD0D3B" w:rsidRDefault="00CD0D3B">
      <w:pPr>
        <w:spacing w:after="120" w:line="240" w:lineRule="auto"/>
        <w:jc w:val="both"/>
        <w:rPr>
          <w:rFonts w:ascii="Times New Roman" w:eastAsia="Times New Roman" w:hAnsi="Times New Roman" w:cs="Times New Roman"/>
          <w:b/>
          <w:smallCaps/>
          <w:noProof/>
          <w:color w:val="000000" w:themeColor="text1"/>
          <w:sz w:val="24"/>
          <w:szCs w:val="24"/>
        </w:rPr>
      </w:pPr>
    </w:p>
    <w:p w:rsidR="00CD0D3B" w:rsidRDefault="000C19A6">
      <w:pPr>
        <w:rPr>
          <w:rFonts w:ascii="Times New Roman" w:hAnsi="Times New Roman"/>
          <w:b/>
          <w:smallCaps/>
          <w:noProof/>
          <w:color w:val="000000" w:themeColor="text1"/>
          <w:sz w:val="24"/>
        </w:rPr>
      </w:pPr>
      <w:r>
        <w:rPr>
          <w:noProof/>
        </w:rPr>
        <w:br w:type="page"/>
      </w:r>
    </w:p>
    <w:p w:rsidR="00CD0D3B" w:rsidRDefault="00CD0D3B">
      <w:pPr>
        <w:spacing w:after="120" w:line="240" w:lineRule="auto"/>
        <w:jc w:val="both"/>
        <w:rPr>
          <w:rFonts w:ascii="Times New Roman" w:hAnsi="Times New Roman"/>
          <w:b/>
          <w:smallCaps/>
          <w:noProof/>
          <w:color w:val="000000" w:themeColor="text1"/>
          <w:sz w:val="24"/>
        </w:rPr>
      </w:pPr>
    </w:p>
    <w:p w:rsidR="00CD0D3B" w:rsidRDefault="00CD0D3B">
      <w:pPr>
        <w:spacing w:after="120" w:line="240" w:lineRule="auto"/>
        <w:jc w:val="both"/>
        <w:rPr>
          <w:rFonts w:ascii="Times New Roman" w:hAnsi="Times New Roman"/>
          <w:b/>
          <w:smallCaps/>
          <w:noProof/>
          <w:color w:val="000000" w:themeColor="text1"/>
          <w:sz w:val="24"/>
        </w:rPr>
      </w:pPr>
    </w:p>
    <w:p w:rsidR="00CD0D3B" w:rsidRDefault="000C19A6">
      <w:pPr>
        <w:spacing w:after="120" w:line="240" w:lineRule="auto"/>
        <w:jc w:val="center"/>
        <w:rPr>
          <w:rFonts w:ascii="Times New Roman" w:hAnsi="Times New Roman"/>
          <w:noProof/>
          <w:sz w:val="24"/>
        </w:rPr>
      </w:pPr>
      <w:r>
        <w:rPr>
          <w:rFonts w:ascii="Times New Roman" w:hAnsi="Times New Roman"/>
          <w:noProof/>
          <w:sz w:val="24"/>
        </w:rPr>
        <w:t>Deklaracija čelnika 27 država članica te</w:t>
      </w:r>
    </w:p>
    <w:p w:rsidR="00CD0D3B" w:rsidRDefault="000C19A6">
      <w:pPr>
        <w:spacing w:after="120" w:line="240" w:lineRule="auto"/>
        <w:jc w:val="center"/>
        <w:rPr>
          <w:rFonts w:ascii="Times New Roman" w:hAnsi="Times New Roman"/>
          <w:noProof/>
          <w:sz w:val="24"/>
        </w:rPr>
      </w:pPr>
      <w:r>
        <w:rPr>
          <w:rFonts w:ascii="Times New Roman" w:hAnsi="Times New Roman"/>
          <w:noProof/>
          <w:sz w:val="24"/>
        </w:rPr>
        <w:t>Europskog Vijeća, Europskog parlamenta i Europske komisije</w:t>
      </w:r>
    </w:p>
    <w:p w:rsidR="00CD0D3B" w:rsidRDefault="00CD0D3B">
      <w:pPr>
        <w:spacing w:after="120" w:line="240" w:lineRule="auto"/>
        <w:jc w:val="both"/>
        <w:rPr>
          <w:rFonts w:ascii="Times New Roman" w:hAnsi="Times New Roman"/>
          <w:noProof/>
          <w:sz w:val="24"/>
        </w:rPr>
      </w:pPr>
    </w:p>
    <w:p w:rsidR="00CD0D3B" w:rsidRDefault="00CD0D3B">
      <w:pPr>
        <w:spacing w:after="120" w:line="240" w:lineRule="auto"/>
        <w:jc w:val="both"/>
        <w:rPr>
          <w:rFonts w:ascii="Times New Roman" w:hAnsi="Times New Roman"/>
          <w:noProof/>
          <w:sz w:val="24"/>
        </w:rPr>
      </w:pPr>
    </w:p>
    <w:p w:rsidR="00CD0D3B" w:rsidRDefault="000C19A6">
      <w:pPr>
        <w:spacing w:after="120" w:line="240" w:lineRule="auto"/>
        <w:jc w:val="both"/>
        <w:rPr>
          <w:rFonts w:ascii="Times New Roman" w:hAnsi="Times New Roman"/>
          <w:b/>
          <w:noProof/>
          <w:sz w:val="24"/>
        </w:rPr>
      </w:pPr>
      <w:r>
        <w:rPr>
          <w:rFonts w:ascii="Times New Roman" w:hAnsi="Times New Roman"/>
          <w:noProof/>
          <w:sz w:val="24"/>
        </w:rPr>
        <w:t>„</w:t>
      </w:r>
      <w:r>
        <w:rPr>
          <w:rFonts w:ascii="Times New Roman" w:hAnsi="Times New Roman"/>
          <w:i/>
          <w:noProof/>
          <w:sz w:val="24"/>
        </w:rPr>
        <w:t>Europska unija suočava se s dosad neviđenim izazovima, kako globalnim tako i domaćim: regionalnim sukobima, terorizmom, sve većim migracijskim pritiskom,</w:t>
      </w:r>
      <w:r>
        <w:rPr>
          <w:rFonts w:ascii="Times New Roman" w:hAnsi="Times New Roman"/>
          <w:i/>
          <w:noProof/>
          <w:sz w:val="24"/>
        </w:rPr>
        <w:t xml:space="preserve"> protekcionizmom te društvenim i gospodarskim nejednakostima. Odlučni smo u tome da se zajedno uhvatimo u koštac s izazovima u svijetu koji se ubrzano mijenja te svojim građanima ponudimo sigurnost i nove mogućnosti. Još većim jedinstvom i solidarnošću međ</w:t>
      </w:r>
      <w:r>
        <w:rPr>
          <w:rFonts w:ascii="Times New Roman" w:hAnsi="Times New Roman"/>
          <w:i/>
          <w:noProof/>
          <w:sz w:val="24"/>
        </w:rPr>
        <w:t>u nama te poštovanjem zajedničkih pravila učinit ćemo Europsku uniju jačom i otpornijom. Jedinstvo je nužnost i naš slobodan izbor. Kad bismo djelovali pojedinačno, globalna dinamika nametnula bi nam tek sporednu ulogu. Zajedništvo je naša najbolja šansa d</w:t>
      </w:r>
      <w:r>
        <w:rPr>
          <w:rFonts w:ascii="Times New Roman" w:hAnsi="Times New Roman"/>
          <w:i/>
          <w:noProof/>
          <w:sz w:val="24"/>
        </w:rPr>
        <w:t>a na nju utječemo i da branimo naše zajedničke interese i vrijednosti.</w:t>
      </w:r>
      <w:r>
        <w:rPr>
          <w:rFonts w:ascii="Times New Roman" w:hAnsi="Times New Roman"/>
          <w:noProof/>
          <w:sz w:val="24"/>
        </w:rPr>
        <w:t>”</w:t>
      </w:r>
    </w:p>
    <w:p w:rsidR="00CD0D3B" w:rsidRDefault="00CD0D3B">
      <w:pPr>
        <w:spacing w:after="120" w:line="240" w:lineRule="auto"/>
        <w:jc w:val="both"/>
        <w:rPr>
          <w:rFonts w:ascii="Times New Roman" w:hAnsi="Times New Roman"/>
          <w:b/>
          <w:noProof/>
          <w:sz w:val="24"/>
        </w:rPr>
      </w:pPr>
    </w:p>
    <w:p w:rsidR="00CD0D3B" w:rsidRDefault="00CD0D3B">
      <w:pPr>
        <w:spacing w:after="120" w:line="240" w:lineRule="auto"/>
        <w:jc w:val="both"/>
        <w:rPr>
          <w:rFonts w:ascii="Times New Roman" w:hAnsi="Times New Roman"/>
          <w:noProof/>
          <w:sz w:val="24"/>
        </w:rPr>
      </w:pPr>
    </w:p>
    <w:p w:rsidR="00CD0D3B" w:rsidRDefault="000C19A6">
      <w:pPr>
        <w:spacing w:after="120" w:line="240" w:lineRule="auto"/>
        <w:jc w:val="right"/>
        <w:rPr>
          <w:rFonts w:ascii="Times New Roman" w:hAnsi="Times New Roman"/>
          <w:noProof/>
          <w:sz w:val="24"/>
        </w:rPr>
      </w:pPr>
      <w:r>
        <w:rPr>
          <w:rFonts w:ascii="Times New Roman" w:hAnsi="Times New Roman"/>
          <w:noProof/>
          <w:sz w:val="24"/>
        </w:rPr>
        <w:t>Rim, 25. ožujka 2017.</w:t>
      </w:r>
    </w:p>
    <w:p w:rsidR="00CD0D3B" w:rsidRDefault="00CD0D3B">
      <w:pPr>
        <w:spacing w:after="120" w:line="240" w:lineRule="auto"/>
        <w:jc w:val="right"/>
        <w:rPr>
          <w:noProof/>
        </w:rPr>
      </w:pPr>
    </w:p>
    <w:p w:rsidR="00CD0D3B" w:rsidRDefault="00CD0D3B">
      <w:pPr>
        <w:spacing w:after="120" w:line="240" w:lineRule="auto"/>
        <w:jc w:val="both"/>
        <w:rPr>
          <w:noProof/>
        </w:rPr>
      </w:pPr>
    </w:p>
    <w:p w:rsidR="00CD0D3B" w:rsidRDefault="000C19A6">
      <w:pPr>
        <w:spacing w:after="120" w:line="240" w:lineRule="auto"/>
        <w:jc w:val="both"/>
        <w:rPr>
          <w:rFonts w:ascii="Times New Roman" w:hAnsi="Times New Roman"/>
          <w:i/>
          <w:noProof/>
          <w:sz w:val="24"/>
        </w:rPr>
      </w:pPr>
      <w:r>
        <w:rPr>
          <w:rFonts w:ascii="Times New Roman" w:hAnsi="Times New Roman"/>
          <w:i/>
          <w:noProof/>
          <w:sz w:val="24"/>
        </w:rPr>
        <w:t>„Biti Europljanin znači i biti otvoren i trgovati sa susjedima umjesto da s njima ratujemo. Znači to da smo najveći trgovinski blok u svijetu, koji je sklopio</w:t>
      </w:r>
      <w:r>
        <w:rPr>
          <w:rFonts w:ascii="Times New Roman" w:hAnsi="Times New Roman"/>
          <w:i/>
          <w:noProof/>
          <w:sz w:val="24"/>
        </w:rPr>
        <w:t xml:space="preserve"> trgovinske sporazume ili pregovara o trgovinskim sporazumima s više od 140 partnera diljem svijeta.</w:t>
      </w:r>
    </w:p>
    <w:p w:rsidR="00CD0D3B" w:rsidRDefault="000C19A6">
      <w:pPr>
        <w:spacing w:after="120" w:line="240" w:lineRule="auto"/>
        <w:jc w:val="both"/>
        <w:rPr>
          <w:rFonts w:ascii="Times New Roman" w:hAnsi="Times New Roman"/>
          <w:i/>
          <w:noProof/>
          <w:sz w:val="24"/>
        </w:rPr>
      </w:pPr>
      <w:r>
        <w:rPr>
          <w:rFonts w:ascii="Times New Roman" w:hAnsi="Times New Roman"/>
          <w:i/>
          <w:noProof/>
          <w:sz w:val="24"/>
        </w:rPr>
        <w:t>A trgovina znači zapošljavanje – za svaku milijardu eura ostvarenu izvozom, otvara se dodatnih 14 000 radnih mjesta diljem EU-a. A više od 30 milijuna radn</w:t>
      </w:r>
      <w:r>
        <w:rPr>
          <w:rFonts w:ascii="Times New Roman" w:hAnsi="Times New Roman"/>
          <w:i/>
          <w:noProof/>
          <w:sz w:val="24"/>
        </w:rPr>
        <w:t>ih mjesta, odnosno svako sedmo radno mjesto u EU-u, danas ovisi o izvozu u ostatak svijeta.”</w:t>
      </w:r>
    </w:p>
    <w:p w:rsidR="00CD0D3B" w:rsidRDefault="00CD0D3B">
      <w:pPr>
        <w:spacing w:after="120" w:line="240" w:lineRule="auto"/>
        <w:jc w:val="both"/>
        <w:rPr>
          <w:noProof/>
        </w:rPr>
      </w:pPr>
    </w:p>
    <w:p w:rsidR="00CD0D3B" w:rsidRDefault="000C19A6">
      <w:pPr>
        <w:spacing w:after="120" w:line="240" w:lineRule="auto"/>
        <w:jc w:val="right"/>
        <w:rPr>
          <w:rFonts w:ascii="Times New Roman" w:hAnsi="Times New Roman"/>
          <w:noProof/>
          <w:sz w:val="24"/>
        </w:rPr>
      </w:pPr>
      <w:r>
        <w:rPr>
          <w:rFonts w:ascii="Times New Roman" w:hAnsi="Times New Roman"/>
          <w:noProof/>
          <w:sz w:val="24"/>
        </w:rPr>
        <w:t>Jean-Claude Juncker</w:t>
      </w:r>
    </w:p>
    <w:p w:rsidR="00CD0D3B" w:rsidRDefault="000C19A6">
      <w:pPr>
        <w:spacing w:after="120" w:line="240" w:lineRule="auto"/>
        <w:jc w:val="right"/>
        <w:rPr>
          <w:rFonts w:ascii="Times New Roman" w:hAnsi="Times New Roman"/>
          <w:noProof/>
          <w:sz w:val="24"/>
        </w:rPr>
      </w:pPr>
      <w:r>
        <w:rPr>
          <w:rFonts w:ascii="Times New Roman" w:hAnsi="Times New Roman"/>
          <w:noProof/>
          <w:sz w:val="24"/>
        </w:rPr>
        <w:t>predsjednik Europske komisije</w:t>
      </w:r>
    </w:p>
    <w:p w:rsidR="00CD0D3B" w:rsidRDefault="000C19A6">
      <w:pPr>
        <w:spacing w:after="120" w:line="240" w:lineRule="auto"/>
        <w:jc w:val="right"/>
        <w:rPr>
          <w:rFonts w:ascii="Times New Roman" w:hAnsi="Times New Roman"/>
          <w:noProof/>
          <w:sz w:val="24"/>
        </w:rPr>
      </w:pPr>
      <w:r>
        <w:rPr>
          <w:rFonts w:ascii="Times New Roman" w:hAnsi="Times New Roman"/>
          <w:noProof/>
          <w:sz w:val="24"/>
        </w:rPr>
        <w:t>govor o stanju Unije 2016., 14. rujna 2016.</w:t>
      </w:r>
    </w:p>
    <w:p w:rsidR="00CD0D3B" w:rsidRDefault="00CD0D3B">
      <w:pPr>
        <w:spacing w:after="120" w:line="240" w:lineRule="auto"/>
        <w:rPr>
          <w:rFonts w:eastAsia="Times New Roman" w:cstheme="minorHAnsi"/>
          <w:b/>
          <w:smallCaps/>
          <w:noProof/>
          <w:color w:val="000000" w:themeColor="text1"/>
          <w:sz w:val="28"/>
          <w:szCs w:val="28"/>
        </w:rPr>
      </w:pPr>
    </w:p>
    <w:p w:rsidR="00CD0D3B" w:rsidRDefault="000C19A6">
      <w:pPr>
        <w:spacing w:after="120" w:line="240" w:lineRule="auto"/>
        <w:rPr>
          <w:rFonts w:ascii="Times New Roman" w:hAnsi="Times New Roman"/>
          <w:b/>
          <w:smallCaps/>
          <w:noProof/>
          <w:color w:val="000000" w:themeColor="text1"/>
          <w:sz w:val="24"/>
        </w:rPr>
      </w:pPr>
      <w:r>
        <w:rPr>
          <w:noProof/>
        </w:rPr>
        <w:br w:type="page"/>
      </w:r>
    </w:p>
    <w:p w:rsidR="00CD0D3B" w:rsidRDefault="000C19A6">
      <w:pPr>
        <w:spacing w:after="120" w:line="240" w:lineRule="auto"/>
        <w:jc w:val="center"/>
        <w:rPr>
          <w:rFonts w:ascii="Times New Roman" w:hAnsi="Times New Roman"/>
          <w:b/>
          <w:smallCaps/>
          <w:noProof/>
          <w:color w:val="000000" w:themeColor="text1"/>
          <w:sz w:val="24"/>
        </w:rPr>
      </w:pPr>
      <w:r>
        <w:rPr>
          <w:rFonts w:ascii="Times New Roman" w:hAnsi="Times New Roman"/>
          <w:b/>
          <w:smallCaps/>
          <w:noProof/>
          <w:color w:val="000000" w:themeColor="text1"/>
          <w:sz w:val="24"/>
        </w:rPr>
        <w:lastRenderedPageBreak/>
        <w:t>Sadržaj</w:t>
      </w:r>
    </w:p>
    <w:p w:rsidR="00CD0D3B" w:rsidRDefault="00CD0D3B">
      <w:pPr>
        <w:spacing w:after="120" w:line="240" w:lineRule="auto"/>
        <w:rPr>
          <w:rFonts w:ascii="Times New Roman" w:hAnsi="Times New Roman"/>
          <w:smallCaps/>
          <w:noProof/>
          <w:color w:val="000000" w:themeColor="text1"/>
          <w:sz w:val="24"/>
        </w:rPr>
      </w:pPr>
    </w:p>
    <w:p w:rsidR="00CD0D3B" w:rsidRDefault="000C19A6">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1. Sagledavanje globalizacije i njezinih učinaka</w:t>
      </w:r>
    </w:p>
    <w:p w:rsidR="00CD0D3B" w:rsidRDefault="000C19A6">
      <w:pPr>
        <w:spacing w:after="120" w:line="240" w:lineRule="auto"/>
        <w:rPr>
          <w:rFonts w:ascii="Times New Roman" w:hAnsi="Times New Roman" w:cs="Times New Roman"/>
          <w:noProof/>
          <w:color w:val="000000" w:themeColor="text1"/>
          <w:sz w:val="24"/>
        </w:rPr>
      </w:pPr>
      <w:r>
        <w:rPr>
          <w:rFonts w:ascii="Times New Roman" w:hAnsi="Times New Roman"/>
          <w:noProof/>
          <w:color w:val="000000" w:themeColor="text1"/>
          <w:sz w:val="24"/>
        </w:rPr>
        <w:t xml:space="preserve">1.1. </w:t>
      </w:r>
      <w:r>
        <w:rPr>
          <w:rFonts w:ascii="Times New Roman" w:hAnsi="Times New Roman"/>
          <w:noProof/>
          <w:color w:val="000000" w:themeColor="text1"/>
          <w:sz w:val="24"/>
        </w:rPr>
        <w:t>Globalizacija nije novost, ali brzo se mijenja</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1.2. Riječ je o pozitivnom pokretaču promjena...</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1.3. ... koji ne dolazi bez izazova</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 POGLED U BUDUĆNOST</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2.1. Globalizacija će znatno drukčije izgledati u 2025. ...</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2.2. ... te će biti potrebno oduprijeti se</w:t>
      </w:r>
      <w:r>
        <w:rPr>
          <w:rFonts w:ascii="Times New Roman" w:hAnsi="Times New Roman"/>
          <w:noProof/>
          <w:color w:val="000000" w:themeColor="text1"/>
          <w:sz w:val="24"/>
        </w:rPr>
        <w:t xml:space="preserve"> izazovima izolacionizma i neaktivnosti</w:t>
      </w:r>
    </w:p>
    <w:p w:rsidR="00CD0D3B" w:rsidRDefault="000C19A6">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3. Europski vanjski odgovor: međunarodna suradnja u oblikovanju globalizacije, gospodarska diplomacija i instrumenti za osiguravanje ravnopravnih uvjeta</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3.1. EU već djeluje kao silnica pravednijeg svjetskog poretka..</w:t>
      </w:r>
      <w:r>
        <w:rPr>
          <w:rFonts w:ascii="Times New Roman" w:hAnsi="Times New Roman"/>
          <w:noProof/>
          <w:color w:val="000000" w:themeColor="text1"/>
          <w:sz w:val="24"/>
        </w:rPr>
        <w:t>.</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3.2. ... ali u budućnosti treba činiti više...</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 xml:space="preserve">3.3. ... i EU treba djelovati kako bi osigurao jednake uvjete za sve </w:t>
      </w:r>
    </w:p>
    <w:p w:rsidR="00CD0D3B" w:rsidRDefault="000C19A6">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4. Europski unutarnji odgovor: jačanje otpornosti zahvaljujući boljoj raspodjeli koristi i promicanju dugoročne konkurentnosti</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4.1. Stabi</w:t>
      </w:r>
      <w:r>
        <w:rPr>
          <w:rFonts w:ascii="Times New Roman" w:hAnsi="Times New Roman"/>
          <w:noProof/>
          <w:color w:val="000000" w:themeColor="text1"/>
          <w:sz w:val="24"/>
        </w:rPr>
        <w:t>lne socijalne i obrazovne politike ključne su za osiguranje otpornosti i pravedniju raspodjelu bogatstva...</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4.2. ... dok su veliki napori potrebni da se Europa učini konkurentnijim i inovativnijim gospodarstvom ...</w:t>
      </w:r>
    </w:p>
    <w:p w:rsidR="00CD0D3B" w:rsidRDefault="000C19A6">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4.3. ... u bliskom partnerstvu s osnaženi</w:t>
      </w:r>
      <w:r>
        <w:rPr>
          <w:rFonts w:ascii="Times New Roman" w:hAnsi="Times New Roman"/>
          <w:noProof/>
          <w:color w:val="000000" w:themeColor="text1"/>
          <w:sz w:val="24"/>
        </w:rPr>
        <w:t xml:space="preserve">jim regijama </w:t>
      </w:r>
    </w:p>
    <w:p w:rsidR="00CD0D3B" w:rsidRDefault="000C19A6">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5. Zaključak</w:t>
      </w:r>
    </w:p>
    <w:p w:rsidR="00CD0D3B" w:rsidRDefault="00CD0D3B">
      <w:pPr>
        <w:spacing w:after="120" w:line="240" w:lineRule="auto"/>
        <w:rPr>
          <w:rFonts w:ascii="Times New Roman" w:hAnsi="Times New Roman"/>
          <w:noProof/>
          <w:color w:val="000000" w:themeColor="text1"/>
          <w:sz w:val="24"/>
        </w:rPr>
      </w:pPr>
    </w:p>
    <w:p w:rsidR="00CD0D3B" w:rsidRDefault="000C19A6">
      <w:pPr>
        <w:spacing w:after="120" w:line="240" w:lineRule="auto"/>
        <w:rPr>
          <w:rFonts w:ascii="Times New Roman" w:hAnsi="Times New Roman"/>
          <w:smallCaps/>
          <w:noProof/>
          <w:color w:val="000000" w:themeColor="text1"/>
          <w:sz w:val="24"/>
        </w:rPr>
      </w:pPr>
      <w:r>
        <w:rPr>
          <w:noProof/>
        </w:rPr>
        <w:br w:type="page"/>
      </w:r>
    </w:p>
    <w:p w:rsidR="00CD0D3B" w:rsidRDefault="000C19A6">
      <w:pPr>
        <w:pStyle w:val="ListParagraph"/>
        <w:numPr>
          <w:ilvl w:val="0"/>
          <w:numId w:val="38"/>
        </w:num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 xml:space="preserve">Sagledavanje globalizacije i njezinih učinaka </w:t>
      </w:r>
    </w:p>
    <w:p w:rsidR="00CD0D3B" w:rsidRDefault="000C19A6">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1.1. Globalizacija nije novost, ali brzo se mijenja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Interakcija u globalnim okvirima odvija se već stoljećima, odražavajući tako ljudski instinkt za traženjem novih mogućnosti, </w:t>
      </w:r>
      <w:r>
        <w:rPr>
          <w:rFonts w:ascii="Times New Roman" w:hAnsi="Times New Roman"/>
          <w:noProof/>
          <w:color w:val="000000" w:themeColor="text1"/>
          <w:sz w:val="24"/>
        </w:rPr>
        <w:t>otkrivanjem novih ljudi i mjesta te razmjenom ideja i dobara. Temeljni pokretači globalizacije bili su razmjena dobara i tokovi kapitala. Danas, potaknuta brzim tehnološkim promjenama, u sve se većoj mjeri temelji na znanju.</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Prijelomni događaji, npr. primj</w:t>
      </w:r>
      <w:r>
        <w:rPr>
          <w:rFonts w:ascii="Times New Roman" w:hAnsi="Times New Roman"/>
          <w:noProof/>
          <w:color w:val="000000" w:themeColor="text1"/>
          <w:sz w:val="24"/>
        </w:rPr>
        <w:t>ena interneta i sve važnija uloga gospodarstava u usponu, pridonijeli su bržoj globalnoj razmjeni, ali i njezinoj novoj naravi. Većina proizvoda ne proizvodi se više u jednoj zemlji, nego je zaista proizvedena u cijelom svijetu. Današnji su proizvodi skupo</w:t>
      </w:r>
      <w:r>
        <w:rPr>
          <w:rFonts w:ascii="Times New Roman" w:hAnsi="Times New Roman"/>
          <w:noProof/>
          <w:color w:val="000000" w:themeColor="text1"/>
          <w:sz w:val="24"/>
        </w:rPr>
        <w:t>vi sirovina, komponenti, tehnologija i usluga koje potječu iz različitih zemalja i sa različitih kontinenata. Pametni telefoni i medicinski uređaji mogu se dizajnirati u Europi ili SAD-u, a sastavljati u Aziji ili istočnoj Europi od dijelova koji su proizv</w:t>
      </w:r>
      <w:r>
        <w:rPr>
          <w:rFonts w:ascii="Times New Roman" w:hAnsi="Times New Roman"/>
          <w:noProof/>
          <w:color w:val="000000" w:themeColor="text1"/>
          <w:sz w:val="24"/>
        </w:rPr>
        <w:t>edeni negdje drugdje. O</w:t>
      </w:r>
      <w:r>
        <w:rPr>
          <w:rFonts w:ascii="Times New Roman" w:hAnsi="Times New Roman"/>
          <w:noProof/>
          <w:sz w:val="24"/>
        </w:rPr>
        <w:t xml:space="preserve">pskrbni lanci postali su globalni. </w:t>
      </w:r>
    </w:p>
    <w:p w:rsidR="00CD0D3B" w:rsidRDefault="00CD0D3B">
      <w:pPr>
        <w:spacing w:after="120" w:line="240" w:lineRule="auto"/>
        <w:jc w:val="both"/>
        <w:rPr>
          <w:rFonts w:ascii="Times New Roman" w:hAnsi="Times New Roman"/>
          <w:noProof/>
          <w:color w:val="000000" w:themeColor="text1"/>
          <w:sz w:val="24"/>
        </w:rPr>
      </w:pPr>
    </w:p>
    <w:p w:rsidR="00CD0D3B" w:rsidRDefault="000C19A6">
      <w:pPr>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Slika 1.: Faze globalizacije</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extent cx="5760720" cy="488788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887884"/>
                    </a:xfrm>
                    <a:prstGeom prst="rect">
                      <a:avLst/>
                    </a:prstGeom>
                    <a:noFill/>
                    <a:ln>
                      <a:noFill/>
                    </a:ln>
                  </pic:spPr>
                </pic:pic>
              </a:graphicData>
            </a:graphic>
          </wp:inline>
        </w:drawing>
      </w:r>
    </w:p>
    <w:p w:rsidR="00CD0D3B" w:rsidRDefault="000C19A6">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Izvor: Europska komisija (2016.), Klasing/Milionis (2014.), Svjetska banka (2017.), prilagođeno prema NBER Macrohistory Database</w:t>
      </w:r>
    </w:p>
    <w:p w:rsidR="00CD0D3B" w:rsidRDefault="00CD0D3B">
      <w:pPr>
        <w:spacing w:after="120" w:line="240" w:lineRule="auto"/>
        <w:jc w:val="both"/>
        <w:rPr>
          <w:rFonts w:ascii="Times New Roman" w:hAnsi="Times New Roman"/>
          <w:noProof/>
          <w:color w:val="000000" w:themeColor="text1"/>
          <w:sz w:val="24"/>
        </w:rPr>
      </w:pPr>
    </w:p>
    <w:p w:rsidR="00CD0D3B" w:rsidRDefault="000C19A6">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Dok je u ranim 1970-ima udio </w:t>
      </w:r>
      <w:r>
        <w:rPr>
          <w:rFonts w:ascii="Times New Roman" w:hAnsi="Times New Roman"/>
          <w:noProof/>
          <w:color w:val="000000" w:themeColor="text1"/>
          <w:sz w:val="24"/>
        </w:rPr>
        <w:t>trgovine u svjetskom BDP-u iznosio manje od 20 %, danas čini gotovo polovinu. Dok je tradicionalna trgovina robom uglavnom stabilna, drugi oblici razmjene, primjerice tokovi podataka, šire se eksponencijalno</w:t>
      </w:r>
      <w:r>
        <w:rPr>
          <w:rFonts w:ascii="Times New Roman" w:hAnsi="Times New Roman"/>
          <w:noProof/>
          <w:sz w:val="24"/>
        </w:rPr>
        <w:t>. Procjene upućuju na to da će se vrijednost poda</w:t>
      </w:r>
      <w:r>
        <w:rPr>
          <w:rFonts w:ascii="Times New Roman" w:hAnsi="Times New Roman"/>
          <w:noProof/>
          <w:sz w:val="24"/>
        </w:rPr>
        <w:t>tkovnog gospodarstva, uz postojanje odgovarajućeg okvira, povećati do 2020. na 739 milijardi EUR, što odgovara udjelu od 4 % u ukupnom BDP-u EU-a i dvostruko je više od današnje vrijednosti.</w:t>
      </w:r>
    </w:p>
    <w:p w:rsidR="00CD0D3B" w:rsidRDefault="00CD0D3B">
      <w:pPr>
        <w:spacing w:after="120" w:line="240" w:lineRule="auto"/>
        <w:rPr>
          <w:rFonts w:ascii="Times New Roman" w:hAnsi="Times New Roman"/>
          <w:noProof/>
          <w:sz w:val="24"/>
        </w:rPr>
      </w:pPr>
    </w:p>
    <w:p w:rsidR="00CD0D3B" w:rsidRDefault="000C19A6">
      <w:pPr>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Slika 2.: Globalizirana stvarnost današnjice</w:t>
      </w:r>
    </w:p>
    <w:p w:rsidR="00CD0D3B" w:rsidRDefault="000C19A6">
      <w:pPr>
        <w:spacing w:after="120" w:line="240" w:lineRule="auto"/>
        <w:jc w:val="center"/>
        <w:rPr>
          <w:rFonts w:ascii="Times New Roman" w:hAnsi="Times New Roman"/>
          <w:i/>
          <w:noProof/>
          <w:sz w:val="24"/>
        </w:rPr>
      </w:pPr>
      <w:r>
        <w:rPr>
          <w:rFonts w:ascii="Times New Roman" w:hAnsi="Times New Roman"/>
          <w:i/>
          <w:noProof/>
          <w:sz w:val="24"/>
        </w:rPr>
        <w:t xml:space="preserve"> </w:t>
      </w:r>
      <w:r>
        <w:rPr>
          <w:noProof/>
          <w:lang w:val="en-GB" w:eastAsia="en-GB" w:bidi="ar-SA"/>
        </w:rPr>
        <w:drawing>
          <wp:inline distT="0" distB="0" distL="0" distR="0">
            <wp:extent cx="5760720" cy="2806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806866"/>
                    </a:xfrm>
                    <a:prstGeom prst="rect">
                      <a:avLst/>
                    </a:prstGeom>
                  </pic:spPr>
                </pic:pic>
              </a:graphicData>
            </a:graphic>
          </wp:inline>
        </w:drawing>
      </w:r>
    </w:p>
    <w:p w:rsidR="00CD0D3B" w:rsidRDefault="000C19A6">
      <w:pPr>
        <w:spacing w:after="120" w:line="240" w:lineRule="auto"/>
        <w:rPr>
          <w:rFonts w:ascii="Times New Roman" w:hAnsi="Times New Roman"/>
          <w:i/>
          <w:noProof/>
          <w:sz w:val="24"/>
        </w:rPr>
      </w:pPr>
      <w:r>
        <w:rPr>
          <w:rFonts w:ascii="Times New Roman" w:hAnsi="Times New Roman"/>
          <w:i/>
          <w:noProof/>
          <w:sz w:val="24"/>
        </w:rPr>
        <w:t>Napomena: podaci</w:t>
      </w:r>
      <w:r>
        <w:rPr>
          <w:rFonts w:ascii="Times New Roman" w:hAnsi="Times New Roman"/>
          <w:i/>
          <w:noProof/>
          <w:sz w:val="24"/>
        </w:rPr>
        <w:t xml:space="preserve"> za 2016. ili zadnje dostupno (2015.)</w:t>
      </w:r>
    </w:p>
    <w:p w:rsidR="00CD0D3B" w:rsidRDefault="000C19A6">
      <w:pPr>
        <w:spacing w:after="120"/>
        <w:rPr>
          <w:rFonts w:ascii="Times New Roman" w:hAnsi="Times New Roman"/>
          <w:i/>
          <w:noProof/>
          <w:sz w:val="24"/>
        </w:rPr>
      </w:pPr>
      <w:r>
        <w:rPr>
          <w:rFonts w:ascii="Times New Roman" w:hAnsi="Times New Roman"/>
          <w:i/>
          <w:noProof/>
          <w:sz w:val="24"/>
        </w:rPr>
        <w:t>Izvor: McKinsey Global Institute, Ujedinjeni narodi, Svjetska turistička organizacija, OECD, Europska komisija</w:t>
      </w:r>
    </w:p>
    <w:p w:rsidR="00CD0D3B" w:rsidRDefault="00CD0D3B">
      <w:pPr>
        <w:spacing w:after="120" w:line="240" w:lineRule="auto"/>
        <w:jc w:val="both"/>
        <w:rPr>
          <w:rFonts w:ascii="Times New Roman" w:hAnsi="Times New Roman"/>
          <w:i/>
          <w:noProof/>
          <w:sz w:val="24"/>
        </w:rPr>
      </w:pPr>
    </w:p>
    <w:p w:rsidR="00CD0D3B" w:rsidRDefault="000C19A6">
      <w:pPr>
        <w:spacing w:after="120" w:line="240" w:lineRule="auto"/>
        <w:jc w:val="both"/>
        <w:rPr>
          <w:rFonts w:ascii="Times New Roman" w:hAnsi="Times New Roman"/>
          <w:noProof/>
          <w:sz w:val="24"/>
        </w:rPr>
      </w:pPr>
      <w:r>
        <w:rPr>
          <w:rFonts w:ascii="Times New Roman" w:hAnsi="Times New Roman"/>
          <w:noProof/>
          <w:sz w:val="24"/>
        </w:rPr>
        <w:t xml:space="preserve">Svijet je istodobno suočen sa sve više transnacionalnih izazova, od dosad nezabilježenih migracijskih </w:t>
      </w:r>
      <w:r>
        <w:rPr>
          <w:rFonts w:ascii="Times New Roman" w:hAnsi="Times New Roman"/>
          <w:noProof/>
          <w:sz w:val="24"/>
        </w:rPr>
        <w:t>tokova do terorističkih prijetnji, financijskih kriza, pandemija i klimatskih promjena. Čak i najveće i najbogatije zemlje nemaju dovoljno kapaciteta da se s izazovima suoče samostalno. Globalna suradnja postala je nužnost u današnjem svijetu.</w:t>
      </w:r>
    </w:p>
    <w:p w:rsidR="00CD0D3B" w:rsidRDefault="00CD0D3B">
      <w:pPr>
        <w:spacing w:after="120" w:line="240" w:lineRule="auto"/>
        <w:jc w:val="both"/>
        <w:rPr>
          <w:rFonts w:ascii="Times New Roman" w:hAnsi="Times New Roman"/>
          <w:noProof/>
          <w:sz w:val="24"/>
        </w:rPr>
      </w:pPr>
    </w:p>
    <w:p w:rsidR="00CD0D3B" w:rsidRDefault="000C19A6">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1.2. Riječ </w:t>
      </w:r>
      <w:r>
        <w:rPr>
          <w:rFonts w:ascii="Times New Roman" w:hAnsi="Times New Roman"/>
          <w:b/>
          <w:noProof/>
          <w:color w:val="000000" w:themeColor="text1"/>
          <w:sz w:val="24"/>
        </w:rPr>
        <w:t>je o pozitivnom pokretaču promjena...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Veća globalna povezanost donosi sa sobom nove mogućnosti. Ljudi danas putuju, rade, žive i obrazuju se u različitim zemljama. S pomoću </w:t>
      </w:r>
      <w:r>
        <w:rPr>
          <w:rFonts w:ascii="Times New Roman" w:hAnsi="Times New Roman"/>
          <w:i/>
          <w:noProof/>
          <w:color w:val="000000" w:themeColor="text1"/>
          <w:sz w:val="24"/>
        </w:rPr>
        <w:t>weba</w:t>
      </w:r>
      <w:r>
        <w:rPr>
          <w:rFonts w:ascii="Times New Roman" w:hAnsi="Times New Roman"/>
          <w:noProof/>
          <w:color w:val="000000" w:themeColor="text1"/>
          <w:sz w:val="24"/>
        </w:rPr>
        <w:t xml:space="preserve"> komuniciraju, razmjenjuju ideje, kulture i iskustva. Studenti imaju elektronič</w:t>
      </w:r>
      <w:r>
        <w:rPr>
          <w:rFonts w:ascii="Times New Roman" w:hAnsi="Times New Roman"/>
          <w:noProof/>
          <w:color w:val="000000" w:themeColor="text1"/>
          <w:sz w:val="24"/>
        </w:rPr>
        <w:t>ki pristup obrazovnim programima vodećih svjetskih sveučilišta. Zemlje mogu više proizvoditi uz manji trošak ako se specijaliziraju i iskoriste ekonomiju razmjera na globalnim tržištima. Međunarodna konkurencija, globalno djelovanje u području klime, znans</w:t>
      </w:r>
      <w:r>
        <w:rPr>
          <w:rFonts w:ascii="Times New Roman" w:hAnsi="Times New Roman"/>
          <w:noProof/>
          <w:color w:val="000000" w:themeColor="text1"/>
          <w:sz w:val="24"/>
        </w:rPr>
        <w:t>tvena suradnja i razmjena ideja poticaji su kreativnosti i ubrzane inovativnosti. Poduzeća koja posluju na međunarodnim tržištima zadržavaju konkurentnost jer brže uče i prilagođuju se.</w:t>
      </w:r>
      <w:r>
        <w:rPr>
          <w:rStyle w:val="FootnoteReference"/>
          <w:rFonts w:ascii="Times New Roman" w:hAnsi="Times New Roman"/>
          <w:noProof/>
          <w:color w:val="000000" w:themeColor="text1"/>
          <w:sz w:val="24"/>
        </w:rPr>
        <w:footnoteReference w:id="2"/>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Europski se izvoz povećava jer potrošači diljem svijeta traže visokok</w:t>
      </w:r>
      <w:r>
        <w:rPr>
          <w:rFonts w:ascii="Times New Roman" w:hAnsi="Times New Roman"/>
          <w:noProof/>
          <w:color w:val="000000" w:themeColor="text1"/>
          <w:sz w:val="24"/>
        </w:rPr>
        <w:t>valitetnu robu i usluge kakve se kod nas proizvode. Velika potražnja vlada za našim zrakoplovima, kvalitetnim automobilima, industrijskim strojevima, kozmetičkim i zdravstvenim proizvodima te odjećom i hranom visoke kvalitete. To – uz usluge koje pružamo u</w:t>
      </w:r>
      <w:r>
        <w:rPr>
          <w:rFonts w:ascii="Times New Roman" w:hAnsi="Times New Roman"/>
          <w:noProof/>
          <w:color w:val="000000" w:themeColor="text1"/>
          <w:sz w:val="24"/>
        </w:rPr>
        <w:t xml:space="preserve"> područjima poslovnog savjetovanja, inženjerstva i prometa – pridonosi jakom izvozu EU-a, čija je vrijednost u 2016. iznosila 1 746 milijardi EUR, što donosi i bolje plaćena radna mjesta. Svakom milijardom eura u izvozu podupire se 14 000 radnih mjesta. Od</w:t>
      </w:r>
      <w:r>
        <w:rPr>
          <w:rFonts w:ascii="Times New Roman" w:hAnsi="Times New Roman"/>
          <w:noProof/>
          <w:color w:val="000000" w:themeColor="text1"/>
          <w:sz w:val="24"/>
        </w:rPr>
        <w:t xml:space="preserve"> toga ne profitiraju samo velike korporacije: preko 80 % europskih izvoznika čine mala i srednja poduzeća.</w:t>
      </w:r>
      <w:r>
        <w:rPr>
          <w:rStyle w:val="FootnoteReference"/>
          <w:rFonts w:ascii="Times New Roman" w:hAnsi="Times New Roman"/>
          <w:noProof/>
          <w:color w:val="000000" w:themeColor="text1"/>
          <w:sz w:val="24"/>
        </w:rPr>
        <w:footnoteReference w:id="3"/>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Talijanski poduzetnik u kategoriji malih i srednjih poduzeća prodaje uređaje za precizno čišćenje klijentima u aeronautičkoj i medicinskoj industrij</w:t>
      </w:r>
      <w:r>
        <w:rPr>
          <w:rFonts w:ascii="Times New Roman" w:hAnsi="Times New Roman"/>
          <w:noProof/>
          <w:sz w:val="24"/>
        </w:rPr>
        <w:t>i i sektoru luksuzne robe u Europi, Izraelu, Kini ili Indiji. Zapošljava desetke radnika u svojoj regiji i pridonosi lokalnom gospodarstvu zahvaljujući svojem opskrbnom lancu i poreznim davanjima.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Poduzeća su konkurentnija zahvaljujući jeftinijim proizvodn</w:t>
      </w:r>
      <w:r>
        <w:rPr>
          <w:rFonts w:ascii="Times New Roman" w:hAnsi="Times New Roman"/>
          <w:noProof/>
          <w:color w:val="000000" w:themeColor="text1"/>
          <w:sz w:val="24"/>
        </w:rPr>
        <w:t xml:space="preserve">im faktorima i novim tehnologijama uvezenima iz inozemstva, što pridonosi očuvanju radnih mjesta u EU-u. </w:t>
      </w:r>
      <w:r>
        <w:rPr>
          <w:rFonts w:ascii="Times New Roman" w:hAnsi="Times New Roman"/>
          <w:noProof/>
          <w:sz w:val="24"/>
        </w:rPr>
        <w:t>Sirovine, kapitalna dobra i komponente potrebni za funkcioniranje europskoga gospodarstva čine 80 % uvoza u EU.</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Zahvaljujući uvozu europski potrošači i</w:t>
      </w:r>
      <w:r>
        <w:rPr>
          <w:rFonts w:ascii="Times New Roman" w:hAnsi="Times New Roman"/>
          <w:noProof/>
          <w:color w:val="000000" w:themeColor="text1"/>
          <w:sz w:val="24"/>
        </w:rPr>
        <w:t>maju veći izbor proizvoda dostupnih po nižim cijenama. To pridonosi povećanju životnog standarda i jačanju kupovne moći, osobito za kućanstva s nižim prihodima, u kojima je udio troškova za robu i usluge relativno veći. Većini Europljana dostupni su sada p</w:t>
      </w:r>
      <w:r>
        <w:rPr>
          <w:rFonts w:ascii="Times New Roman" w:hAnsi="Times New Roman"/>
          <w:noProof/>
          <w:color w:val="000000" w:themeColor="text1"/>
          <w:sz w:val="24"/>
        </w:rPr>
        <w:t>ametni telefoni, računala, odjeća, hrana te zdravstvene i prometne usluge koji starijim generacijama nisu bili pristupačni u takvoj mjeri.</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Izravna strana ulaganja ključan su izvor prijenosa kapitala i tehnologije. Većina osoba koja dolazi izvan EU-a </w:t>
      </w:r>
      <w:r>
        <w:rPr>
          <w:rFonts w:ascii="Times New Roman" w:hAnsi="Times New Roman"/>
          <w:noProof/>
          <w:color w:val="000000" w:themeColor="text1"/>
          <w:sz w:val="24"/>
        </w:rPr>
        <w:t>uspješno se integrirala u naša društva. Popunili su kritične praznine u radnoj snazi u području skrbi za starije, poljoprivredi, specijaliziranim istraživanjima i razvoju proizvoda.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Sve veći troškovi i smanjena raspoloživost prirodnih resursa, porast broja</w:t>
      </w:r>
      <w:r>
        <w:rPr>
          <w:rFonts w:ascii="Times New Roman" w:hAnsi="Times New Roman"/>
          <w:noProof/>
          <w:color w:val="000000" w:themeColor="text1"/>
          <w:sz w:val="24"/>
        </w:rPr>
        <w:t xml:space="preserve"> stanovnika i zagađenje poticaj su gospodarstvima u usponu da se od fosilnih goriva okrenu prema razvoju energetski čistih i resursno učinkovitijih tehnologija, što pridonosi poboljšanju standarda za zaštitu okoliša.</w:t>
      </w:r>
    </w:p>
    <w:p w:rsidR="00CD0D3B" w:rsidRDefault="000C19A6">
      <w:pPr>
        <w:pStyle w:val="CommentText"/>
        <w:spacing w:after="120"/>
        <w:jc w:val="both"/>
        <w:rPr>
          <w:rFonts w:ascii="Times New Roman" w:hAnsi="Times New Roman"/>
          <w:noProof/>
          <w:color w:val="000000" w:themeColor="text1"/>
          <w:sz w:val="24"/>
        </w:rPr>
      </w:pPr>
      <w:r>
        <w:rPr>
          <w:rFonts w:ascii="Times New Roman" w:hAnsi="Times New Roman"/>
          <w:noProof/>
          <w:color w:val="000000" w:themeColor="text1"/>
          <w:sz w:val="24"/>
        </w:rPr>
        <w:t>Zahvaljujući otvorenosti svjetske trgov</w:t>
      </w:r>
      <w:r>
        <w:rPr>
          <w:rFonts w:ascii="Times New Roman" w:hAnsi="Times New Roman"/>
          <w:noProof/>
          <w:color w:val="000000" w:themeColor="text1"/>
          <w:sz w:val="24"/>
        </w:rPr>
        <w:t>ine pojačan je gospodarski rast u EU-u, što je pridonijelo povećanju blagostanja i održavanju konkurentnosti.</w:t>
      </w:r>
      <w:r>
        <w:rPr>
          <w:rStyle w:val="FootnoteReference"/>
          <w:rFonts w:ascii="Times New Roman" w:hAnsi="Times New Roman"/>
          <w:noProof/>
          <w:color w:val="000000" w:themeColor="text1"/>
          <w:sz w:val="24"/>
        </w:rPr>
        <w:footnoteReference w:id="4"/>
      </w:r>
      <w:r>
        <w:rPr>
          <w:rFonts w:ascii="Times New Roman" w:hAnsi="Times New Roman"/>
          <w:noProof/>
          <w:color w:val="000000" w:themeColor="text1"/>
          <w:sz w:val="24"/>
        </w:rPr>
        <w:t xml:space="preserve"> Udio EU-a u globalnom izvozu robe i dalje premašuje 15 %, a od početka ovog stoljeća neznatno je smanjen i zbog sve veće uloge Kine, članice Svje</w:t>
      </w:r>
      <w:r>
        <w:rPr>
          <w:rFonts w:ascii="Times New Roman" w:hAnsi="Times New Roman"/>
          <w:noProof/>
          <w:color w:val="000000" w:themeColor="text1"/>
          <w:sz w:val="24"/>
        </w:rPr>
        <w:t>tske trgovinske organizacije i svjetske izvozne sile. Neke od naših država članica koje su najbolje integrirane u globalne opskrbne lance bilježe i veće prihode i manju nejednakost. Zahvaljujući tom uspjehu na raspolaganju su resursi za podupiranje našeg s</w:t>
      </w:r>
      <w:r>
        <w:rPr>
          <w:rFonts w:ascii="Times New Roman" w:hAnsi="Times New Roman"/>
          <w:noProof/>
          <w:color w:val="000000" w:themeColor="text1"/>
          <w:sz w:val="24"/>
        </w:rPr>
        <w:t>ocijalnog modela i zaštitu okoliša.</w:t>
      </w:r>
    </w:p>
    <w:p w:rsidR="00CD0D3B" w:rsidRDefault="00CD0D3B">
      <w:pPr>
        <w:pStyle w:val="CommentText"/>
        <w:spacing w:after="120"/>
        <w:jc w:val="both"/>
        <w:rPr>
          <w:rFonts w:ascii="Times New Roman" w:hAnsi="Times New Roman"/>
          <w:noProof/>
          <w:color w:val="000000" w:themeColor="text1"/>
          <w:sz w:val="24"/>
        </w:rPr>
      </w:pPr>
    </w:p>
    <w:p w:rsidR="00CD0D3B" w:rsidRDefault="000C19A6" w:rsidP="000C19A6">
      <w:pPr>
        <w:keepNext/>
        <w:spacing w:after="120" w:line="240" w:lineRule="auto"/>
        <w:rPr>
          <w:rFonts w:ascii="Times New Roman" w:hAnsi="Times New Roman" w:cs="Times New Roman"/>
          <w:b/>
          <w:noProof/>
          <w:color w:val="595959" w:themeColor="text1" w:themeTint="A6"/>
          <w:sz w:val="24"/>
          <w:szCs w:val="24"/>
        </w:rPr>
      </w:pPr>
      <w:r>
        <w:rPr>
          <w:rFonts w:ascii="Times New Roman" w:hAnsi="Times New Roman"/>
          <w:b/>
          <w:noProof/>
          <w:color w:val="595959" w:themeColor="text1" w:themeTint="A6"/>
          <w:sz w:val="24"/>
        </w:rPr>
        <w:t>Slika 3.: Otvorena gospodarstva EU-a ne bilježe veću nejednakost</w:t>
      </w:r>
    </w:p>
    <w:p w:rsidR="00CD0D3B" w:rsidRDefault="000C19A6">
      <w:pPr>
        <w:pStyle w:val="CommentText"/>
        <w:spacing w:after="120"/>
        <w:jc w:val="center"/>
        <w:rPr>
          <w:rFonts w:ascii="Times New Roman" w:hAnsi="Times New Roman"/>
          <w:noProof/>
          <w:color w:val="000000" w:themeColor="text1"/>
          <w:sz w:val="24"/>
        </w:rPr>
      </w:pPr>
      <w:r>
        <w:rPr>
          <w:rFonts w:ascii="Times New Roman" w:hAnsi="Times New Roman"/>
          <w:noProof/>
          <w:sz w:val="24"/>
        </w:rPr>
        <w:t xml:space="preserve">  </w:t>
      </w:r>
      <w:r>
        <w:rPr>
          <w:noProof/>
          <w:lang w:val="en-GB" w:eastAsia="en-GB" w:bidi="ar-SA"/>
        </w:rPr>
        <w:drawing>
          <wp:inline distT="0" distB="0" distL="0" distR="0">
            <wp:extent cx="4484536" cy="26907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88401" cy="2693041"/>
                    </a:xfrm>
                    <a:prstGeom prst="rect">
                      <a:avLst/>
                    </a:prstGeom>
                  </pic:spPr>
                </pic:pic>
              </a:graphicData>
            </a:graphic>
          </wp:inline>
        </w:drawing>
      </w:r>
    </w:p>
    <w:p w:rsidR="00CD0D3B" w:rsidRDefault="000C19A6">
      <w:pPr>
        <w:spacing w:after="120"/>
        <w:jc w:val="both"/>
        <w:rPr>
          <w:rFonts w:ascii="Times New Roman" w:hAnsi="Times New Roman"/>
          <w:i/>
          <w:noProof/>
          <w:color w:val="000000" w:themeColor="text1"/>
          <w:sz w:val="24"/>
        </w:rPr>
      </w:pPr>
      <w:r>
        <w:rPr>
          <w:rFonts w:ascii="Times New Roman" w:hAnsi="Times New Roman"/>
          <w:i/>
          <w:noProof/>
          <w:color w:val="000000" w:themeColor="text1"/>
          <w:sz w:val="24"/>
        </w:rPr>
        <w:t>Napomena: Zadnje dostupni podaci (2012.).</w:t>
      </w:r>
      <w:r>
        <w:rPr>
          <w:rFonts w:ascii="Times New Roman" w:hAnsi="Times New Roman"/>
          <w:noProof/>
          <w:color w:val="0F5494"/>
          <w:kern w:val="24"/>
          <w:sz w:val="24"/>
        </w:rPr>
        <w:t xml:space="preserve"> </w:t>
      </w:r>
      <w:r>
        <w:rPr>
          <w:rFonts w:ascii="Times New Roman" w:hAnsi="Times New Roman"/>
          <w:i/>
          <w:noProof/>
          <w:color w:val="000000" w:themeColor="text1"/>
          <w:sz w:val="24"/>
        </w:rPr>
        <w:t xml:space="preserve">Raspodjela dohotka među pojedincima mjerena Ginijevim koeficijentom, 0 = savršena jednakost. Otvorenost </w:t>
      </w:r>
      <w:r>
        <w:rPr>
          <w:rFonts w:ascii="Times New Roman" w:hAnsi="Times New Roman"/>
          <w:i/>
          <w:noProof/>
          <w:color w:val="000000" w:themeColor="text1"/>
          <w:sz w:val="24"/>
        </w:rPr>
        <w:t>trgovine mjerena kao udio uvoza i izvoza u BDP-u</w:t>
      </w:r>
    </w:p>
    <w:p w:rsidR="00CD0D3B" w:rsidRDefault="000C19A6">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Izvor: Svjetska banka, 2017.</w:t>
      </w:r>
    </w:p>
    <w:p w:rsidR="00CD0D3B" w:rsidRDefault="00CD0D3B">
      <w:pPr>
        <w:pStyle w:val="CommentText"/>
        <w:spacing w:after="120"/>
        <w:jc w:val="both"/>
        <w:rPr>
          <w:rFonts w:ascii="Times New Roman" w:hAnsi="Times New Roman"/>
          <w:noProof/>
          <w:color w:val="000000" w:themeColor="text1"/>
          <w:sz w:val="24"/>
          <w:highlight w:val="cyan"/>
        </w:rPr>
      </w:pPr>
    </w:p>
    <w:p w:rsidR="00CD0D3B" w:rsidRDefault="000C19A6">
      <w:pPr>
        <w:pStyle w:val="CommentText"/>
        <w:spacing w:after="120"/>
        <w:jc w:val="both"/>
        <w:rPr>
          <w:rFonts w:ascii="Times New Roman" w:hAnsi="Times New Roman"/>
          <w:noProof/>
          <w:color w:val="000000" w:themeColor="text1"/>
          <w:sz w:val="24"/>
        </w:rPr>
      </w:pPr>
      <w:r>
        <w:rPr>
          <w:rFonts w:ascii="Times New Roman" w:hAnsi="Times New Roman"/>
          <w:noProof/>
          <w:color w:val="000000" w:themeColor="text1"/>
          <w:sz w:val="24"/>
        </w:rPr>
        <w:t>Globalizacija ima slične pozitivne učinke diljem svijeta.</w:t>
      </w:r>
      <w:r>
        <w:rPr>
          <w:rStyle w:val="FootnoteReference"/>
          <w:rFonts w:ascii="Times New Roman" w:hAnsi="Times New Roman"/>
          <w:noProof/>
          <w:color w:val="000000" w:themeColor="text1"/>
          <w:sz w:val="24"/>
        </w:rPr>
        <w:footnoteReference w:id="5"/>
      </w:r>
      <w:r>
        <w:rPr>
          <w:rFonts w:ascii="Times New Roman" w:hAnsi="Times New Roman"/>
          <w:noProof/>
          <w:color w:val="000000" w:themeColor="text1"/>
          <w:sz w:val="24"/>
        </w:rPr>
        <w:t xml:space="preserve"> Stotine milijuna ljudi uspjele su se izdići iz siromaštva, a siromašnije zemlje uspjele su smanjiti svoj zaostatak. Do</w:t>
      </w:r>
      <w:r>
        <w:rPr>
          <w:rFonts w:ascii="Times New Roman" w:hAnsi="Times New Roman"/>
          <w:noProof/>
          <w:color w:val="000000" w:themeColor="text1"/>
          <w:sz w:val="24"/>
        </w:rPr>
        <w:t xml:space="preserve">prinos je ostvaren i u jačanju stabilnosti, demokracije i mira. </w:t>
      </w:r>
      <w:r>
        <w:rPr>
          <w:rFonts w:ascii="Times New Roman" w:hAnsi="Times New Roman"/>
          <w:noProof/>
          <w:sz w:val="24"/>
        </w:rPr>
        <w:t xml:space="preserve">Ciljevi UN-a za održivi razvoj globalni su okvir za </w:t>
      </w:r>
      <w:r>
        <w:rPr>
          <w:rFonts w:ascii="Times New Roman" w:hAnsi="Times New Roman"/>
          <w:noProof/>
          <w:color w:val="000000" w:themeColor="text1"/>
          <w:sz w:val="24"/>
        </w:rPr>
        <w:t>suzbijanje siromaštva i povećanje životnog standarda u zemljama u razvoju, što će na kraju pridonijeti i otvaranju izvoznih tržišta u budućn</w:t>
      </w:r>
      <w:r>
        <w:rPr>
          <w:rFonts w:ascii="Times New Roman" w:hAnsi="Times New Roman"/>
          <w:noProof/>
          <w:color w:val="000000" w:themeColor="text1"/>
          <w:sz w:val="24"/>
        </w:rPr>
        <w:t>osti. Pružanjem perspektive za održivost i blagostanje u domaćem okruženju može se pridonijeti i smanjenju nezakonitih migracija prema Europi.</w:t>
      </w:r>
    </w:p>
    <w:p w:rsidR="00CD0D3B" w:rsidRDefault="000C19A6">
      <w:pPr>
        <w:keepNext/>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Slika 4.: Sve se više ljudi u svijetu svakodnevno izdiže iz siromaštva</w:t>
      </w:r>
    </w:p>
    <w:p w:rsidR="00CD0D3B" w:rsidRDefault="000C19A6">
      <w:pPr>
        <w:spacing w:after="120" w:line="240" w:lineRule="auto"/>
        <w:jc w:val="center"/>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extent cx="3276600"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76600" cy="2514600"/>
                    </a:xfrm>
                    <a:prstGeom prst="rect">
                      <a:avLst/>
                    </a:prstGeom>
                  </pic:spPr>
                </pic:pic>
              </a:graphicData>
            </a:graphic>
          </wp:inline>
        </w:drawing>
      </w:r>
    </w:p>
    <w:p w:rsidR="00CD0D3B" w:rsidRDefault="000C19A6">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Napomena: Izraženo u međunarodnim dolar</w:t>
      </w:r>
      <w:r>
        <w:rPr>
          <w:rFonts w:ascii="Times New Roman" w:hAnsi="Times New Roman"/>
          <w:i/>
          <w:noProof/>
          <w:color w:val="000000" w:themeColor="text1"/>
          <w:sz w:val="24"/>
        </w:rPr>
        <w:t>ima, pročišćeno za razlike u cijenama među zemljama i promjenu cijena tijekom vremena (inflacija)</w:t>
      </w:r>
    </w:p>
    <w:p w:rsidR="00CD0D3B" w:rsidRDefault="000C19A6">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Izvor: Max Roser based on World Bank (2017) and Bourguignon and Morrisson (2002)</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i/>
          <w:noProof/>
          <w:color w:val="000000" w:themeColor="text1"/>
          <w:sz w:val="24"/>
        </w:rPr>
        <w:t xml:space="preserve"> </w:t>
      </w:r>
    </w:p>
    <w:p w:rsidR="00CD0D3B" w:rsidRDefault="000C19A6">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1.3. ... koji ne dolazi bez izazova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Istodobno globalizacija donosi i </w:t>
      </w:r>
      <w:r>
        <w:rPr>
          <w:rFonts w:ascii="Times New Roman" w:hAnsi="Times New Roman"/>
          <w:noProof/>
          <w:color w:val="000000" w:themeColor="text1"/>
          <w:sz w:val="24"/>
        </w:rPr>
        <w:t>izazove. Njezine su koristi neravnomjerno raspoređene među ljudima i regijama, od kojih se neke teže prilagođuju promjenama i tržišnom natjecanju.</w:t>
      </w:r>
      <w:r>
        <w:rPr>
          <w:rFonts w:ascii="Times New Roman" w:hAnsi="Times New Roman"/>
          <w:noProof/>
          <w:sz w:val="24"/>
        </w:rPr>
        <w:t xml:space="preserve"> </w:t>
      </w:r>
      <w:r>
        <w:rPr>
          <w:rFonts w:ascii="Times New Roman" w:hAnsi="Times New Roman"/>
          <w:noProof/>
          <w:color w:val="000000" w:themeColor="text1"/>
          <w:sz w:val="24"/>
        </w:rPr>
        <w:t>Zadnjih se desetljeća mnoge zemlje – katkad s nižim primanjima, standardima zaštite okoliša</w:t>
      </w:r>
      <w:r>
        <w:rPr>
          <w:rFonts w:ascii="Times New Roman" w:hAnsi="Times New Roman"/>
          <w:noProof/>
          <w:sz w:val="24"/>
        </w:rPr>
        <w:t xml:space="preserve"> ili porezima – </w:t>
      </w:r>
      <w:r>
        <w:rPr>
          <w:rFonts w:ascii="Times New Roman" w:hAnsi="Times New Roman"/>
          <w:noProof/>
          <w:color w:val="000000" w:themeColor="text1"/>
          <w:sz w:val="24"/>
        </w:rPr>
        <w:t xml:space="preserve">u </w:t>
      </w:r>
      <w:r>
        <w:rPr>
          <w:rFonts w:ascii="Times New Roman" w:hAnsi="Times New Roman"/>
          <w:noProof/>
          <w:color w:val="000000" w:themeColor="text1"/>
          <w:sz w:val="24"/>
        </w:rPr>
        <w:t>sve većoj mjeri natječu s Europom u segmentima niskokvalificiranih poslova ili niske dodane vrijednosti.  Činjenica da se standardi u pogledu kvalitete života, socijalnih usluga, okoliša, poreza i drugih aspekata u tim zemljama razlikuju u odnosu na Europu</w:t>
      </w:r>
      <w:r>
        <w:rPr>
          <w:rFonts w:ascii="Times New Roman" w:hAnsi="Times New Roman"/>
          <w:noProof/>
          <w:color w:val="000000" w:themeColor="text1"/>
          <w:sz w:val="24"/>
        </w:rPr>
        <w:t xml:space="preserve"> znači da poduzeća mogu te razlike iskoristiti kao svoju konkurentsku prednost. To dovodi do zatvaranja tvornica, gubitka radnih mjesta te pritisaka na radničke plaće i radne uvjete. Poduzeća koja se ne mogu natjecati s produktivnijim ili jeftinijim inozem</w:t>
      </w:r>
      <w:r>
        <w:rPr>
          <w:rFonts w:ascii="Times New Roman" w:hAnsi="Times New Roman"/>
          <w:noProof/>
          <w:color w:val="000000" w:themeColor="text1"/>
          <w:sz w:val="24"/>
        </w:rPr>
        <w:t>nim pandanima gube, što dugotrajno utječe na otpuštene radnike, njihove obitelji i širu regiju.</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Neka inozemna poduzeća i vlade uključeni su u nepoštene trgovinske prakse. Europska čelična i brodograditeljska industrija trpe, primjerice, zbog dampinškog uvo</w:t>
      </w:r>
      <w:r>
        <w:rPr>
          <w:rFonts w:ascii="Times New Roman" w:hAnsi="Times New Roman"/>
          <w:noProof/>
          <w:color w:val="000000" w:themeColor="text1"/>
          <w:sz w:val="24"/>
        </w:rPr>
        <w:t xml:space="preserve">za povezanog sa subvencijama i prekomjernom proizvodnjom u određenim trećim zemljama. Druge zemlje uživaju koristi od međunarodne otvorenosti zahvaljujući povećanom izvozu, ali odnos nije uzajaman jer su domaće gospodarstvo zatvorile stranim ulagateljima. </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Velike korporacije mogu osim toga iskoristiti praznine u međunarodnim propisima te prenositi svoju dobit u jurisdikcije s niskim poreznim stopama umjesto da porez plaćaju ondje gdje proizvode ili prodaju svoje proizvode. S pomoću takvih strategija države </w:t>
      </w:r>
      <w:r>
        <w:rPr>
          <w:rFonts w:ascii="Times New Roman" w:hAnsi="Times New Roman"/>
          <w:noProof/>
          <w:color w:val="000000" w:themeColor="text1"/>
          <w:sz w:val="24"/>
        </w:rPr>
        <w:t>EU-a oštećuju se za porezne prihode, što je nepravedno i pridonosi dojmu da od globalnih integracija koristi imaju samo veća poduzeća i imućni pojedinci.</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Kombinacija globalizacije i tehnoloških promjena pridonijela je povećanju potražnje za kvalificiranom </w:t>
      </w:r>
      <w:r>
        <w:rPr>
          <w:rFonts w:ascii="Times New Roman" w:hAnsi="Times New Roman"/>
          <w:noProof/>
          <w:color w:val="000000" w:themeColor="text1"/>
          <w:sz w:val="24"/>
        </w:rPr>
        <w:t>radnom snagom, smanjivši istodobno broj poslova za niskokvalificirane radnike, osobito u proizvodnji. Radnici koji su tehnološki višak teško dolaze do novih poslova, osobito ako to uključuje stjecanje novih vještina.</w:t>
      </w:r>
    </w:p>
    <w:p w:rsidR="00CD0D3B" w:rsidRDefault="000C19A6">
      <w:pPr>
        <w:spacing w:after="120" w:line="240" w:lineRule="auto"/>
        <w:jc w:val="both"/>
        <w:rPr>
          <w:rFonts w:ascii="Times New Roman" w:hAnsi="Times New Roman" w:cs="Times New Roman"/>
          <w:noProof/>
          <w:sz w:val="24"/>
          <w:szCs w:val="24"/>
        </w:rPr>
      </w:pPr>
      <w:r>
        <w:rPr>
          <w:rFonts w:ascii="Times New Roman" w:hAnsi="Times New Roman"/>
          <w:noProof/>
          <w:sz w:val="24"/>
        </w:rPr>
        <w:t>Zakonita migracija načelno je pridonije</w:t>
      </w:r>
      <w:r>
        <w:rPr>
          <w:rFonts w:ascii="Times New Roman" w:hAnsi="Times New Roman"/>
          <w:noProof/>
          <w:sz w:val="24"/>
        </w:rPr>
        <w:t>la jačanju gospodarstva u zemljama domaćinima i donosi EU-u vještine potrebne za pokrivanje manjka na tržištu rada. Međutim u situacijama u kojima lokalna infrastruktura i integracijski napori ne prate povećani priljev migranata to može dovesti do napetost</w:t>
      </w:r>
      <w:r>
        <w:rPr>
          <w:rFonts w:ascii="Times New Roman" w:hAnsi="Times New Roman"/>
          <w:noProof/>
          <w:sz w:val="24"/>
        </w:rPr>
        <w:t>i u lokalnim zajednicama. Konkretno, u zemljama i regijama s visokom stopom nezaposlenosti i isključenosti može doći do visokih ekonomskih i društvenih troškova, dok u nekim slučajevima marginalizacija može dovesti do radikalizacije.</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Ako se ne nastave podu</w:t>
      </w:r>
      <w:r>
        <w:rPr>
          <w:rFonts w:ascii="Times New Roman" w:hAnsi="Times New Roman"/>
          <w:noProof/>
          <w:color w:val="000000" w:themeColor="text1"/>
          <w:sz w:val="24"/>
        </w:rPr>
        <w:t xml:space="preserve">zimati aktivne mjere, postoji rizik da globalizacija kombiniranjem učinaka tehnološkog napretka i nedavne ekonomske krize pridonese daljnjem širenju nejednakosti i socijalne polarizacije. Tijekom zadnjeg desetljeća realni prihod kućanstava srednje klase u </w:t>
      </w:r>
      <w:r>
        <w:rPr>
          <w:rFonts w:ascii="Times New Roman" w:hAnsi="Times New Roman"/>
          <w:noProof/>
          <w:color w:val="000000" w:themeColor="text1"/>
          <w:sz w:val="24"/>
        </w:rPr>
        <w:t>EU-u i drugim naprednim gospodarstvima uglavnom je stagnirao unatoč ukupnom rastu gospodarstva. Iako su nejednakosti u Europi u znatno manjoj mjeri izražene nego drugdje u svijetu, 1 % najbogatije populacije još uvijek posjeduje 27 % ukupnog bogatstva.</w:t>
      </w:r>
      <w:r>
        <w:rPr>
          <w:rStyle w:val="FootnoteReference"/>
          <w:rFonts w:ascii="Times New Roman" w:hAnsi="Times New Roman"/>
          <w:noProof/>
          <w:color w:val="000000" w:themeColor="text1"/>
          <w:sz w:val="24"/>
        </w:rPr>
        <w:footnoteReference w:id="6"/>
      </w:r>
    </w:p>
    <w:p w:rsidR="00CD0D3B" w:rsidRDefault="00CD0D3B">
      <w:pPr>
        <w:spacing w:after="120" w:line="240" w:lineRule="auto"/>
        <w:jc w:val="both"/>
        <w:rPr>
          <w:rFonts w:ascii="Times New Roman" w:hAnsi="Times New Roman"/>
          <w:noProof/>
          <w:color w:val="000000" w:themeColor="text1"/>
          <w:sz w:val="24"/>
        </w:rPr>
      </w:pPr>
    </w:p>
    <w:p w:rsidR="00CD0D3B" w:rsidRDefault="000C19A6">
      <w:pPr>
        <w:spacing w:after="120" w:line="240" w:lineRule="auto"/>
        <w:rPr>
          <w:rFonts w:ascii="Times New Roman" w:hAnsi="Times New Roman"/>
          <w:b/>
          <w:noProof/>
          <w:color w:val="595959"/>
          <w:sz w:val="24"/>
        </w:rPr>
      </w:pPr>
      <w:r>
        <w:rPr>
          <w:rFonts w:ascii="Times New Roman" w:hAnsi="Times New Roman"/>
          <w:b/>
          <w:noProof/>
          <w:color w:val="595959"/>
          <w:sz w:val="24"/>
        </w:rPr>
        <w:t>Slika 5.: Mišljenje Europljana o globalizaciji je podijeljeno</w:t>
      </w:r>
    </w:p>
    <w:p w:rsidR="00CD0D3B" w:rsidRDefault="000C19A6">
      <w:pPr>
        <w:spacing w:after="120" w:line="240" w:lineRule="auto"/>
        <w:jc w:val="center"/>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extent cx="4182386" cy="3809434"/>
            <wp:effectExtent l="0" t="0" r="889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84008" cy="3810911"/>
                    </a:xfrm>
                    <a:prstGeom prst="rect">
                      <a:avLst/>
                    </a:prstGeom>
                  </pic:spPr>
                </pic:pic>
              </a:graphicData>
            </a:graphic>
          </wp:inline>
        </w:drawing>
      </w:r>
    </w:p>
    <w:p w:rsidR="00CD0D3B" w:rsidRDefault="000C19A6">
      <w:pPr>
        <w:spacing w:after="120"/>
        <w:jc w:val="both"/>
        <w:rPr>
          <w:rFonts w:ascii="Times New Roman" w:hAnsi="Times New Roman"/>
          <w:i/>
          <w:noProof/>
          <w:color w:val="000000" w:themeColor="text1"/>
          <w:sz w:val="24"/>
        </w:rPr>
      </w:pPr>
      <w:r>
        <w:rPr>
          <w:rFonts w:ascii="Times New Roman" w:hAnsi="Times New Roman"/>
          <w:i/>
          <w:noProof/>
          <w:color w:val="000000" w:themeColor="text1"/>
          <w:sz w:val="24"/>
        </w:rPr>
        <w:t>Izvor: Bertelsmann Stiftung i Europska komisija (2016.)</w:t>
      </w:r>
    </w:p>
    <w:p w:rsidR="00CD0D3B" w:rsidRDefault="00CD0D3B">
      <w:pPr>
        <w:spacing w:after="120" w:line="240" w:lineRule="auto"/>
        <w:jc w:val="both"/>
        <w:rPr>
          <w:rFonts w:ascii="Times New Roman" w:hAnsi="Times New Roman"/>
          <w:noProof/>
          <w:sz w:val="24"/>
        </w:rPr>
      </w:pP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sz w:val="24"/>
        </w:rPr>
        <w:t>Mnogi</w:t>
      </w:r>
      <w:r>
        <w:rPr>
          <w:rFonts w:ascii="Times New Roman" w:hAnsi="Times New Roman"/>
          <w:noProof/>
          <w:color w:val="000000" w:themeColor="text1"/>
          <w:sz w:val="24"/>
        </w:rPr>
        <w:t xml:space="preserve"> građani drže da globalizacija izravno prijeti njihovu identitetu i tradiciji narušujući kulturnu raznolikost i njihov način života. Građani su zabrinuti zbog nedostatka kontrole nad vlastitom budućnošću i osjećaju da će mogućnosti njihove djece biti ogran</w:t>
      </w:r>
      <w:r>
        <w:rPr>
          <w:rFonts w:ascii="Times New Roman" w:hAnsi="Times New Roman"/>
          <w:noProof/>
          <w:color w:val="000000" w:themeColor="text1"/>
          <w:sz w:val="24"/>
        </w:rPr>
        <w:t>ičenije nego što su bile njihove. Razlog za to je stajalište da su nacionalne vlade izgubile kontrolu, sposobnost ili volju za to da oblikuju globalizaciju i upravljaju njezinim učincima na korist svih. S tim se političkim izazovom sada trebamo suočiti.</w:t>
      </w:r>
    </w:p>
    <w:p w:rsidR="00CD0D3B" w:rsidRDefault="000C19A6">
      <w:pPr>
        <w:spacing w:after="0" w:line="240" w:lineRule="auto"/>
        <w:rPr>
          <w:rFonts w:ascii="Times New Roman" w:hAnsi="Times New Roman"/>
          <w:noProof/>
          <w:color w:val="000000" w:themeColor="text1"/>
          <w:sz w:val="24"/>
        </w:rPr>
      </w:pPr>
      <w:r>
        <w:rPr>
          <w:noProof/>
        </w:rPr>
        <w:br w:type="page"/>
      </w:r>
    </w:p>
    <w:p w:rsidR="00CD0D3B" w:rsidRDefault="000C19A6">
      <w:pPr>
        <w:spacing w:after="120" w:line="240" w:lineRule="auto"/>
        <w:ind w:left="360"/>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2. Pogled u budućnost</w:t>
      </w:r>
    </w:p>
    <w:p w:rsidR="00CD0D3B" w:rsidRDefault="000C19A6">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2.1. Globalizacija će znatno drukčije izgledati u 2025.</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Još smo uvijek u ranoj fazi transformacije, u kojoj će digitalizacija, </w:t>
      </w:r>
      <w:r>
        <w:rPr>
          <w:rFonts w:ascii="Times New Roman" w:hAnsi="Times New Roman"/>
          <w:noProof/>
          <w:sz w:val="24"/>
        </w:rPr>
        <w:t>roboti, umjetna inteligencija, internet stvari i 3D ispis</w:t>
      </w:r>
      <w:r>
        <w:rPr>
          <w:rFonts w:ascii="Times New Roman" w:hAnsi="Times New Roman"/>
          <w:noProof/>
          <w:color w:val="000000" w:themeColor="text1"/>
          <w:sz w:val="24"/>
        </w:rPr>
        <w:t xml:space="preserve"> revolucionirati našu proizvodnju, rad, kretanje i</w:t>
      </w:r>
      <w:r>
        <w:rPr>
          <w:rFonts w:ascii="Times New Roman" w:hAnsi="Times New Roman"/>
          <w:noProof/>
          <w:color w:val="000000" w:themeColor="text1"/>
          <w:sz w:val="24"/>
        </w:rPr>
        <w:t xml:space="preserve"> potrošnju.</w:t>
      </w:r>
    </w:p>
    <w:p w:rsidR="00CD0D3B" w:rsidRDefault="000C19A6">
      <w:pPr>
        <w:spacing w:after="120" w:line="240" w:lineRule="auto"/>
        <w:rPr>
          <w:rFonts w:ascii="Times New Roman" w:hAnsi="Times New Roman"/>
          <w:b/>
          <w:noProof/>
          <w:color w:val="595959"/>
          <w:sz w:val="24"/>
        </w:rPr>
      </w:pPr>
      <w:r>
        <w:rPr>
          <w:rFonts w:ascii="Times New Roman" w:hAnsi="Times New Roman"/>
          <w:b/>
          <w:noProof/>
          <w:color w:val="595959"/>
          <w:sz w:val="24"/>
        </w:rPr>
        <w:t>Slika 6.: Globalizacija nekad i sad</w:t>
      </w:r>
    </w:p>
    <w:p w:rsidR="00CD0D3B" w:rsidRDefault="000C19A6">
      <w:pPr>
        <w:spacing w:after="120" w:line="240" w:lineRule="auto"/>
        <w:jc w:val="center"/>
        <w:rPr>
          <w:rFonts w:ascii="Times New Roman" w:hAnsi="Times New Roman"/>
          <w:noProof/>
          <w:sz w:val="24"/>
        </w:rPr>
      </w:pPr>
      <w:r>
        <w:rPr>
          <w:rFonts w:ascii="Times New Roman" w:hAnsi="Times New Roman"/>
          <w:noProof/>
          <w:sz w:val="24"/>
        </w:rPr>
        <w:t xml:space="preserve"> </w:t>
      </w:r>
      <w:r>
        <w:rPr>
          <w:noProof/>
          <w:lang w:val="en-GB" w:eastAsia="en-GB" w:bidi="ar-SA"/>
        </w:rPr>
        <w:drawing>
          <wp:inline distT="0" distB="0" distL="0" distR="0">
            <wp:extent cx="5760720" cy="382414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824148"/>
                    </a:xfrm>
                    <a:prstGeom prst="rect">
                      <a:avLst/>
                    </a:prstGeom>
                  </pic:spPr>
                </pic:pic>
              </a:graphicData>
            </a:graphic>
          </wp:inline>
        </w:drawing>
      </w:r>
    </w:p>
    <w:p w:rsidR="00CD0D3B" w:rsidRDefault="000C19A6">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Izvor: Europska komisija, McKinsey Global Institute, OECD</w:t>
      </w:r>
    </w:p>
    <w:p w:rsidR="00CD0D3B" w:rsidRDefault="00CD0D3B">
      <w:pPr>
        <w:spacing w:after="120" w:line="240" w:lineRule="auto"/>
        <w:jc w:val="both"/>
        <w:rPr>
          <w:rFonts w:ascii="Times New Roman" w:hAnsi="Times New Roman"/>
          <w:noProof/>
          <w:color w:val="000000" w:themeColor="text1"/>
          <w:sz w:val="24"/>
        </w:rPr>
      </w:pP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Promjenu će doživjeti svi sektori, primjerice:</w:t>
      </w:r>
    </w:p>
    <w:p w:rsidR="00CD0D3B" w:rsidRDefault="000C19A6">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promet</w:t>
      </w:r>
      <w:r>
        <w:rPr>
          <w:rFonts w:ascii="Times New Roman" w:eastAsiaTheme="minorEastAsia" w:hAnsi="Times New Roman"/>
          <w:noProof/>
          <w:color w:val="000000" w:themeColor="text1"/>
          <w:sz w:val="24"/>
        </w:rPr>
        <w:t xml:space="preserve"> zahvaljujući npr. automobilima bez vozača, umreženim automobilima, dronovima, zajedničkom korištenju automobilima</w:t>
      </w:r>
    </w:p>
    <w:p w:rsidR="00CD0D3B" w:rsidRDefault="000C19A6">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energetika</w:t>
      </w:r>
      <w:r>
        <w:rPr>
          <w:rFonts w:ascii="Times New Roman" w:eastAsiaTheme="minorEastAsia" w:hAnsi="Times New Roman"/>
          <w:noProof/>
          <w:color w:val="000000" w:themeColor="text1"/>
          <w:sz w:val="24"/>
        </w:rPr>
        <w:t xml:space="preserve"> zahvaljujući npr. pametnim mrežama, obnovljivoj energiji i distribuiranoj proizvodnji</w:t>
      </w:r>
    </w:p>
    <w:p w:rsidR="00CD0D3B" w:rsidRDefault="000C19A6">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poljoprivreda i prehrana</w:t>
      </w:r>
      <w:r>
        <w:rPr>
          <w:rFonts w:ascii="Times New Roman" w:eastAsiaTheme="minorEastAsia" w:hAnsi="Times New Roman"/>
          <w:noProof/>
          <w:color w:val="000000" w:themeColor="text1"/>
          <w:sz w:val="24"/>
        </w:rPr>
        <w:t xml:space="preserve"> zahvaljujući npr. k</w:t>
      </w:r>
      <w:r>
        <w:rPr>
          <w:rFonts w:ascii="Times New Roman" w:eastAsiaTheme="minorEastAsia" w:hAnsi="Times New Roman"/>
          <w:noProof/>
          <w:color w:val="000000" w:themeColor="text1"/>
          <w:sz w:val="24"/>
        </w:rPr>
        <w:t>limatski održivom poljoprivrednom uzgoju i primjeni mjera za suzbijanje bacanja hrane,</w:t>
      </w:r>
    </w:p>
    <w:p w:rsidR="00CD0D3B" w:rsidRDefault="000C19A6">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telekomunikacije</w:t>
      </w:r>
      <w:r>
        <w:rPr>
          <w:rFonts w:ascii="Times New Roman" w:eastAsiaTheme="minorEastAsia" w:hAnsi="Times New Roman"/>
          <w:noProof/>
          <w:color w:val="000000" w:themeColor="text1"/>
          <w:sz w:val="24"/>
        </w:rPr>
        <w:t xml:space="preserve"> zahvaljujući npr. jačim mrežama, virtualnoj stvarnosti, virtualnim uredima</w:t>
      </w:r>
    </w:p>
    <w:p w:rsidR="00CD0D3B" w:rsidRDefault="000C19A6">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distribucija</w:t>
      </w:r>
      <w:r>
        <w:rPr>
          <w:rFonts w:ascii="Times New Roman" w:eastAsiaTheme="minorEastAsia" w:hAnsi="Times New Roman"/>
          <w:noProof/>
          <w:color w:val="000000" w:themeColor="text1"/>
          <w:sz w:val="24"/>
        </w:rPr>
        <w:t xml:space="preserve"> zahvaljujući npr. sve većoj važnosti e-trgovine</w:t>
      </w:r>
    </w:p>
    <w:p w:rsidR="00CD0D3B" w:rsidRDefault="000C19A6">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financijske uslu</w:t>
      </w:r>
      <w:r>
        <w:rPr>
          <w:rFonts w:ascii="Times New Roman" w:hAnsi="Times New Roman"/>
          <w:b/>
          <w:noProof/>
          <w:color w:val="000000" w:themeColor="text1"/>
          <w:sz w:val="24"/>
        </w:rPr>
        <w:t>ge</w:t>
      </w:r>
      <w:r>
        <w:rPr>
          <w:rFonts w:ascii="Times New Roman" w:eastAsiaTheme="minorEastAsia" w:hAnsi="Times New Roman"/>
          <w:noProof/>
          <w:color w:val="000000" w:themeColor="text1"/>
          <w:sz w:val="24"/>
        </w:rPr>
        <w:t xml:space="preserve"> zahvaljujući npr. virtualnim bankarskim i osiguravajućim kućama i masovnom financiranju,</w:t>
      </w:r>
    </w:p>
    <w:p w:rsidR="00CD0D3B" w:rsidRDefault="000C19A6">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tvornička proizvodnja</w:t>
      </w:r>
      <w:r>
        <w:rPr>
          <w:rFonts w:ascii="Times New Roman" w:eastAsiaTheme="minorEastAsia" w:hAnsi="Times New Roman"/>
          <w:noProof/>
          <w:color w:val="000000" w:themeColor="text1"/>
          <w:sz w:val="24"/>
        </w:rPr>
        <w:t xml:space="preserve"> zahvaljujući automatizaciji, ili</w:t>
      </w:r>
    </w:p>
    <w:p w:rsidR="00CD0D3B" w:rsidRDefault="000C19A6">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zdravstvena skrb</w:t>
      </w:r>
      <w:r>
        <w:rPr>
          <w:rFonts w:ascii="Times New Roman" w:eastAsiaTheme="minorEastAsia" w:hAnsi="Times New Roman"/>
          <w:noProof/>
          <w:color w:val="000000" w:themeColor="text1"/>
          <w:sz w:val="24"/>
        </w:rPr>
        <w:t xml:space="preserve"> zahvaljujući npr. mrežnoj dijagnostici i većoj prekograničnoj mobilnosti medicinskih radnika</w:t>
      </w:r>
      <w:r>
        <w:rPr>
          <w:rFonts w:ascii="Times New Roman" w:eastAsiaTheme="minorEastAsia" w:hAnsi="Times New Roman"/>
          <w:noProof/>
          <w:color w:val="000000" w:themeColor="text1"/>
          <w:sz w:val="24"/>
        </w:rPr>
        <w:t>.</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Zbog automatizacije troškovi rada sve su manje važan čimbenik u odlučivanju o odabiru mjesta proizvodnje. To pridonosi vraćanju dijela proizvodnje u Europu, kako primjećuje Centar za praćenje repatrijacije poslovnih aktivnosti (European Reshoring Monitor</w:t>
      </w:r>
      <w:r>
        <w:rPr>
          <w:rFonts w:ascii="Times New Roman" w:hAnsi="Times New Roman"/>
          <w:noProof/>
          <w:color w:val="000000" w:themeColor="text1"/>
          <w:sz w:val="24"/>
        </w:rPr>
        <w:t>).</w:t>
      </w:r>
      <w:r>
        <w:rPr>
          <w:rFonts w:ascii="Times New Roman" w:hAnsi="Times New Roman"/>
          <w:noProof/>
          <w:color w:val="000000" w:themeColor="text1"/>
          <w:sz w:val="24"/>
        </w:rPr>
        <w:footnoteReference w:id="7"/>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Godine 2016. poznati njemački proizvođač sportske obuće u Njemačku je prebacio proizvodnju posebnog modela obuće u potpuno robotiziranu tvornicu. Poduzeće u budućnosti namjerava otvoriti više takvih „brzih proizvodnih pogona” u Europi ili SAD-u.</w:t>
      </w:r>
    </w:p>
    <w:p w:rsidR="00CD0D3B" w:rsidRDefault="000C19A6">
      <w:pPr>
        <w:spacing w:after="120" w:line="240" w:lineRule="auto"/>
        <w:jc w:val="both"/>
        <w:rPr>
          <w:rFonts w:ascii="Times New Roman" w:hAnsi="Times New Roman"/>
          <w:noProof/>
          <w:sz w:val="24"/>
        </w:rPr>
      </w:pPr>
      <w:r>
        <w:rPr>
          <w:rFonts w:ascii="Times New Roman" w:hAnsi="Times New Roman"/>
          <w:noProof/>
          <w:color w:val="000000" w:themeColor="text1"/>
          <w:sz w:val="24"/>
        </w:rPr>
        <w:t>Međuti</w:t>
      </w:r>
      <w:r>
        <w:rPr>
          <w:rFonts w:ascii="Times New Roman" w:hAnsi="Times New Roman"/>
          <w:noProof/>
          <w:color w:val="000000" w:themeColor="text1"/>
          <w:sz w:val="24"/>
        </w:rPr>
        <w:t>m nestat će jednostavni i repetitivni poslovi koji se mogu automatizirati.</w:t>
      </w:r>
      <w:r>
        <w:rPr>
          <w:noProof/>
          <w:color w:val="000000" w:themeColor="text1"/>
        </w:rPr>
        <w:footnoteReference w:id="8"/>
      </w:r>
      <w:r>
        <w:rPr>
          <w:rFonts w:ascii="Times New Roman" w:hAnsi="Times New Roman"/>
          <w:noProof/>
          <w:color w:val="000000" w:themeColor="text1"/>
          <w:sz w:val="24"/>
        </w:rPr>
        <w:t xml:space="preserve"> Radna mjesta koja će se ponovno otvoriti u Europi razlikovat će se od onih koja su prije mnogo godina prebačena u druge dijelove svijeta.</w:t>
      </w:r>
      <w:r>
        <w:rPr>
          <w:rFonts w:ascii="Times New Roman" w:hAnsi="Times New Roman"/>
          <w:noProof/>
          <w:sz w:val="24"/>
        </w:rPr>
        <w:t xml:space="preserve"> Izazov za Europu bit će inovirati stratešk</w:t>
      </w:r>
      <w:r>
        <w:rPr>
          <w:rFonts w:ascii="Times New Roman" w:hAnsi="Times New Roman"/>
          <w:noProof/>
          <w:sz w:val="24"/>
        </w:rPr>
        <w:t>e tehnologije i pomoći radnicima da steknu vještine potrebne za umanjenje jaza između ponude i potražnje na tržištu rada.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Zahvaljujući digitalnim tehnologijama i e-trgovini i dalje će se povećavati prekogranične mogućnosti, čak i za najmanja poduzeća. </w:t>
      </w:r>
      <w:r>
        <w:rPr>
          <w:rFonts w:ascii="Times New Roman" w:hAnsi="Times New Roman"/>
          <w:noProof/>
          <w:color w:val="000000" w:themeColor="text1"/>
          <w:sz w:val="24"/>
        </w:rPr>
        <w:t>Mnoga poduzeća osnivaju se „globalno” i internetom se obraćaju kupcima širom svijeta. S druge strane, neke velike mrežne platforme postaju sve dominantnije na tržištu, djelomično i zbog svoje sposobnosti praćenja i pohrane osobnih podataka. Izazovi u održa</w:t>
      </w:r>
      <w:r>
        <w:rPr>
          <w:rFonts w:ascii="Times New Roman" w:hAnsi="Times New Roman"/>
          <w:noProof/>
          <w:color w:val="000000" w:themeColor="text1"/>
          <w:sz w:val="24"/>
        </w:rPr>
        <w:t>vanju privatnosti, zaštiti podataka i kibersigurnosti, kao i izbjegavanju zlouporabe tržišne snage bit će sve veći.</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Razvijene zemlje imaju vodstvo u mnogima od tih novih tehnologija. Međutim u vrijednosnim lancima konkurencija iz gospodarstava u usponu bit</w:t>
      </w:r>
      <w:r>
        <w:rPr>
          <w:rFonts w:ascii="Times New Roman" w:hAnsi="Times New Roman"/>
          <w:noProof/>
          <w:color w:val="000000" w:themeColor="text1"/>
          <w:sz w:val="24"/>
        </w:rPr>
        <w:t xml:space="preserve"> će sve jača. </w:t>
      </w:r>
      <w:r>
        <w:rPr>
          <w:rFonts w:ascii="Times New Roman" w:hAnsi="Times New Roman"/>
          <w:noProof/>
          <w:sz w:val="24"/>
        </w:rPr>
        <w:t>Prijeti širenje jaza između tehnološki naprednijih regija i regija u zaostatku, osim ako nacionalne vlade ulože u obrazovanje, omoguće građanima stjecanje odgovarajućih vještina, potaknu inovacije, osiguraju pošteno tržišno natjecanje i razbo</w:t>
      </w:r>
      <w:r>
        <w:rPr>
          <w:rFonts w:ascii="Times New Roman" w:hAnsi="Times New Roman"/>
          <w:noProof/>
          <w:sz w:val="24"/>
        </w:rPr>
        <w:t>rito donose propise u područjima u kojima je to potrebno.</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U 2025. svijet će imati 8 milijardi stanovnika, a 61 % živjet će u Aziji, uglavnom u Kini i Indiji. Udio Europe u svjetskom stanovništvu bit će manji, a EU27 imat će udio od 5,5 %. To može dovesti d</w:t>
      </w:r>
      <w:r>
        <w:rPr>
          <w:rFonts w:ascii="Times New Roman" w:hAnsi="Times New Roman"/>
          <w:noProof/>
          <w:color w:val="000000" w:themeColor="text1"/>
          <w:sz w:val="24"/>
        </w:rPr>
        <w:t>o multipolarnosti u svjetskom poretku, uz različite političke, tehnološke, gospodarske i vojne sile. Za europska poduzeća to znači i otvaranje velikih novih tržišta.</w:t>
      </w:r>
    </w:p>
    <w:p w:rsidR="00CD0D3B" w:rsidRDefault="00CD0D3B">
      <w:pPr>
        <w:spacing w:after="120" w:line="240" w:lineRule="auto"/>
        <w:jc w:val="both"/>
        <w:rPr>
          <w:rFonts w:ascii="Times New Roman" w:hAnsi="Times New Roman"/>
          <w:noProof/>
          <w:color w:val="000000" w:themeColor="text1"/>
          <w:sz w:val="24"/>
        </w:rPr>
      </w:pPr>
    </w:p>
    <w:p w:rsidR="00CD0D3B" w:rsidRDefault="000C19A6">
      <w:pPr>
        <w:keepNext/>
        <w:spacing w:after="120" w:line="240" w:lineRule="auto"/>
        <w:rPr>
          <w:rFonts w:ascii="Times New Roman" w:hAnsi="Times New Roman"/>
          <w:b/>
          <w:noProof/>
          <w:color w:val="595959"/>
          <w:sz w:val="24"/>
        </w:rPr>
      </w:pPr>
      <w:r>
        <w:rPr>
          <w:rFonts w:ascii="Times New Roman" w:hAnsi="Times New Roman"/>
          <w:b/>
          <w:noProof/>
          <w:color w:val="595959"/>
          <w:sz w:val="24"/>
        </w:rPr>
        <w:t>Slika 7.: Broj stanovnika najviše se povećava izvan Europe</w:t>
      </w:r>
    </w:p>
    <w:p w:rsidR="00CD0D3B" w:rsidRDefault="000C19A6">
      <w:pPr>
        <w:spacing w:after="120" w:line="240" w:lineRule="auto"/>
        <w:jc w:val="both"/>
        <w:rPr>
          <w:rFonts w:ascii="Times New Roman" w:hAnsi="Times New Roman"/>
          <w:i/>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extent cx="5760720" cy="3527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527109"/>
                    </a:xfrm>
                    <a:prstGeom prst="rect">
                      <a:avLst/>
                    </a:prstGeom>
                  </pic:spPr>
                </pic:pic>
              </a:graphicData>
            </a:graphic>
          </wp:inline>
        </w:drawing>
      </w:r>
      <w:r>
        <w:rPr>
          <w:rFonts w:ascii="Times New Roman" w:hAnsi="Times New Roman"/>
          <w:i/>
          <w:noProof/>
          <w:color w:val="000000" w:themeColor="text1"/>
          <w:sz w:val="24"/>
        </w:rPr>
        <w:t xml:space="preserve">Izvor: Ujedinjeni narodi </w:t>
      </w:r>
      <w:r>
        <w:rPr>
          <w:rFonts w:ascii="Times New Roman" w:hAnsi="Times New Roman"/>
          <w:i/>
          <w:noProof/>
          <w:color w:val="000000" w:themeColor="text1"/>
          <w:sz w:val="24"/>
        </w:rPr>
        <w:t>(2015.)</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Sigurno će se povećati i mobilnost. Manje od 4 % svjetskog stanovništva trenutačno živi izvan zemlje rođenja, a taj je udio još manji za Europljane.</w:t>
      </w:r>
      <w:r>
        <w:rPr>
          <w:rFonts w:ascii="Times New Roman" w:hAnsi="Times New Roman"/>
          <w:noProof/>
          <w:color w:val="000000" w:themeColor="text1"/>
          <w:sz w:val="24"/>
          <w:vertAlign w:val="superscript"/>
        </w:rPr>
        <w:footnoteReference w:id="9"/>
      </w:r>
      <w:r>
        <w:rPr>
          <w:rFonts w:ascii="Times New Roman" w:hAnsi="Times New Roman"/>
          <w:noProof/>
          <w:color w:val="000000" w:themeColor="text1"/>
          <w:sz w:val="24"/>
        </w:rPr>
        <w:t xml:space="preserve"> Do 2025. udio takvih osoba će se povećati. Udio mladog stanovništva u Africi se povećava, a nestab</w:t>
      </w:r>
      <w:r>
        <w:rPr>
          <w:rFonts w:ascii="Times New Roman" w:hAnsi="Times New Roman"/>
          <w:noProof/>
          <w:color w:val="000000" w:themeColor="text1"/>
          <w:sz w:val="24"/>
        </w:rPr>
        <w:t>ilnost u susjedstvu i drugim područjima te sve veći pritisci uzrokovani klimatskim promjenama bit će poticaj pojedincima i obiteljima za to da sigurnije i bolje životne uvjete potraže u inozemstvu, osim ako se ne uloži u promicanje mirne i prosperitetne bu</w:t>
      </w:r>
      <w:r>
        <w:rPr>
          <w:rFonts w:ascii="Times New Roman" w:hAnsi="Times New Roman"/>
          <w:noProof/>
          <w:color w:val="000000" w:themeColor="text1"/>
          <w:sz w:val="24"/>
        </w:rPr>
        <w:t>dućnosti u zemljama podrijetla.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Tehnologije su pridonijele jačanju svijesti o mogućnostima diljem svijeta. Zahvaljujući njima olakšan je i rad na daljinu, u drugoj zemlji ili na drugom kontinentu. Sudjelovanje u globalnoj radnoj snazi u manjoj će mjeri ovi</w:t>
      </w:r>
      <w:r>
        <w:rPr>
          <w:rFonts w:ascii="Times New Roman" w:hAnsi="Times New Roman"/>
          <w:noProof/>
          <w:color w:val="000000" w:themeColor="text1"/>
          <w:sz w:val="24"/>
        </w:rPr>
        <w:t>siti o tome gdje ljudi žive, a više o brzini i kvaliteti internetske veze.</w:t>
      </w:r>
    </w:p>
    <w:p w:rsidR="00CD0D3B" w:rsidRDefault="000C19A6">
      <w:pPr>
        <w:spacing w:after="120" w:line="240" w:lineRule="auto"/>
        <w:jc w:val="both"/>
        <w:rPr>
          <w:rFonts w:ascii="Times New Roman" w:hAnsi="Times New Roman"/>
          <w:noProof/>
          <w:sz w:val="24"/>
        </w:rPr>
      </w:pPr>
      <w:r>
        <w:rPr>
          <w:rFonts w:ascii="Times New Roman" w:hAnsi="Times New Roman"/>
          <w:noProof/>
          <w:color w:val="000000" w:themeColor="text1"/>
          <w:sz w:val="24"/>
        </w:rPr>
        <w:t>Veća globalna povezanost donijet će nove mogućnosti, ali i povećati prijetnje. Kriminal i terorizam i dalje će pokušavati iskoristiti veću otvorenost i nove tehnologije kako bi neza</w:t>
      </w:r>
      <w:r>
        <w:rPr>
          <w:rFonts w:ascii="Times New Roman" w:hAnsi="Times New Roman"/>
          <w:noProof/>
          <w:color w:val="000000" w:themeColor="text1"/>
          <w:sz w:val="24"/>
        </w:rPr>
        <w:t>konito djelovali ili širili mržnju. S druge strane, sve više dionika – građana, skupina civilnog društva, poduzeća i jedinica lokalne samouprave – može kontaktirati sa svojim pandanima diljem svijeta i surađivati pri rješavanju zajedničkih problema.</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 xml:space="preserve">Mreže </w:t>
      </w:r>
      <w:r>
        <w:rPr>
          <w:rFonts w:ascii="Times New Roman" w:hAnsi="Times New Roman"/>
          <w:b/>
          <w:noProof/>
          <w:sz w:val="24"/>
        </w:rPr>
        <w:t>gradova</w:t>
      </w:r>
      <w:r>
        <w:rPr>
          <w:rFonts w:ascii="Times New Roman" w:hAnsi="Times New Roman"/>
          <w:noProof/>
          <w:sz w:val="24"/>
        </w:rPr>
        <w:t xml:space="preserve"> surađuju kako bi jedni od drugih naučili kako se suočiti s klimatskim promjenama ili u društvo integrirati pristigle izbjeglice; regije sklapaju partnerstva s privatnim poduzećima kako bi osmislili napredne razvojne planove; građani se mobiliziraju</w:t>
      </w:r>
      <w:r>
        <w:rPr>
          <w:rFonts w:ascii="Times New Roman" w:hAnsi="Times New Roman"/>
          <w:noProof/>
          <w:sz w:val="24"/>
        </w:rPr>
        <w:t xml:space="preserve"> s pomoću elektroničkih medija kako bi demonstrirali solidarnost s globalnim pokretima, primjerice u </w:t>
      </w:r>
      <w:r>
        <w:rPr>
          <w:rFonts w:ascii="Times New Roman" w:hAnsi="Times New Roman"/>
          <w:b/>
          <w:noProof/>
          <w:sz w:val="24"/>
        </w:rPr>
        <w:t>povorkama žena</w:t>
      </w:r>
      <w:r>
        <w:rPr>
          <w:rFonts w:ascii="Times New Roman" w:hAnsi="Times New Roman"/>
          <w:noProof/>
          <w:sz w:val="24"/>
        </w:rPr>
        <w:t xml:space="preserve"> organiziranima u gradovima diljem svijeta 21. siječnja 2017.</w:t>
      </w:r>
    </w:p>
    <w:p w:rsidR="00CD0D3B" w:rsidRDefault="00CD0D3B">
      <w:pPr>
        <w:spacing w:after="120" w:line="240" w:lineRule="auto"/>
        <w:jc w:val="both"/>
        <w:rPr>
          <w:rFonts w:ascii="Times New Roman" w:hAnsi="Times New Roman"/>
          <w:noProof/>
          <w:color w:val="000000" w:themeColor="text1"/>
          <w:sz w:val="24"/>
        </w:rPr>
      </w:pPr>
    </w:p>
    <w:p w:rsidR="00CD0D3B" w:rsidRDefault="000C19A6">
      <w:pPr>
        <w:keepNext/>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2.2. ... te će biti potrebno oduprijeti se izazovima izolacionizma i </w:t>
      </w:r>
      <w:r>
        <w:rPr>
          <w:rFonts w:ascii="Times New Roman" w:hAnsi="Times New Roman"/>
          <w:b/>
          <w:noProof/>
          <w:color w:val="000000" w:themeColor="text1"/>
          <w:sz w:val="24"/>
        </w:rPr>
        <w:t>neaktivnosti</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Promjene povezane s globalizacijom mogu potaknuti zemlje na izolaciju i ograđivanje od onoga što se događa oko njih. Taj je problem osobito zamjetan u slabije razvijenim regijama. Dok jedni žele postaviti prepreke i zatvoriti granice, drugi pu</w:t>
      </w:r>
      <w:r>
        <w:rPr>
          <w:rFonts w:ascii="Times New Roman" w:hAnsi="Times New Roman"/>
          <w:noProof/>
          <w:color w:val="000000" w:themeColor="text1"/>
          <w:sz w:val="24"/>
        </w:rPr>
        <w:t>štaju da globalizacija ide svojim tokom u uvjerenju da će se samoregulacijom tržišta postići najbolji ishod.</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Kao posljedica gospodarske krize i antiglobalizacijskih tendencija već su zabilježeni slučajevi izolacionizma. U proteklom je desetljeću u velikoj </w:t>
      </w:r>
      <w:r>
        <w:rPr>
          <w:rFonts w:ascii="Times New Roman" w:hAnsi="Times New Roman"/>
          <w:noProof/>
          <w:color w:val="000000" w:themeColor="text1"/>
          <w:sz w:val="24"/>
        </w:rPr>
        <w:t>mjeri došlo do zastoja multilateralnih pregovora za ukidanje prepreka trgovini te smo svjedoci povratka protekcionizma</w:t>
      </w:r>
      <w:r>
        <w:rPr>
          <w:rStyle w:val="FootnoteReference"/>
          <w:rFonts w:ascii="Times New Roman" w:hAnsi="Times New Roman"/>
          <w:noProof/>
          <w:color w:val="000000" w:themeColor="text1"/>
          <w:sz w:val="24"/>
        </w:rPr>
        <w:footnoteReference w:id="10"/>
      </w:r>
      <w:r>
        <w:rPr>
          <w:rFonts w:ascii="Times New Roman" w:hAnsi="Times New Roman"/>
          <w:noProof/>
          <w:color w:val="000000" w:themeColor="text1"/>
          <w:sz w:val="24"/>
        </w:rPr>
        <w:t>.</w:t>
      </w:r>
      <w:r>
        <w:rPr>
          <w:rFonts w:ascii="Times New Roman" w:hAnsi="Times New Roman"/>
          <w:noProof/>
          <w:sz w:val="24"/>
        </w:rPr>
        <w:t xml:space="preserve"> </w:t>
      </w:r>
      <w:r>
        <w:rPr>
          <w:rFonts w:ascii="Times New Roman" w:hAnsi="Times New Roman"/>
          <w:noProof/>
          <w:color w:val="000000" w:themeColor="text1"/>
          <w:sz w:val="24"/>
        </w:rPr>
        <w:t>Čak i u zemljama koje su se tradicionalno zalagale za otvorenu globalnu ekonomiju sada se traže načini kako da se obuzda uvoz, ograniči</w:t>
      </w:r>
      <w:r>
        <w:rPr>
          <w:rFonts w:ascii="Times New Roman" w:hAnsi="Times New Roman"/>
          <w:noProof/>
          <w:color w:val="000000" w:themeColor="text1"/>
          <w:sz w:val="24"/>
        </w:rPr>
        <w:t xml:space="preserve"> imigraciju i potakne domaću proizvodnju. Sva su ta kretanja pridonijela zamjetnom usporavanju rasta globalne trgovine.</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Međutim, većina europskih građana priznaje da</w:t>
      </w:r>
      <w:r>
        <w:rPr>
          <w:rStyle w:val="FootnoteReference"/>
          <w:rFonts w:ascii="Times New Roman" w:hAnsi="Times New Roman"/>
          <w:noProof/>
          <w:color w:val="000000" w:themeColor="text1"/>
          <w:sz w:val="24"/>
        </w:rPr>
        <w:footnoteReference w:id="11"/>
      </w:r>
      <w:r>
        <w:rPr>
          <w:rFonts w:ascii="Times New Roman" w:hAnsi="Times New Roman"/>
          <w:noProof/>
          <w:color w:val="000000" w:themeColor="text1"/>
          <w:sz w:val="24"/>
        </w:rPr>
        <w:t xml:space="preserve"> protekcionizam ne pruža zaštitu. Iako kratkoročno može donijeti poboljšanje, povijest je </w:t>
      </w:r>
      <w:r>
        <w:rPr>
          <w:rFonts w:ascii="Times New Roman" w:hAnsi="Times New Roman"/>
          <w:noProof/>
          <w:color w:val="000000" w:themeColor="text1"/>
          <w:sz w:val="24"/>
        </w:rPr>
        <w:t>pokazala da ne donosi trajan uspjeh, već naprotiv može imati katastrofalne posljedice</w:t>
      </w:r>
      <w:r>
        <w:rPr>
          <w:rStyle w:val="FootnoteReference"/>
          <w:noProof/>
          <w:color w:val="000000" w:themeColor="text1"/>
        </w:rPr>
        <w:footnoteReference w:id="12"/>
      </w:r>
      <w:r>
        <w:rPr>
          <w:rFonts w:ascii="Times New Roman" w:hAnsi="Times New Roman"/>
          <w:noProof/>
          <w:color w:val="000000" w:themeColor="text1"/>
          <w:sz w:val="24"/>
        </w:rPr>
        <w:t>.</w:t>
      </w:r>
      <w:r>
        <w:rPr>
          <w:rFonts w:ascii="Times New Roman" w:hAnsi="Times New Roman"/>
          <w:noProof/>
          <w:sz w:val="24"/>
        </w:rPr>
        <w:t xml:space="preserve"> Upozoravajući je primjer velika ekonomska depresija iz 1930-ih koju je još više produbio osvetnički protekcionizam i koja je naposljetku pridonijela izbijanju rata.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Ako</w:t>
      </w:r>
      <w:r>
        <w:rPr>
          <w:rFonts w:ascii="Times New Roman" w:hAnsi="Times New Roman"/>
          <w:noProof/>
          <w:color w:val="000000" w:themeColor="text1"/>
          <w:sz w:val="24"/>
        </w:rPr>
        <w:t xml:space="preserve"> zatvorimo granice, i drugi će to učiniti,  a na kraju ćemo svi biti na gubitku. To osobito vrijedi za Europu zbog visokog stupnja njezine integriranosti u </w:t>
      </w:r>
      <w:r>
        <w:rPr>
          <w:rFonts w:ascii="Times New Roman" w:hAnsi="Times New Roman"/>
          <w:noProof/>
          <w:sz w:val="24"/>
        </w:rPr>
        <w:t>globalne vrijednosne lance. Protekcionizam bi uzrokovao zastoj proizvodnje te doveo do povećanja tro</w:t>
      </w:r>
      <w:r>
        <w:rPr>
          <w:rFonts w:ascii="Times New Roman" w:hAnsi="Times New Roman"/>
          <w:noProof/>
          <w:sz w:val="24"/>
        </w:rPr>
        <w:t>škova i cijena za potrošače. Europski izvozni proizvodi time bi postali manje konkurentni, što bi ugrozilo još više radnih mjesta</w:t>
      </w:r>
      <w:r>
        <w:rPr>
          <w:rStyle w:val="FootnoteReference"/>
          <w:noProof/>
        </w:rPr>
        <w:footnoteReference w:id="13"/>
      </w:r>
      <w:r>
        <w:rPr>
          <w:rFonts w:ascii="Times New Roman" w:hAnsi="Times New Roman"/>
          <w:noProof/>
          <w:sz w:val="24"/>
        </w:rPr>
        <w:t>.</w:t>
      </w:r>
      <w:r>
        <w:rPr>
          <w:rFonts w:ascii="Times New Roman" w:hAnsi="Times New Roman"/>
          <w:noProof/>
          <w:color w:val="000000" w:themeColor="text1"/>
          <w:sz w:val="24"/>
        </w:rPr>
        <w:t xml:space="preserve"> </w:t>
      </w:r>
      <w:r>
        <w:rPr>
          <w:rFonts w:ascii="Times New Roman" w:hAnsi="Times New Roman"/>
          <w:noProof/>
          <w:sz w:val="24"/>
        </w:rPr>
        <w:t>Procjenjuje se da povećanje trgovinskih ograničenja za 10 % dovodi do smanjenja nacionalnog dohotka za 4 %</w:t>
      </w:r>
      <w:r>
        <w:rPr>
          <w:rStyle w:val="FootnoteReference"/>
          <w:noProof/>
        </w:rPr>
        <w:footnoteReference w:id="14"/>
      </w:r>
      <w:r>
        <w:rPr>
          <w:rFonts w:ascii="Times New Roman" w:hAnsi="Times New Roman"/>
          <w:noProof/>
          <w:sz w:val="24"/>
        </w:rPr>
        <w:t>. Posljedica bi b</w:t>
      </w:r>
      <w:r>
        <w:rPr>
          <w:rFonts w:ascii="Times New Roman" w:hAnsi="Times New Roman"/>
          <w:noProof/>
          <w:sz w:val="24"/>
        </w:rPr>
        <w:t>ila gubitak pristupa novim proizvodima, uslugama, tehnologijama i idejama. S obzirom na to da bi povećanje cijena najviše pogodilo one najsiromašnije, protekcionizam bi imao učinak suprotan željenom</w:t>
      </w:r>
      <w:r>
        <w:rPr>
          <w:rStyle w:val="FootnoteReference"/>
          <w:noProof/>
        </w:rPr>
        <w:footnoteReference w:id="15"/>
      </w:r>
      <w:r>
        <w:rPr>
          <w:noProof/>
        </w:rPr>
        <w:t>.</w:t>
      </w:r>
      <w:r>
        <w:rPr>
          <w:rFonts w:ascii="Times New Roman" w:hAnsi="Times New Roman"/>
          <w:noProof/>
          <w:sz w:val="24"/>
        </w:rPr>
        <w:t xml:space="preserve"> </w:t>
      </w:r>
    </w:p>
    <w:p w:rsidR="00CD0D3B" w:rsidRDefault="000C19A6">
      <w:pPr>
        <w:spacing w:after="120" w:line="240" w:lineRule="auto"/>
        <w:jc w:val="both"/>
        <w:rPr>
          <w:rFonts w:ascii="Times New Roman" w:hAnsi="Times New Roman"/>
          <w:noProof/>
          <w:sz w:val="24"/>
        </w:rPr>
      </w:pPr>
      <w:r>
        <w:rPr>
          <w:rFonts w:ascii="Times New Roman" w:hAnsi="Times New Roman"/>
          <w:noProof/>
          <w:color w:val="000000" w:themeColor="text1"/>
          <w:sz w:val="24"/>
        </w:rPr>
        <w:t>Da bi se izbjegao taj negativan trend, potrebne su mul</w:t>
      </w:r>
      <w:r>
        <w:rPr>
          <w:rFonts w:ascii="Times New Roman" w:hAnsi="Times New Roman"/>
          <w:noProof/>
          <w:color w:val="000000" w:themeColor="text1"/>
          <w:sz w:val="24"/>
        </w:rPr>
        <w:t>tilateralne institucije i pravila koja će zemljama omogućiti da u globaliziranom svijetu promiču zajednička rješenja. Postojanje takvih institucija i pravila</w:t>
      </w:r>
      <w:r>
        <w:rPr>
          <w:rFonts w:ascii="Times New Roman" w:hAnsi="Times New Roman"/>
          <w:noProof/>
          <w:sz w:val="24"/>
        </w:rPr>
        <w:t xml:space="preserve"> ključno je za uređivanje područja koja zahtijevaju zajedničko djelovanje, kao što su globalno gosp</w:t>
      </w:r>
      <w:r>
        <w:rPr>
          <w:rFonts w:ascii="Times New Roman" w:hAnsi="Times New Roman"/>
          <w:noProof/>
          <w:sz w:val="24"/>
        </w:rPr>
        <w:t xml:space="preserve">odarstvo, klimatske promjene ili izbjegavanje plaćanja poreza. </w:t>
      </w:r>
      <w:r>
        <w:rPr>
          <w:rFonts w:ascii="Times New Roman" w:hAnsi="Times New Roman"/>
          <w:noProof/>
          <w:color w:val="000000" w:themeColor="text1"/>
          <w:sz w:val="24"/>
        </w:rPr>
        <w:t>U protivnom bi moćnije i beskrupuloznije zemlje i poduzeća mogli nametnuti vlastita pravila i interese slabijima. To bi bilo u suprotnosti s temeljnim vrijednostima suradnje, vladavine prava, r</w:t>
      </w:r>
      <w:r>
        <w:rPr>
          <w:rFonts w:ascii="Times New Roman" w:hAnsi="Times New Roman"/>
          <w:noProof/>
          <w:color w:val="000000" w:themeColor="text1"/>
          <w:sz w:val="24"/>
        </w:rPr>
        <w:t xml:space="preserve">avnopravnosti i solidarnosti na kojima počiva EU. </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Za lakše svladavanje globalizacije potrebno je više globalnog upravljanja i globalnih pravila. To moramo poduprijeti domaćim politikama usmjerenima na povećanje konkurentnosti i otpornosti na domaćem tržiš</w:t>
      </w:r>
      <w:r>
        <w:rPr>
          <w:rFonts w:ascii="Times New Roman" w:hAnsi="Times New Roman"/>
          <w:noProof/>
          <w:sz w:val="24"/>
        </w:rPr>
        <w:t>tu.  Europa mora odlučiti na koji će način to ostvariti.</w:t>
      </w:r>
    </w:p>
    <w:p w:rsidR="00CD0D3B" w:rsidRDefault="000C19A6">
      <w:pPr>
        <w:pageBreakBefore/>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3. Europski vanjski odgovor: međunarodna suradnja u oblikovanju globalizacije, gospodarska diplomacija i instrumenti za osiguravanje ravnopravnih uvjeta</w:t>
      </w:r>
    </w:p>
    <w:p w:rsidR="00CD0D3B" w:rsidRDefault="000C19A6">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3.1. EU već djeluje kao silnica pravednijeg </w:t>
      </w:r>
      <w:r>
        <w:rPr>
          <w:rFonts w:ascii="Times New Roman" w:hAnsi="Times New Roman"/>
          <w:b/>
          <w:noProof/>
          <w:color w:val="000000" w:themeColor="text1"/>
          <w:sz w:val="24"/>
        </w:rPr>
        <w:t>svjetskog poretka...</w:t>
      </w:r>
    </w:p>
    <w:p w:rsidR="00CD0D3B" w:rsidRDefault="000C19A6">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Za izgradnju pravednog međunarodnog poretka utemeljenog na pravilima i visokim standardima potrebna je suradnja velikog broja zemalja različitih interesa, različitih kultura i različitog stupnja razvoja. Cilj je uskladiti </w:t>
      </w:r>
      <w:r>
        <w:rPr>
          <w:rFonts w:ascii="Times New Roman" w:hAnsi="Times New Roman"/>
          <w:i/>
          <w:noProof/>
          <w:color w:val="000000" w:themeColor="text1"/>
          <w:sz w:val="24"/>
        </w:rPr>
        <w:t>mogućnosti</w:t>
      </w:r>
      <w:r>
        <w:rPr>
          <w:rFonts w:ascii="Times New Roman" w:hAnsi="Times New Roman"/>
          <w:noProof/>
          <w:color w:val="000000" w:themeColor="text1"/>
          <w:sz w:val="24"/>
        </w:rPr>
        <w:t xml:space="preserve"> gl</w:t>
      </w:r>
      <w:r>
        <w:rPr>
          <w:rFonts w:ascii="Times New Roman" w:hAnsi="Times New Roman"/>
          <w:noProof/>
          <w:color w:val="000000" w:themeColor="text1"/>
          <w:sz w:val="24"/>
        </w:rPr>
        <w:t xml:space="preserve">obalizacije (otvaranje tržišta i tehnološki napredak) s </w:t>
      </w:r>
      <w:r>
        <w:rPr>
          <w:rFonts w:ascii="Times New Roman" w:hAnsi="Times New Roman"/>
          <w:i/>
          <w:noProof/>
          <w:color w:val="000000" w:themeColor="text1"/>
          <w:sz w:val="24"/>
        </w:rPr>
        <w:t>ciljevima</w:t>
      </w:r>
      <w:r>
        <w:rPr>
          <w:rFonts w:ascii="Times New Roman" w:hAnsi="Times New Roman"/>
          <w:noProof/>
          <w:color w:val="000000" w:themeColor="text1"/>
          <w:sz w:val="24"/>
        </w:rPr>
        <w:t xml:space="preserve"> globalizacije </w:t>
      </w:r>
      <w:r>
        <w:rPr>
          <w:rFonts w:ascii="Times New Roman" w:hAnsi="Times New Roman"/>
          <w:noProof/>
          <w:sz w:val="24"/>
        </w:rPr>
        <w:t xml:space="preserve">(zaštita prava i povećanje dobrobiti ljudi). </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sz w:val="24"/>
        </w:rPr>
        <w:t>Nakon dva razorna svjetska rata stvoreni su Ujedinjeni narodi (UN), Međunarodni monetarni fond (MMF), Svjetska banka i Opći sporaz</w:t>
      </w:r>
      <w:r>
        <w:rPr>
          <w:rFonts w:ascii="Times New Roman" w:hAnsi="Times New Roman"/>
          <w:noProof/>
          <w:sz w:val="24"/>
        </w:rPr>
        <w:t>um o carinama i trgovini (GATT), koji je kasnije postao Svjetska trgovinska organizacija (WTO).</w:t>
      </w:r>
      <w:r>
        <w:rPr>
          <w:rFonts w:ascii="Times New Roman" w:hAnsi="Times New Roman"/>
          <w:noProof/>
          <w:color w:val="000000" w:themeColor="text1"/>
          <w:sz w:val="24"/>
        </w:rPr>
        <w:t xml:space="preserve"> Te su organizacije mnogima donijele mir, stabilnost, povjerenje i blagostanje. Istodobno se povećala međusobna povezanost i naglo je porasla globalna trgovina. </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Nakon financijske krize vlade zemalja skupine G20 dogovorile su koordinirani program za podupiranje globalnog gospodarstva i stroža globalna pravila za regulaciju financijskih tržišta i borbu protiv izbjegavanja plaćanja poreza. UN je donio program održiv</w:t>
      </w:r>
      <w:r>
        <w:rPr>
          <w:rFonts w:ascii="Times New Roman" w:hAnsi="Times New Roman"/>
          <w:noProof/>
          <w:color w:val="000000" w:themeColor="text1"/>
          <w:sz w:val="24"/>
        </w:rPr>
        <w:t>og razvoja do 2030. i ciljeve održivog razvoja koje su prihvatile sve članice UN-a 2015. U Parizu je sklopljen obvezujući međunarodni sporazum za suzbijanje klimatskih promjena, čime je pokrenut proces koji će dovesti do poboljšanja ekoloških standarda u c</w:t>
      </w:r>
      <w:r>
        <w:rPr>
          <w:rFonts w:ascii="Times New Roman" w:hAnsi="Times New Roman"/>
          <w:noProof/>
          <w:color w:val="000000" w:themeColor="text1"/>
          <w:sz w:val="24"/>
        </w:rPr>
        <w:t>ijelom svijetu. Osim toga, na UN-ovu sastanku na vrhu 2016. čelnici su se obvezali donijeti globalnu politiku za upravljanje velikim priljevima migranata i izbjeglica. Ranije ove godine na snagu je stupio novi Sporazum WTO-a o olakšavanju trgovine.</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Svi nav</w:t>
      </w:r>
      <w:r>
        <w:rPr>
          <w:rFonts w:ascii="Times New Roman" w:hAnsi="Times New Roman"/>
          <w:noProof/>
          <w:color w:val="000000" w:themeColor="text1"/>
          <w:sz w:val="24"/>
        </w:rPr>
        <w:t>edeni primjeri dokaz su novih globalnih napora u uspostavi suradnje u svladavanju globalizacije. Europa i njezine države članice imale su ključnu ulogu u tim postignućima. EU je i sam model uspješne regulirane integracije koji omogućuje poticanje multilate</w:t>
      </w:r>
      <w:r>
        <w:rPr>
          <w:rFonts w:ascii="Times New Roman" w:hAnsi="Times New Roman"/>
          <w:noProof/>
          <w:color w:val="000000" w:themeColor="text1"/>
          <w:sz w:val="24"/>
        </w:rPr>
        <w:t xml:space="preserve">ralizma i poretka utemeljenog na pravilima. </w:t>
      </w:r>
    </w:p>
    <w:p w:rsidR="00CD0D3B" w:rsidRDefault="000C19A6">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3.2. ... ali u budućnosti treba činiti više...</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Međutim, </w:t>
      </w:r>
      <w:r>
        <w:rPr>
          <w:rFonts w:ascii="Times New Roman" w:hAnsi="Times New Roman"/>
          <w:b/>
          <w:noProof/>
          <w:color w:val="000000" w:themeColor="text1"/>
          <w:sz w:val="24"/>
        </w:rPr>
        <w:t>globalna pravila nisu još ni izbliza cjelovita.</w:t>
      </w:r>
      <w:r>
        <w:rPr>
          <w:rFonts w:ascii="Times New Roman" w:hAnsi="Times New Roman"/>
          <w:noProof/>
          <w:color w:val="000000" w:themeColor="text1"/>
          <w:sz w:val="24"/>
        </w:rPr>
        <w:t xml:space="preserve"> Neka područja, primjerice digitalno gospodarstvo, gotovo uopće nisu regulirana.  U drugim područjima pravila ne osiguravaju ravnopravne uvjete ili u nedovoljnoj mjeri ograničavaju štetne i nepravedne prakse, kao što su utaja poreza, korupcija, zlouporaba </w:t>
      </w:r>
      <w:r>
        <w:rPr>
          <w:rFonts w:ascii="Times New Roman" w:hAnsi="Times New Roman"/>
          <w:noProof/>
          <w:color w:val="000000" w:themeColor="text1"/>
          <w:sz w:val="24"/>
        </w:rPr>
        <w:t>resursa, nezakoniti financijski tokovi, štetne državne subvencije ili socijalni damping.</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U situaciji kada se suočavamo s nezapamćenim izazovima nije dovoljno samo održati postojeći poredak utemeljen na pravilima, već taj poredak treba dalje razvijati.</w:t>
      </w:r>
      <w:r>
        <w:rPr>
          <w:rFonts w:ascii="Times New Roman" w:hAnsi="Times New Roman"/>
          <w:noProof/>
          <w:sz w:val="24"/>
        </w:rPr>
        <w:t xml:space="preserve"> Izaz</w:t>
      </w:r>
      <w:r>
        <w:rPr>
          <w:rFonts w:ascii="Times New Roman" w:hAnsi="Times New Roman"/>
          <w:noProof/>
          <w:sz w:val="24"/>
        </w:rPr>
        <w:t xml:space="preserve">ovi koji su pred nama, osobito u polariziranom svijetu, zahtijevat će od nas da nastavimo i jačamo koordinaciju ekonomskih politika kako bismo osigurali snažan, održiv, uravnotežen i uključiv rast. Pritom prednost i dalje dajemo multilateralnoj suradnji s </w:t>
      </w:r>
      <w:r>
        <w:rPr>
          <w:rFonts w:ascii="Times New Roman" w:hAnsi="Times New Roman"/>
          <w:noProof/>
          <w:sz w:val="24"/>
        </w:rPr>
        <w:t>našim globalnim partnerima. U tom bismo cilju trebali pridonijeti jačanju i reformiranju multilateralnih institucija kako bismo ih učinili pravednijima i djelotvornijima i kako bi one i dalje mogle sudjelovati u rješavanju problema. Međutim, u sve osporava</w:t>
      </w:r>
      <w:r>
        <w:rPr>
          <w:rFonts w:ascii="Times New Roman" w:hAnsi="Times New Roman"/>
          <w:noProof/>
          <w:sz w:val="24"/>
        </w:rPr>
        <w:t>nijem globalnom poretku, moramo biti spremni na suradnju u obliku manjih koalicija ostavljajući mogućnost priključenja i drugima kada za to budu spremni. Osim toga, potrebno je na odgovarajući način uključiti nedržavne dionike, kao što su međunarodne organ</w:t>
      </w:r>
      <w:r>
        <w:rPr>
          <w:rFonts w:ascii="Times New Roman" w:hAnsi="Times New Roman"/>
          <w:noProof/>
          <w:sz w:val="24"/>
        </w:rPr>
        <w:t>izacije ili nevladine organizacije.</w:t>
      </w:r>
    </w:p>
    <w:p w:rsidR="00CD0D3B" w:rsidRDefault="000C19A6">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EU i dalje može imati predvodničku ulogu, prenositi svoje vrijednosti i interese te promicati „utrku do vrha”. </w:t>
      </w:r>
      <w:r>
        <w:rPr>
          <w:rFonts w:ascii="Times New Roman" w:hAnsi="Times New Roman"/>
          <w:b/>
          <w:noProof/>
          <w:color w:val="000000" w:themeColor="text1"/>
          <w:sz w:val="24"/>
        </w:rPr>
        <w:t xml:space="preserve">Program </w:t>
      </w:r>
      <w:r>
        <w:rPr>
          <w:rFonts w:ascii="Times New Roman" w:hAnsi="Times New Roman"/>
          <w:b/>
          <w:noProof/>
          <w:sz w:val="24"/>
        </w:rPr>
        <w:t>održivog razvoja do 2030.</w:t>
      </w:r>
      <w:r>
        <w:rPr>
          <w:rFonts w:ascii="Times New Roman" w:hAnsi="Times New Roman"/>
          <w:noProof/>
          <w:sz w:val="24"/>
        </w:rPr>
        <w:t xml:space="preserve"> služi kao zajednička referentna točka za utvrđivanje budućih prioritetnih m</w:t>
      </w:r>
      <w:r>
        <w:rPr>
          <w:rFonts w:ascii="Times New Roman" w:hAnsi="Times New Roman"/>
          <w:noProof/>
          <w:sz w:val="24"/>
        </w:rPr>
        <w:t xml:space="preserve">jera koje će stimulirati dobrobit i od kojih će koristi imati i svijet i ljudi u njemu, osobito u zemljama u razvoju. </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 xml:space="preserve">U lipnju 2017. EU će donijeti novi europski </w:t>
      </w:r>
      <w:r>
        <w:rPr>
          <w:rFonts w:ascii="Times New Roman" w:hAnsi="Times New Roman"/>
          <w:b/>
          <w:noProof/>
          <w:sz w:val="24"/>
        </w:rPr>
        <w:t>konsenzus o razvoju</w:t>
      </w:r>
      <w:r>
        <w:rPr>
          <w:rFonts w:ascii="Times New Roman" w:hAnsi="Times New Roman"/>
          <w:noProof/>
          <w:sz w:val="24"/>
        </w:rPr>
        <w:t xml:space="preserve"> kojim će svoju razvojnu politiku uskladiti s </w:t>
      </w:r>
      <w:r>
        <w:rPr>
          <w:rFonts w:ascii="Times New Roman" w:hAnsi="Times New Roman"/>
          <w:noProof/>
          <w:color w:val="000000" w:themeColor="text1"/>
          <w:sz w:val="24"/>
        </w:rPr>
        <w:t>Programom održivog razvoja d</w:t>
      </w:r>
      <w:r>
        <w:rPr>
          <w:rFonts w:ascii="Times New Roman" w:hAnsi="Times New Roman"/>
          <w:noProof/>
          <w:color w:val="000000" w:themeColor="text1"/>
          <w:sz w:val="24"/>
        </w:rPr>
        <w:t>o 2030</w:t>
      </w:r>
      <w:r>
        <w:rPr>
          <w:rFonts w:ascii="Times New Roman" w:hAnsi="Times New Roman"/>
          <w:noProof/>
          <w:sz w:val="24"/>
        </w:rPr>
        <w:t>. Kako bi se učinkovito suočio s izazovima globaliziranog svijeta, EU svoje razvojne mjere ne smije ograničiti samo na pomoć,</w:t>
      </w:r>
      <w:r>
        <w:rPr>
          <w:rFonts w:ascii="Times New Roman" w:hAnsi="Times New Roman"/>
          <w:noProof/>
          <w:color w:val="000000"/>
          <w:sz w:val="24"/>
        </w:rPr>
        <w:t xml:space="preserve"> već u njima mora objediniti ulaganja i trgovinu, doprinose privatnog sektora, mobilizaciju domaćih resursa, promicanje dobro</w:t>
      </w:r>
      <w:r>
        <w:rPr>
          <w:rFonts w:ascii="Times New Roman" w:hAnsi="Times New Roman"/>
          <w:noProof/>
          <w:color w:val="000000"/>
          <w:sz w:val="24"/>
        </w:rPr>
        <w:t xml:space="preserve">g upravljanja, vladavinu prava i ljudskih prava, posvećujući pritom posebnu pozornosti mladima, ravnopravnosti spolova i osnaživanju žena.  </w:t>
      </w:r>
      <w:r>
        <w:rPr>
          <w:rFonts w:ascii="Times New Roman" w:hAnsi="Times New Roman"/>
          <w:noProof/>
          <w:color w:val="000000" w:themeColor="text1"/>
          <w:sz w:val="24"/>
        </w:rPr>
        <w:t xml:space="preserve">Predloženim </w:t>
      </w:r>
      <w:r>
        <w:rPr>
          <w:rFonts w:ascii="Times New Roman" w:hAnsi="Times New Roman"/>
          <w:b/>
          <w:noProof/>
          <w:color w:val="000000" w:themeColor="text1"/>
          <w:sz w:val="24"/>
        </w:rPr>
        <w:t>planom za vanjska ulaganja</w:t>
      </w:r>
      <w:r>
        <w:rPr>
          <w:rFonts w:ascii="Times New Roman" w:hAnsi="Times New Roman"/>
          <w:noProof/>
          <w:color w:val="000000" w:themeColor="text1"/>
          <w:sz w:val="24"/>
        </w:rPr>
        <w:t xml:space="preserve"> trebali bi se</w:t>
      </w:r>
      <w:r>
        <w:rPr>
          <w:rFonts w:ascii="Times New Roman" w:hAnsi="Times New Roman"/>
          <w:b/>
          <w:noProof/>
          <w:color w:val="000000" w:themeColor="text1"/>
          <w:sz w:val="24"/>
        </w:rPr>
        <w:t xml:space="preserve"> </w:t>
      </w:r>
      <w:r>
        <w:rPr>
          <w:rFonts w:ascii="Times New Roman" w:hAnsi="Times New Roman"/>
          <w:noProof/>
          <w:color w:val="000000" w:themeColor="text1"/>
          <w:sz w:val="24"/>
        </w:rPr>
        <w:t>stvoriti uvjeti od obostrane koristi tako što će se poticati od</w:t>
      </w:r>
      <w:r>
        <w:rPr>
          <w:rFonts w:ascii="Times New Roman" w:hAnsi="Times New Roman"/>
          <w:noProof/>
          <w:color w:val="000000" w:themeColor="text1"/>
          <w:sz w:val="24"/>
        </w:rPr>
        <w:t>rživi rast i otvaranje radnih mjesta u zemljama u razvoju. To će pridonijeti ublažavanju migracijskih pritisaka i europskim poduzećima otvariti mogućnosti za ulaganja.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Potrebna je i integriranija i proaktivnija </w:t>
      </w:r>
      <w:r>
        <w:rPr>
          <w:rFonts w:ascii="Times New Roman" w:hAnsi="Times New Roman"/>
          <w:b/>
          <w:noProof/>
          <w:color w:val="000000" w:themeColor="text1"/>
          <w:sz w:val="24"/>
        </w:rPr>
        <w:t>europska gospodarska diplomacija</w:t>
      </w:r>
      <w:r>
        <w:rPr>
          <w:rFonts w:ascii="Times New Roman" w:hAnsi="Times New Roman"/>
          <w:noProof/>
          <w:color w:val="000000" w:themeColor="text1"/>
          <w:sz w:val="24"/>
        </w:rPr>
        <w:t xml:space="preserve">, koja će uroditi boljim rezultatima za građane EU-a. </w:t>
      </w:r>
      <w:r>
        <w:rPr>
          <w:rFonts w:ascii="Times New Roman" w:hAnsi="Times New Roman"/>
          <w:noProof/>
          <w:sz w:val="24"/>
        </w:rPr>
        <w:t>EU i države članice trebaju poboljšati dosljednost vanjskih politika i instrumenata za poticanje rasta i otvaranja radnih mjesta u Europi i postati učinkovitiji u ostvarivanju ekonomskih interesa u inoz</w:t>
      </w:r>
      <w:r>
        <w:rPr>
          <w:rFonts w:ascii="Times New Roman" w:hAnsi="Times New Roman"/>
          <w:noProof/>
          <w:sz w:val="24"/>
        </w:rPr>
        <w:t xml:space="preserve">emstvu. </w:t>
      </w:r>
      <w:r>
        <w:rPr>
          <w:rFonts w:ascii="Times New Roman" w:hAnsi="Times New Roman"/>
          <w:noProof/>
          <w:color w:val="000000" w:themeColor="text1"/>
          <w:sz w:val="24"/>
        </w:rPr>
        <w:t xml:space="preserve">Ovisno o kojoj je zemlji riječ, interes EU-a može biti osiguravanje makroekonomske stabilnosti, podupiranje ključnih gospodarskih i socijalnih reformi ili uklanjanje prepreka za pristup tržištu. </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sz w:val="24"/>
        </w:rPr>
        <w:t>Gospodarska diplomacija zahtijeva bolju koordinaciju</w:t>
      </w:r>
      <w:r>
        <w:rPr>
          <w:rFonts w:ascii="Times New Roman" w:hAnsi="Times New Roman"/>
          <w:noProof/>
          <w:sz w:val="24"/>
        </w:rPr>
        <w:t xml:space="preserve"> između EU-a, država članica i financijskih institucija kao što je Europska investicijska banka. Uspjehu europskih poduzeća na globalnim tržištima, osobito malih i srednjih poduzeća, može pridonijeti i široka mreža delegacija EU-a u svijetu.</w:t>
      </w:r>
      <w:r>
        <w:rPr>
          <w:rFonts w:ascii="Times New Roman" w:hAnsi="Times New Roman"/>
          <w:noProof/>
          <w:color w:val="000000" w:themeColor="text1"/>
          <w:sz w:val="24"/>
        </w:rPr>
        <w:t xml:space="preserve"> To se može pos</w:t>
      </w:r>
      <w:r>
        <w:rPr>
          <w:rFonts w:ascii="Times New Roman" w:hAnsi="Times New Roman"/>
          <w:noProof/>
          <w:color w:val="000000" w:themeColor="text1"/>
          <w:sz w:val="24"/>
        </w:rPr>
        <w:t>tići potporom u boljem iskorištavanju mogućnosti trgovinskih sporazuma i sporazuma o ulaganju, u svladavanju prepreka za pristup tržištu ili u promicanju strateških paneuropskih poslovnih projekata. Jedan od načina da se to postigne je i zalaganje za donoš</w:t>
      </w:r>
      <w:r>
        <w:rPr>
          <w:rFonts w:ascii="Times New Roman" w:hAnsi="Times New Roman"/>
          <w:noProof/>
          <w:color w:val="000000" w:themeColor="text1"/>
          <w:sz w:val="24"/>
        </w:rPr>
        <w:t>enje međunarodnih standarda za nove tehnologije ili jačanje europskih poslovnih organizacija u inozemstvu.</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EU treba nastaviti razvijati </w:t>
      </w:r>
      <w:r>
        <w:rPr>
          <w:rFonts w:ascii="Times New Roman" w:hAnsi="Times New Roman"/>
          <w:b/>
          <w:noProof/>
          <w:color w:val="000000" w:themeColor="text1"/>
          <w:sz w:val="24"/>
        </w:rPr>
        <w:t>uravnoteženu, progresivnu i na pravilima utemeljenu</w:t>
      </w:r>
      <w:r>
        <w:rPr>
          <w:rFonts w:ascii="Times New Roman" w:hAnsi="Times New Roman"/>
          <w:noProof/>
          <w:color w:val="000000" w:themeColor="text1"/>
          <w:sz w:val="24"/>
        </w:rPr>
        <w:t xml:space="preserve"> </w:t>
      </w:r>
      <w:r>
        <w:rPr>
          <w:rFonts w:ascii="Times New Roman" w:hAnsi="Times New Roman"/>
          <w:b/>
          <w:noProof/>
          <w:color w:val="000000" w:themeColor="text1"/>
          <w:sz w:val="24"/>
        </w:rPr>
        <w:t>trgovinsku i investicijsku strategiju</w:t>
      </w:r>
      <w:r>
        <w:rPr>
          <w:rStyle w:val="FootnoteReference"/>
          <w:rFonts w:ascii="Times New Roman" w:hAnsi="Times New Roman"/>
          <w:noProof/>
          <w:color w:val="000000" w:themeColor="text1"/>
          <w:sz w:val="24"/>
        </w:rPr>
        <w:footnoteReference w:id="16"/>
      </w:r>
      <w:r>
        <w:rPr>
          <w:rFonts w:ascii="Times New Roman" w:hAnsi="Times New Roman"/>
          <w:noProof/>
          <w:color w:val="000000" w:themeColor="text1"/>
          <w:sz w:val="24"/>
        </w:rPr>
        <w:t>, kojom će se ne samo reciproč</w:t>
      </w:r>
      <w:r>
        <w:rPr>
          <w:rFonts w:ascii="Times New Roman" w:hAnsi="Times New Roman"/>
          <w:noProof/>
          <w:color w:val="000000" w:themeColor="text1"/>
          <w:sz w:val="24"/>
        </w:rPr>
        <w:t xml:space="preserve">no otvarati tržišta nego i poboljšati globalno upravljanje u područjima kao što su ljudska prava, uvjeti rada, sigurnost hrane, </w:t>
      </w:r>
      <w:r>
        <w:rPr>
          <w:rFonts w:ascii="Times New Roman" w:hAnsi="Times New Roman"/>
          <w:noProof/>
          <w:sz w:val="24"/>
        </w:rPr>
        <w:t xml:space="preserve">javno zdravlje, zaštita okoliša i dobrobit životinja. </w:t>
      </w:r>
      <w:r>
        <w:rPr>
          <w:rFonts w:ascii="Times New Roman" w:hAnsi="Times New Roman"/>
          <w:noProof/>
          <w:color w:val="000000" w:themeColor="text1"/>
          <w:sz w:val="24"/>
        </w:rPr>
        <w:t>Takvi sporazumi EU-u i državama članicama moraju zajamčiti ostvarenje legi</w:t>
      </w:r>
      <w:r>
        <w:rPr>
          <w:rFonts w:ascii="Times New Roman" w:hAnsi="Times New Roman"/>
          <w:noProof/>
          <w:color w:val="000000" w:themeColor="text1"/>
          <w:sz w:val="24"/>
        </w:rPr>
        <w:t>timnih ciljeva javne politike i održavanje postojećih visokih standarda EU-a u navedenim područjima</w:t>
      </w:r>
      <w:r>
        <w:rPr>
          <w:rStyle w:val="FootnoteReference"/>
          <w:rFonts w:ascii="Times New Roman" w:hAnsi="Times New Roman"/>
          <w:noProof/>
          <w:color w:val="000000" w:themeColor="text1"/>
          <w:sz w:val="24"/>
        </w:rPr>
        <w:footnoteReference w:id="17"/>
      </w:r>
      <w:r>
        <w:rPr>
          <w:rFonts w:ascii="Times New Roman" w:hAnsi="Times New Roman"/>
          <w:noProof/>
          <w:color w:val="000000" w:themeColor="text1"/>
          <w:sz w:val="24"/>
        </w:rPr>
        <w:t xml:space="preserve"> radi zaštite građana i industrije EU-a od nepoštenog tržišnog natjecanja. Moraju pridonijeti i postizanju ciljeva održivog razvoja.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b/>
          <w:noProof/>
          <w:color w:val="000000" w:themeColor="text1"/>
          <w:sz w:val="24"/>
        </w:rPr>
        <w:t>Međunarodna gospodarska</w:t>
      </w:r>
      <w:r>
        <w:rPr>
          <w:rFonts w:ascii="Times New Roman" w:hAnsi="Times New Roman"/>
          <w:b/>
          <w:noProof/>
          <w:color w:val="000000" w:themeColor="text1"/>
          <w:sz w:val="24"/>
        </w:rPr>
        <w:t xml:space="preserve"> i financijska pravila</w:t>
      </w:r>
      <w:r>
        <w:rPr>
          <w:rFonts w:ascii="Times New Roman" w:hAnsi="Times New Roman"/>
          <w:noProof/>
          <w:color w:val="000000" w:themeColor="text1"/>
          <w:sz w:val="24"/>
        </w:rPr>
        <w:t xml:space="preserve"> i dalje moraju biti u središtu interesa. Osobito je važno poduprijeti djelotvornije mehanizme na globalnoj razini za praćenje i prilagodbu makroekonomskih politika, pojačati borbu protiv izbjegavanja plaćanja poreza, osigurati stabil</w:t>
      </w:r>
      <w:r>
        <w:rPr>
          <w:rFonts w:ascii="Times New Roman" w:hAnsi="Times New Roman"/>
          <w:noProof/>
          <w:color w:val="000000" w:themeColor="text1"/>
          <w:sz w:val="24"/>
        </w:rPr>
        <w:t>nost financijskog sektora, ukloniti prekomjerne kapacitete i s njima povezane državne subvencije, omogućiti e-trgovinu uz istodobnu zaštitu privatnosti te poticati ujednačavanje tehničkih standarda kako oni više ne bi bili bespotrebna prepreka.</w:t>
      </w:r>
    </w:p>
    <w:p w:rsidR="00CD0D3B" w:rsidRDefault="000C19A6">
      <w:pPr>
        <w:spacing w:after="120"/>
        <w:jc w:val="both"/>
        <w:rPr>
          <w:rFonts w:ascii="Times New Roman" w:hAnsi="Times New Roman"/>
          <w:noProof/>
          <w:color w:val="000000" w:themeColor="text1"/>
          <w:sz w:val="24"/>
        </w:rPr>
      </w:pPr>
      <w:r>
        <w:rPr>
          <w:rFonts w:ascii="Times New Roman" w:hAnsi="Times New Roman"/>
          <w:noProof/>
          <w:color w:val="000000" w:themeColor="text1"/>
          <w:sz w:val="24"/>
        </w:rPr>
        <w:t>Nadalje, tr</w:t>
      </w:r>
      <w:r>
        <w:rPr>
          <w:rFonts w:ascii="Times New Roman" w:hAnsi="Times New Roman"/>
          <w:noProof/>
          <w:color w:val="000000" w:themeColor="text1"/>
          <w:sz w:val="24"/>
        </w:rPr>
        <w:t xml:space="preserve">ebamo poduzeti mjere za poboljšanje socijalnih i </w:t>
      </w:r>
      <w:r>
        <w:rPr>
          <w:rFonts w:ascii="Times New Roman" w:hAnsi="Times New Roman"/>
          <w:b/>
          <w:noProof/>
          <w:color w:val="000000" w:themeColor="text1"/>
          <w:sz w:val="24"/>
        </w:rPr>
        <w:t>radnih standarda</w:t>
      </w:r>
      <w:r>
        <w:rPr>
          <w:rFonts w:ascii="Times New Roman" w:hAnsi="Times New Roman"/>
          <w:noProof/>
          <w:color w:val="000000" w:themeColor="text1"/>
          <w:sz w:val="24"/>
        </w:rPr>
        <w:t xml:space="preserve"> i praksi u bliskoj suradnji s Međunarodnom organizacijom rada, ali i s civilnim društvom, socijalnim partnerima i privatnim sektorom. U tom kontekstu treba na globalnoj razini promicati sust</w:t>
      </w:r>
      <w:r>
        <w:rPr>
          <w:rFonts w:ascii="Times New Roman" w:hAnsi="Times New Roman"/>
          <w:noProof/>
          <w:color w:val="000000" w:themeColor="text1"/>
          <w:sz w:val="24"/>
        </w:rPr>
        <w:t>ave kolektivnog pregovaranja.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sz w:val="24"/>
        </w:rPr>
        <w:t>Globalizacija mora postati učinkovita. Trgovina državama pomaže da s pomoću specijalizacije postanu produktivnije, međutim prava učinkovitost podrazumijeva i smanjivanje eksternalija te razdvajanje ekonomskog rasta od iskorišt</w:t>
      </w:r>
      <w:r>
        <w:rPr>
          <w:rFonts w:ascii="Times New Roman" w:hAnsi="Times New Roman"/>
          <w:noProof/>
          <w:sz w:val="24"/>
        </w:rPr>
        <w:t>avanja resursa. Primjeri za to su zagađenje kao posljedica prijevoza i pakiranja, prometno zagušenje i iscrpljivanje vrijednih prirodnih resursa.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Pariški </w:t>
      </w:r>
      <w:r>
        <w:rPr>
          <w:rFonts w:ascii="Times New Roman" w:hAnsi="Times New Roman"/>
          <w:b/>
          <w:noProof/>
          <w:color w:val="000000" w:themeColor="text1"/>
          <w:sz w:val="24"/>
        </w:rPr>
        <w:t>sporazum o klimatskim promjenama</w:t>
      </w:r>
      <w:r>
        <w:rPr>
          <w:rFonts w:ascii="Times New Roman" w:hAnsi="Times New Roman"/>
          <w:noProof/>
          <w:color w:val="000000" w:themeColor="text1"/>
          <w:sz w:val="24"/>
        </w:rPr>
        <w:t xml:space="preserve"> služi borbi protiv klimatskih promjena, stimulira prijelaz na čistu e</w:t>
      </w:r>
      <w:r>
        <w:rPr>
          <w:rFonts w:ascii="Times New Roman" w:hAnsi="Times New Roman"/>
          <w:noProof/>
          <w:color w:val="000000" w:themeColor="text1"/>
          <w:sz w:val="24"/>
        </w:rPr>
        <w:t>nergiju i pruža nove poslovne mogućnosti europskim poduzećima, osobito onima koja djeluju u području tehnologija za čistu energiju. Njime se daje konkurentska prednost industrijama koje su već smanjile svoj ugljični otisak.</w:t>
      </w:r>
      <w:r>
        <w:rPr>
          <w:rFonts w:ascii="Times New Roman" w:hAnsi="Times New Roman"/>
          <w:b/>
          <w:noProof/>
          <w:color w:val="000000" w:themeColor="text1"/>
          <w:sz w:val="24"/>
        </w:rPr>
        <w:t xml:space="preserve"> </w:t>
      </w:r>
      <w:r>
        <w:rPr>
          <w:rFonts w:ascii="Times New Roman" w:hAnsi="Times New Roman"/>
          <w:noProof/>
          <w:color w:val="000000" w:themeColor="text1"/>
          <w:sz w:val="24"/>
        </w:rPr>
        <w:t>Sada je prioritet dovršiti pravi</w:t>
      </w:r>
      <w:r>
        <w:rPr>
          <w:rFonts w:ascii="Times New Roman" w:hAnsi="Times New Roman"/>
          <w:noProof/>
          <w:color w:val="000000" w:themeColor="text1"/>
          <w:sz w:val="24"/>
        </w:rPr>
        <w:t>la za njegovu provedbu kako bi se osiguralo da sve zemlje doprinesu smanjenju emisija ugljičnog dioksida.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Kulturna diplomacija sastavni je dio naše zajedničke vanjske i gospodarske politike. Europska </w:t>
      </w:r>
      <w:r>
        <w:rPr>
          <w:rFonts w:ascii="Times New Roman" w:hAnsi="Times New Roman"/>
          <w:b/>
          <w:noProof/>
          <w:sz w:val="24"/>
        </w:rPr>
        <w:t>kultura važan je izvor radnih mjesta i rasta</w:t>
      </w:r>
      <w:r>
        <w:rPr>
          <w:rFonts w:ascii="Times New Roman" w:hAnsi="Times New Roman"/>
          <w:noProof/>
          <w:sz w:val="24"/>
        </w:rPr>
        <w:t>, a kulturna</w:t>
      </w:r>
      <w:r>
        <w:rPr>
          <w:rFonts w:ascii="Times New Roman" w:hAnsi="Times New Roman"/>
          <w:noProof/>
          <w:sz w:val="24"/>
        </w:rPr>
        <w:t xml:space="preserve"> razmjena i međuljudski kontakti mogu pomoći u oblikovanju globalizacije i promicanju europskih vrijednosti i identiteta.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Kao najveće jedinstveno tržište na svijetu, najveći trgovinski partner i ulagač i najveći pružatelj razvojne pomoći, Europa može oblik</w:t>
      </w:r>
      <w:r>
        <w:rPr>
          <w:rFonts w:ascii="Times New Roman" w:hAnsi="Times New Roman"/>
          <w:noProof/>
          <w:color w:val="000000" w:themeColor="text1"/>
          <w:sz w:val="24"/>
        </w:rPr>
        <w:t xml:space="preserve">ovati globalna pravila. Međutim, kako bismo zadržali taj utjecaj u kontekstu demografskih, gospodarskih i političkih promjena, morat ćemo se u većoj mjeri </w:t>
      </w:r>
      <w:r>
        <w:rPr>
          <w:rFonts w:ascii="Times New Roman" w:hAnsi="Times New Roman"/>
          <w:b/>
          <w:noProof/>
          <w:color w:val="000000" w:themeColor="text1"/>
          <w:sz w:val="24"/>
        </w:rPr>
        <w:t>ujediniti i nastupati jedinstveno</w:t>
      </w:r>
      <w:r>
        <w:rPr>
          <w:rFonts w:ascii="Times New Roman" w:hAnsi="Times New Roman"/>
          <w:noProof/>
          <w:color w:val="000000" w:themeColor="text1"/>
          <w:sz w:val="24"/>
        </w:rPr>
        <w:t>. Do 2050. nijedna europska država neće biti među 8 najvećih gospoda</w:t>
      </w:r>
      <w:r>
        <w:rPr>
          <w:rFonts w:ascii="Times New Roman" w:hAnsi="Times New Roman"/>
          <w:noProof/>
          <w:color w:val="000000" w:themeColor="text1"/>
          <w:sz w:val="24"/>
        </w:rPr>
        <w:t>rstava</w:t>
      </w:r>
      <w:r>
        <w:rPr>
          <w:rStyle w:val="FootnoteReference"/>
          <w:rFonts w:ascii="Times New Roman" w:hAnsi="Times New Roman"/>
          <w:noProof/>
          <w:color w:val="000000" w:themeColor="text1"/>
          <w:sz w:val="24"/>
        </w:rPr>
        <w:footnoteReference w:id="18"/>
      </w:r>
      <w:r>
        <w:rPr>
          <w:rFonts w:ascii="Times New Roman" w:hAnsi="Times New Roman"/>
          <w:noProof/>
          <w:color w:val="000000" w:themeColor="text1"/>
          <w:sz w:val="24"/>
        </w:rPr>
        <w:t xml:space="preserve">. </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Za učinkovito međunarodno djelovanje potrebni su pravodobni, transparentni i uključivi postupci odlučivanja. EU mora ne samo pregovarati o sporazumima kojima se uređuje čitav niz globalnih pitanja već mora biti u stanju osigurati da se ti sporazu</w:t>
      </w:r>
      <w:r>
        <w:rPr>
          <w:rFonts w:ascii="Times New Roman" w:hAnsi="Times New Roman"/>
          <w:noProof/>
          <w:color w:val="000000" w:themeColor="text1"/>
          <w:sz w:val="24"/>
        </w:rPr>
        <w:t>mi mogu ratificirati i provoditi. Postavlja se pitanje je li institucionalni ustroj EU-a u potpunosti prilagođen tom izazovu. Tim će se problemom trebati pozabaviti nakon što Sud Europske unije donese svoje mišljenje o nadležnosti u trgovinskim sporazumima</w:t>
      </w:r>
      <w:r>
        <w:rPr>
          <w:rStyle w:val="FootnoteReference"/>
          <w:rFonts w:ascii="Times New Roman" w:hAnsi="Times New Roman"/>
          <w:noProof/>
          <w:color w:val="000000" w:themeColor="text1"/>
          <w:sz w:val="24"/>
        </w:rPr>
        <w:footnoteReference w:id="19"/>
      </w:r>
      <w:r>
        <w:rPr>
          <w:rFonts w:ascii="Times New Roman" w:hAnsi="Times New Roman"/>
          <w:noProof/>
          <w:color w:val="000000" w:themeColor="text1"/>
          <w:sz w:val="24"/>
        </w:rPr>
        <w:t>.</w:t>
      </w:r>
    </w:p>
    <w:p w:rsidR="00CD0D3B" w:rsidRDefault="000C19A6">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3.3. ... i EU treba djelovati kako bi osigurao jednake uvjete za sve </w:t>
      </w:r>
    </w:p>
    <w:p w:rsidR="00CD0D3B" w:rsidRDefault="000C19A6">
      <w:pPr>
        <w:spacing w:after="120" w:line="240" w:lineRule="auto"/>
        <w:jc w:val="both"/>
        <w:rPr>
          <w:rFonts w:ascii="Times New Roman" w:hAnsi="Times New Roman"/>
          <w:noProof/>
          <w:sz w:val="24"/>
        </w:rPr>
      </w:pPr>
      <w:r>
        <w:rPr>
          <w:rFonts w:ascii="Times New Roman" w:hAnsi="Times New Roman"/>
          <w:noProof/>
          <w:color w:val="000000" w:themeColor="text1"/>
          <w:sz w:val="24"/>
        </w:rPr>
        <w:t>Kao organizacija koja počiva na načelu otvorenosti i suradnje, EU ne može zauzeti naivan pristup globalizaciji. Postoje situacije u kojima postoje pravila, ali se ta pravila ne poštuj</w:t>
      </w:r>
      <w:r>
        <w:rPr>
          <w:rFonts w:ascii="Times New Roman" w:hAnsi="Times New Roman"/>
          <w:noProof/>
          <w:color w:val="000000" w:themeColor="text1"/>
          <w:sz w:val="24"/>
        </w:rPr>
        <w:t xml:space="preserve">u. Popunjavanje praznina u globalnim pravilima i podizanje standarda može biti dugotrajan proces. U međuvremenu EU na raspolaganju mora imati instrumente koji će mu omogućiti da </w:t>
      </w:r>
      <w:r>
        <w:rPr>
          <w:rFonts w:ascii="Times New Roman" w:hAnsi="Times New Roman"/>
          <w:noProof/>
          <w:sz w:val="24"/>
        </w:rPr>
        <w:t xml:space="preserve">osigura jednake uvjete te poduzme odlučne mjere protiv država i poduzeća koja </w:t>
      </w:r>
      <w:r>
        <w:rPr>
          <w:rFonts w:ascii="Times New Roman" w:hAnsi="Times New Roman"/>
          <w:noProof/>
          <w:sz w:val="24"/>
        </w:rPr>
        <w:t>provode nepoštene prakse.</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To započinje</w:t>
      </w:r>
      <w:r>
        <w:rPr>
          <w:rFonts w:ascii="Times New Roman" w:hAnsi="Times New Roman"/>
          <w:b/>
          <w:noProof/>
          <w:color w:val="000000" w:themeColor="text1"/>
          <w:sz w:val="24"/>
        </w:rPr>
        <w:t xml:space="preserve"> boljom provedbom postojećih sporazuma i pravila</w:t>
      </w:r>
      <w:r>
        <w:rPr>
          <w:rFonts w:ascii="Times New Roman" w:hAnsi="Times New Roman"/>
          <w:noProof/>
          <w:color w:val="000000" w:themeColor="text1"/>
          <w:sz w:val="24"/>
        </w:rPr>
        <w:t xml:space="preserve"> u područjima kao što su trgovina, standardi rada, klima i zaštita okoliša. Svjetska trgovinska organizacija ima obvezujući sustav rješavanja sporova koji bi EU trebao nastaviti primjenjivati kada je to potrebno. Uz to, moramo osigurati da naši partneri u </w:t>
      </w:r>
      <w:r>
        <w:rPr>
          <w:rFonts w:ascii="Times New Roman" w:hAnsi="Times New Roman"/>
          <w:noProof/>
          <w:color w:val="000000" w:themeColor="text1"/>
          <w:sz w:val="24"/>
        </w:rPr>
        <w:t xml:space="preserve">bilateralnim trgovinskim i investicijskim sporazumima poštuju preuzete obveze. Moramo </w:t>
      </w:r>
      <w:r>
        <w:rPr>
          <w:rFonts w:ascii="Times New Roman" w:hAnsi="Times New Roman"/>
          <w:b/>
          <w:noProof/>
          <w:color w:val="000000" w:themeColor="text1"/>
          <w:sz w:val="24"/>
        </w:rPr>
        <w:t>strogo provoditi i vlastita pravila EU-a</w:t>
      </w:r>
      <w:r>
        <w:rPr>
          <w:rFonts w:ascii="Times New Roman" w:hAnsi="Times New Roman"/>
          <w:noProof/>
          <w:color w:val="000000" w:themeColor="text1"/>
          <w:sz w:val="24"/>
        </w:rPr>
        <w:t xml:space="preserve"> kako bismo osigurali učinkovito sankcioniranje svih poduzeća u EU-u koja krše pravila. Pritom je potrebna suradnja s tijelima drž</w:t>
      </w:r>
      <w:r>
        <w:rPr>
          <w:rFonts w:ascii="Times New Roman" w:hAnsi="Times New Roman"/>
          <w:noProof/>
          <w:color w:val="000000" w:themeColor="text1"/>
          <w:sz w:val="24"/>
        </w:rPr>
        <w:t xml:space="preserve">ava članica. Daljnja ulaganja mogla bi se ostvariti u </w:t>
      </w:r>
      <w:r>
        <w:rPr>
          <w:rFonts w:ascii="Times New Roman" w:hAnsi="Times New Roman"/>
          <w:b/>
          <w:noProof/>
          <w:color w:val="000000" w:themeColor="text1"/>
          <w:sz w:val="24"/>
        </w:rPr>
        <w:t>upravljanju rizicima u carinskim pitanjima</w:t>
      </w:r>
      <w:r>
        <w:rPr>
          <w:rFonts w:ascii="Times New Roman" w:hAnsi="Times New Roman"/>
          <w:noProof/>
          <w:color w:val="000000" w:themeColor="text1"/>
          <w:sz w:val="24"/>
        </w:rPr>
        <w:t xml:space="preserve"> kako bi se zakonita trgovina EU-a olakšala i ubrzala, a građanima donijele sigurnost i zaštita zaustavljanjem uvoza krivotvorenih i opasnih proizvoda na područ</w:t>
      </w:r>
      <w:r>
        <w:rPr>
          <w:rFonts w:ascii="Times New Roman" w:hAnsi="Times New Roman"/>
          <w:noProof/>
          <w:color w:val="000000" w:themeColor="text1"/>
          <w:sz w:val="24"/>
        </w:rPr>
        <w:t>je EU-a.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EU će nastaviti i napore na uspostavi pravednih pravila za zaštitu međunarodnih ulaganja, istodobno omogućujući vladama da provode legitimne ciljeve svojih politika. Sporove više ne bi trebali rješavati arbitri u okviru takozvanog sustava rješavan</w:t>
      </w:r>
      <w:r>
        <w:rPr>
          <w:rFonts w:ascii="Times New Roman" w:hAnsi="Times New Roman"/>
          <w:noProof/>
          <w:color w:val="000000" w:themeColor="text1"/>
          <w:sz w:val="24"/>
        </w:rPr>
        <w:t xml:space="preserve">ja sporova između ulagača i država. Komisija zato predlaže uspostavu </w:t>
      </w:r>
      <w:r>
        <w:rPr>
          <w:rFonts w:ascii="Times New Roman" w:hAnsi="Times New Roman"/>
          <w:b/>
          <w:noProof/>
          <w:color w:val="000000" w:themeColor="text1"/>
          <w:sz w:val="24"/>
        </w:rPr>
        <w:t>multilateralnog suda za ulaganja</w:t>
      </w:r>
      <w:r>
        <w:rPr>
          <w:rStyle w:val="FootnoteReference"/>
          <w:rFonts w:ascii="Times New Roman" w:hAnsi="Times New Roman"/>
          <w:noProof/>
          <w:color w:val="000000" w:themeColor="text1"/>
          <w:sz w:val="24"/>
        </w:rPr>
        <w:footnoteReference w:id="20"/>
      </w:r>
      <w:r>
        <w:rPr>
          <w:rFonts w:ascii="Times New Roman" w:hAnsi="Times New Roman"/>
          <w:noProof/>
          <w:color w:val="000000" w:themeColor="text1"/>
          <w:sz w:val="24"/>
        </w:rPr>
        <w:t xml:space="preserve"> koji bi stvorio pravedan i transparentan mehanizam, o čemu već razgovaramo s našim partnerima.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Potrebni su nam i učinkoviti </w:t>
      </w:r>
      <w:r>
        <w:rPr>
          <w:rFonts w:ascii="Times New Roman" w:hAnsi="Times New Roman"/>
          <w:b/>
          <w:noProof/>
          <w:color w:val="000000" w:themeColor="text1"/>
          <w:sz w:val="24"/>
        </w:rPr>
        <w:t>instrumenti</w:t>
      </w:r>
      <w:r>
        <w:rPr>
          <w:rFonts w:ascii="Times New Roman" w:hAnsi="Times New Roman"/>
          <w:noProof/>
          <w:color w:val="000000" w:themeColor="text1"/>
          <w:sz w:val="24"/>
        </w:rPr>
        <w:t xml:space="preserve"> </w:t>
      </w:r>
      <w:r>
        <w:rPr>
          <w:rFonts w:ascii="Times New Roman" w:hAnsi="Times New Roman"/>
          <w:b/>
          <w:noProof/>
          <w:color w:val="000000" w:themeColor="text1"/>
          <w:sz w:val="24"/>
        </w:rPr>
        <w:t>zaštite trgovine:</w:t>
      </w:r>
      <w:r>
        <w:rPr>
          <w:rFonts w:ascii="Times New Roman" w:hAnsi="Times New Roman"/>
          <w:b/>
          <w:noProof/>
          <w:color w:val="000000" w:themeColor="text1"/>
          <w:sz w:val="24"/>
        </w:rPr>
        <w:t xml:space="preserve"> </w:t>
      </w:r>
      <w:r>
        <w:rPr>
          <w:rFonts w:ascii="Times New Roman" w:hAnsi="Times New Roman"/>
          <w:noProof/>
          <w:color w:val="000000" w:themeColor="text1"/>
          <w:sz w:val="24"/>
        </w:rPr>
        <w:t>postojeće</w:t>
      </w:r>
      <w:r>
        <w:rPr>
          <w:rFonts w:ascii="Times New Roman" w:hAnsi="Times New Roman"/>
          <w:b/>
          <w:noProof/>
          <w:color w:val="000000" w:themeColor="text1"/>
          <w:sz w:val="24"/>
        </w:rPr>
        <w:t xml:space="preserve"> </w:t>
      </w:r>
      <w:r>
        <w:rPr>
          <w:rFonts w:ascii="Times New Roman" w:hAnsi="Times New Roman"/>
          <w:noProof/>
          <w:color w:val="000000" w:themeColor="text1"/>
          <w:sz w:val="24"/>
        </w:rPr>
        <w:t>instrumente treba reformirati kako bismo ih učinili bržima, otpornijima i djelotvornijima u rješavanju problema dampinga i nepoštenog subvencioniranja</w:t>
      </w:r>
      <w:r>
        <w:rPr>
          <w:rStyle w:val="FootnoteReference"/>
          <w:rFonts w:ascii="Times New Roman" w:hAnsi="Times New Roman"/>
          <w:noProof/>
          <w:color w:val="000000" w:themeColor="text1"/>
          <w:sz w:val="24"/>
        </w:rPr>
        <w:footnoteReference w:id="21"/>
      </w:r>
      <w:r>
        <w:rPr>
          <w:rFonts w:ascii="Times New Roman" w:hAnsi="Times New Roman"/>
          <w:noProof/>
          <w:color w:val="000000" w:themeColor="text1"/>
          <w:sz w:val="24"/>
        </w:rPr>
        <w:t xml:space="preserve">. EU je ujedno i najotvorenije tržište na svijetu kad je riječ o pristupu </w:t>
      </w:r>
      <w:r>
        <w:rPr>
          <w:rFonts w:ascii="Times New Roman" w:hAnsi="Times New Roman"/>
          <w:b/>
          <w:noProof/>
          <w:color w:val="000000" w:themeColor="text1"/>
          <w:sz w:val="24"/>
        </w:rPr>
        <w:t>javnoj nabavi</w:t>
      </w:r>
      <w:r>
        <w:rPr>
          <w:rFonts w:ascii="Times New Roman" w:hAnsi="Times New Roman"/>
          <w:noProof/>
          <w:color w:val="000000" w:themeColor="text1"/>
          <w:sz w:val="24"/>
        </w:rPr>
        <w:t>, međut</w:t>
      </w:r>
      <w:r>
        <w:rPr>
          <w:rFonts w:ascii="Times New Roman" w:hAnsi="Times New Roman"/>
          <w:noProof/>
          <w:color w:val="000000" w:themeColor="text1"/>
          <w:sz w:val="24"/>
        </w:rPr>
        <w:t>im naša poduzeća nemaju uvijek recipročan pristup tržištima drugih zemalja. Taj bi se problem mogao ukloniti instrumentom za međunarodnu nabavu</w:t>
      </w:r>
      <w:r>
        <w:rPr>
          <w:rStyle w:val="FootnoteReference"/>
          <w:rFonts w:ascii="Times New Roman" w:hAnsi="Times New Roman"/>
          <w:noProof/>
          <w:color w:val="000000" w:themeColor="text1"/>
          <w:sz w:val="24"/>
        </w:rPr>
        <w:footnoteReference w:id="22"/>
      </w:r>
      <w:r>
        <w:rPr>
          <w:rFonts w:ascii="Times New Roman" w:hAnsi="Times New Roman"/>
          <w:noProof/>
          <w:color w:val="000000" w:themeColor="text1"/>
          <w:sz w:val="24"/>
        </w:rPr>
        <w:t>. U navedenim je područjima potrebno odmah početi djelovati.</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Otvorenost </w:t>
      </w:r>
      <w:r>
        <w:rPr>
          <w:rFonts w:ascii="Times New Roman" w:hAnsi="Times New Roman"/>
          <w:b/>
          <w:noProof/>
          <w:color w:val="000000" w:themeColor="text1"/>
          <w:sz w:val="24"/>
        </w:rPr>
        <w:t>stranim ulaganjima</w:t>
      </w:r>
      <w:r>
        <w:rPr>
          <w:rFonts w:ascii="Times New Roman" w:hAnsi="Times New Roman"/>
          <w:noProof/>
          <w:color w:val="000000" w:themeColor="text1"/>
          <w:sz w:val="24"/>
        </w:rPr>
        <w:t xml:space="preserve"> i dalje je temeljno n</w:t>
      </w:r>
      <w:r>
        <w:rPr>
          <w:rFonts w:ascii="Times New Roman" w:hAnsi="Times New Roman"/>
          <w:noProof/>
          <w:color w:val="000000" w:themeColor="text1"/>
          <w:sz w:val="24"/>
        </w:rPr>
        <w:t>ačelo i glavni izvor rasta u EU-u. Međutim, u zadnje se vrijeme javlja zabrinutost zbog stranih ulagača, osobito poduzetnika u državnom vlasništvu, koji preuzimaju europska poduzeća s ključnim tehnologijama zbog strateških razloga. Ulagači iz EU-a često ne</w:t>
      </w:r>
      <w:r>
        <w:rPr>
          <w:rFonts w:ascii="Times New Roman" w:hAnsi="Times New Roman"/>
          <w:noProof/>
          <w:color w:val="000000" w:themeColor="text1"/>
          <w:sz w:val="24"/>
        </w:rPr>
        <w:t xml:space="preserve"> uživaju ista prava ulaganja u zemlji iz koje potječe ulaganje. Potrebno je pomno razmotriti taj problem i poduzeti odgovarajuće mjere.</w:t>
      </w:r>
    </w:p>
    <w:p w:rsidR="00CD0D3B" w:rsidRDefault="000C19A6">
      <w:pPr>
        <w:jc w:val="both"/>
        <w:rPr>
          <w:rFonts w:ascii="Times New Roman" w:hAnsi="Times New Roman"/>
          <w:noProof/>
          <w:color w:val="000000" w:themeColor="text1"/>
          <w:sz w:val="24"/>
        </w:rPr>
      </w:pPr>
      <w:r>
        <w:rPr>
          <w:rFonts w:ascii="Times New Roman" w:hAnsi="Times New Roman"/>
          <w:noProof/>
          <w:color w:val="000000" w:themeColor="text1"/>
          <w:sz w:val="24"/>
        </w:rPr>
        <w:t>Europska poduzeća ključni su partneri u oblikovanju globalizacije i postizanju povoljnih rezultata za sve. Mnogo pozitiv</w:t>
      </w:r>
      <w:r>
        <w:rPr>
          <w:rFonts w:ascii="Times New Roman" w:hAnsi="Times New Roman"/>
          <w:noProof/>
          <w:color w:val="000000" w:themeColor="text1"/>
          <w:sz w:val="24"/>
        </w:rPr>
        <w:t>nih primjera potvrđuje koristi koje od održivog rasta imaju dionici, zaposlenici i zajednice u kojima ta poduzeća posluju. Međutim, ako poduzeća svoju odgovornost prema društvu ili okolišu ne shvate ozbiljno, za to trebaju odgovarati.</w:t>
      </w:r>
    </w:p>
    <w:p w:rsidR="00CD0D3B" w:rsidRDefault="000C19A6">
      <w:pPr>
        <w:spacing w:after="120" w:line="240" w:lineRule="auto"/>
        <w:jc w:val="both"/>
        <w:rPr>
          <w:rFonts w:ascii="Times New Roman" w:hAnsi="Times New Roman"/>
          <w:noProof/>
          <w:sz w:val="24"/>
        </w:rPr>
      </w:pPr>
      <w:r>
        <w:rPr>
          <w:rFonts w:ascii="Times New Roman" w:hAnsi="Times New Roman"/>
          <w:noProof/>
          <w:color w:val="000000" w:themeColor="text1"/>
          <w:sz w:val="24"/>
        </w:rPr>
        <w:t>EU mora nastaviti pod</w:t>
      </w:r>
      <w:r>
        <w:rPr>
          <w:rFonts w:ascii="Times New Roman" w:hAnsi="Times New Roman"/>
          <w:noProof/>
          <w:color w:val="000000" w:themeColor="text1"/>
          <w:sz w:val="24"/>
        </w:rPr>
        <w:t xml:space="preserve">uzimati mjere za osiguranje globalne </w:t>
      </w:r>
      <w:r>
        <w:rPr>
          <w:rFonts w:ascii="Times New Roman" w:hAnsi="Times New Roman"/>
          <w:b/>
          <w:noProof/>
          <w:color w:val="000000" w:themeColor="text1"/>
          <w:sz w:val="24"/>
        </w:rPr>
        <w:t>porezne pravednosti i transparentnosti</w:t>
      </w:r>
      <w:r>
        <w:rPr>
          <w:rFonts w:ascii="Times New Roman" w:hAnsi="Times New Roman"/>
          <w:noProof/>
          <w:color w:val="000000" w:themeColor="text1"/>
          <w:sz w:val="24"/>
        </w:rPr>
        <w:t xml:space="preserve">. </w:t>
      </w:r>
      <w:r>
        <w:rPr>
          <w:noProof/>
        </w:rPr>
        <w:t>Do kraja 2017. EU će imati zajednički popis nekooperativnih jurisdikcija,</w:t>
      </w:r>
      <w:r>
        <w:rPr>
          <w:rFonts w:ascii="Times New Roman" w:hAnsi="Times New Roman"/>
          <w:noProof/>
          <w:sz w:val="24"/>
        </w:rPr>
        <w:t xml:space="preserve"> koji će poslužiti kao snažniji instrument za borbu protiv vanjskog izbjegavanja plaćanja poreza i poduzim</w:t>
      </w:r>
      <w:r>
        <w:rPr>
          <w:rFonts w:ascii="Times New Roman" w:hAnsi="Times New Roman"/>
          <w:noProof/>
          <w:sz w:val="24"/>
        </w:rPr>
        <w:t>anje mjera protiv zemalja koje ne igraju u skladu s pravilima. Osim toga, Komisija će nastaviti pregovarati o međunarodnim pravilima kojima će se spriječiti da poduzeća s poslovnim nastanom u trećim zemljama izbjegavaju posredne i neposredne porezne obveze</w:t>
      </w:r>
      <w:r>
        <w:rPr>
          <w:rFonts w:ascii="Times New Roman" w:hAnsi="Times New Roman"/>
          <w:noProof/>
          <w:sz w:val="24"/>
        </w:rPr>
        <w:t>, čime će se zaštititi porezni prihodi država članica.</w:t>
      </w:r>
    </w:p>
    <w:p w:rsidR="00CD0D3B" w:rsidRDefault="000C19A6">
      <w:pPr>
        <w:spacing w:after="0" w:line="240" w:lineRule="auto"/>
        <w:rPr>
          <w:rFonts w:ascii="Times New Roman" w:hAnsi="Times New Roman"/>
          <w:noProof/>
          <w:sz w:val="24"/>
        </w:rPr>
      </w:pPr>
      <w:r>
        <w:rPr>
          <w:noProof/>
        </w:rPr>
        <w:br w:type="page"/>
      </w:r>
    </w:p>
    <w:p w:rsidR="00CD0D3B" w:rsidRDefault="000C19A6">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4. Europski unutarnji odgovor: jačanje otpornosti zahvaljujući boljoj raspodjeli koristi i promicanju dugoročne konkurentnosti</w:t>
      </w:r>
    </w:p>
    <w:p w:rsidR="00CD0D3B" w:rsidRDefault="000C19A6">
      <w:pPr>
        <w:spacing w:after="120" w:line="240" w:lineRule="auto"/>
        <w:rPr>
          <w:rFonts w:ascii="Times New Roman" w:hAnsi="Times New Roman"/>
          <w:b/>
          <w:noProof/>
          <w:sz w:val="24"/>
        </w:rPr>
      </w:pPr>
      <w:r>
        <w:rPr>
          <w:rFonts w:ascii="Times New Roman" w:hAnsi="Times New Roman"/>
          <w:b/>
          <w:noProof/>
          <w:color w:val="000000" w:themeColor="text1"/>
          <w:sz w:val="24"/>
        </w:rPr>
        <w:t xml:space="preserve">4.1. </w:t>
      </w:r>
      <w:r>
        <w:rPr>
          <w:rFonts w:ascii="Times New Roman" w:hAnsi="Times New Roman"/>
          <w:b/>
          <w:noProof/>
          <w:sz w:val="24"/>
        </w:rPr>
        <w:t>Stabilne socijalne i obrazovne politike ključne su za osiguranje ot</w:t>
      </w:r>
      <w:r>
        <w:rPr>
          <w:rFonts w:ascii="Times New Roman" w:hAnsi="Times New Roman"/>
          <w:b/>
          <w:noProof/>
          <w:sz w:val="24"/>
        </w:rPr>
        <w:t>pornosti i pravedniju raspodjelu bogatstva...</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 xml:space="preserve">Građani moraju imati povjerenja u to da će ih njihove vlade štititi i osnaživati svojim odlučnim pristupom u okviru socijalnih politika, koje su ključan dio našeg odgovora na globalizaciju. Komisija je </w:t>
      </w:r>
      <w:r>
        <w:rPr>
          <w:rFonts w:ascii="Times New Roman" w:hAnsi="Times New Roman"/>
          <w:noProof/>
          <w:sz w:val="24"/>
        </w:rPr>
        <w:t>27. travnja objavila dokument za razmatranje o socijalnoj dimenziji Europe.</w:t>
      </w:r>
      <w:r>
        <w:rPr>
          <w:rStyle w:val="FootnoteReference"/>
          <w:rFonts w:ascii="Times New Roman" w:hAnsi="Times New Roman"/>
          <w:noProof/>
          <w:sz w:val="24"/>
        </w:rPr>
        <w:footnoteReference w:id="23"/>
      </w:r>
      <w:r>
        <w:rPr>
          <w:rFonts w:ascii="Times New Roman" w:hAnsi="Times New Roman"/>
          <w:noProof/>
          <w:sz w:val="24"/>
        </w:rPr>
        <w:t xml:space="preserve"> Iako su društva u Europi najravnopravnija i najuključivija na svijetu, moramo trajno jačati i prilagođavati svoje politike za budućnost, a nejednakosti rješavati pravednim i moder</w:t>
      </w:r>
      <w:r>
        <w:rPr>
          <w:rFonts w:ascii="Times New Roman" w:hAnsi="Times New Roman"/>
          <w:noProof/>
          <w:sz w:val="24"/>
        </w:rPr>
        <w:t>nim poreznim politikama. Bolja raspodjela koristi od globalizacije u kombinaciji s učinkovitom socijalnom zaštitom pomoći će ljudima u pronalaženju pristojnih radnih mjesta i prilagodbi promjenama. U širem smislu, pravedna i pravična preraspodjela bogatstv</w:t>
      </w:r>
      <w:r>
        <w:rPr>
          <w:rFonts w:ascii="Times New Roman" w:hAnsi="Times New Roman"/>
          <w:noProof/>
          <w:sz w:val="24"/>
        </w:rPr>
        <w:t>a, kao i ulaganja usmjerena na socijalno uključivanje osjetljivih skupina, među kojima su i migranti, pomoći će u jačanju socijalne kohezije. Upravo su to pitanja koja čije je rješavanje Komisija predložila uvođenjem europskog stupa socijalnih prava.</w:t>
      </w:r>
      <w:r>
        <w:rPr>
          <w:rStyle w:val="FootnoteReference"/>
          <w:rFonts w:ascii="Times New Roman" w:hAnsi="Times New Roman"/>
          <w:noProof/>
          <w:sz w:val="24"/>
        </w:rPr>
        <w:footnoteReference w:id="24"/>
      </w:r>
      <w:r>
        <w:rPr>
          <w:rFonts w:ascii="Times New Roman" w:hAnsi="Times New Roman"/>
          <w:noProof/>
          <w:sz w:val="24"/>
        </w:rPr>
        <w:t xml:space="preserve"> Pred</w:t>
      </w:r>
      <w:r>
        <w:rPr>
          <w:rFonts w:ascii="Times New Roman" w:hAnsi="Times New Roman"/>
          <w:noProof/>
          <w:sz w:val="24"/>
        </w:rPr>
        <w:t>laže ga kao kompas za poboljšanje politika zapošljavanja i socijalnih politika u EU-u i njegovim državama članicama kako bi ih se prilagodilo digitalizaciji i globalizaciji.</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Cjeloživotno učenje ključ je osnaživanja. Jednake mogućnosti pristupa visokokvalit</w:t>
      </w:r>
      <w:r>
        <w:rPr>
          <w:rFonts w:ascii="Times New Roman" w:hAnsi="Times New Roman"/>
          <w:noProof/>
          <w:sz w:val="24"/>
        </w:rPr>
        <w:t>etnom obrazovanju i usavršavanju učinkovit su način preraspodjele bogatstva u društvu. Za početak, svim bi dobnim skupinama trebalo osigurati visoki standard osnovnog obrazovanja te pristup usavršavanju i razvoju vještina. Potrebni su nam i novi načini uče</w:t>
      </w:r>
      <w:r>
        <w:rPr>
          <w:rFonts w:ascii="Times New Roman" w:hAnsi="Times New Roman"/>
          <w:noProof/>
          <w:sz w:val="24"/>
        </w:rPr>
        <w:t>nja za društvo koje se sve više oslanja na mobilne i digitalne tehnologije te odgovarajuća mješavina „mekih” vještina, osobito poduzetništva, i jakih digitalnih vještina.</w:t>
      </w:r>
      <w:r>
        <w:rPr>
          <w:rFonts w:ascii="Times New Roman" w:hAnsi="Times New Roman"/>
          <w:noProof/>
          <w:color w:val="000000"/>
          <w:sz w:val="24"/>
        </w:rPr>
        <w:t xml:space="preserve"> Već sad 90 % svih poslova zahtijeva određenu razinu digitalnih vještina.</w:t>
      </w:r>
      <w:r>
        <w:rPr>
          <w:rStyle w:val="FootnoteReference"/>
          <w:rFonts w:ascii="Times New Roman" w:hAnsi="Times New Roman"/>
          <w:noProof/>
          <w:color w:val="000000"/>
          <w:sz w:val="24"/>
        </w:rPr>
        <w:footnoteReference w:id="25"/>
      </w:r>
      <w:r>
        <w:rPr>
          <w:rFonts w:ascii="Times New Roman" w:hAnsi="Times New Roman"/>
          <w:noProof/>
          <w:color w:val="000000"/>
          <w:sz w:val="24"/>
        </w:rPr>
        <w:t xml:space="preserve"> Europa pobo</w:t>
      </w:r>
      <w:r>
        <w:rPr>
          <w:rFonts w:ascii="Times New Roman" w:hAnsi="Times New Roman"/>
          <w:noProof/>
          <w:color w:val="000000"/>
          <w:sz w:val="24"/>
        </w:rPr>
        <w:t>ljšava svoje digitalne vještine, ali potreban je veći napredak.</w:t>
      </w:r>
      <w:r>
        <w:rPr>
          <w:rStyle w:val="FootnoteReference"/>
          <w:rFonts w:ascii="Times New Roman" w:hAnsi="Times New Roman"/>
          <w:noProof/>
          <w:color w:val="000000"/>
          <w:sz w:val="24"/>
        </w:rPr>
        <w:footnoteReference w:id="26"/>
      </w:r>
      <w:r>
        <w:rPr>
          <w:rFonts w:ascii="Times New Roman" w:hAnsi="Times New Roman"/>
          <w:noProof/>
          <w:sz w:val="24"/>
        </w:rPr>
        <w:t xml:space="preserve"> U kombinaciji s podrškom tražiteljima posla te će mjere pomoći građanima da se prilagode neprestanim promjenama na radnom mjestu i fleksibilnijem razvoju karijere. </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Suvremena i učinkovita trž</w:t>
      </w:r>
      <w:r>
        <w:rPr>
          <w:rFonts w:ascii="Times New Roman" w:hAnsi="Times New Roman"/>
          <w:noProof/>
          <w:sz w:val="24"/>
        </w:rPr>
        <w:t>išta rada trebala bi olakšati pristup radu za sve građane. Politikama bi se trebali osigurati primjerena sigurnost zaposlenja, zamjenski prihod i odgovarajući zaštitni mehanizmi za osobe koje prolaze kroz teško prijelazno razdoblje. Pristupom kvalitetnim u</w:t>
      </w:r>
      <w:r>
        <w:rPr>
          <w:rFonts w:ascii="Times New Roman" w:hAnsi="Times New Roman"/>
          <w:noProof/>
          <w:sz w:val="24"/>
        </w:rPr>
        <w:t>slugama trebalo bi osigurati jednake mogućnosti i socijalnu uključivost. Mogućnosti su različite, od zdravstvene skrbi do skrbi o djeci, povećanja sudjelovanja žena na tržištu rada, rada na daljinu, promicanja ravnoteže između posla i privatnog života pa d</w:t>
      </w:r>
      <w:r>
        <w:rPr>
          <w:rFonts w:ascii="Times New Roman" w:hAnsi="Times New Roman"/>
          <w:noProof/>
          <w:sz w:val="24"/>
        </w:rPr>
        <w:t xml:space="preserve">o poboljšanja mogućnosti za zapošljavanje osoba sa smanjenom pokretljivošću. </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Države članice rješavaju te socijalne probleme na vrlo različite načine. Pristupi koji se primjenjuju u jednoj zemlji, regiji ili u gradu ne moraju nužno funkcionirati drugdje. E</w:t>
      </w:r>
      <w:r>
        <w:rPr>
          <w:rFonts w:ascii="Times New Roman" w:hAnsi="Times New Roman"/>
          <w:noProof/>
          <w:sz w:val="24"/>
        </w:rPr>
        <w:t>U i njegove države članice trebali bi zasad nastaviti blisko koordinirati svoje socijalne politike, a EU bi mogao podržati i napore koji se ulažu u području obrazovanja na nacionalnoj i lokalnoj razini. Dobre prakse se šire, u čemu važnu ulogu imaju socija</w:t>
      </w:r>
      <w:r>
        <w:rPr>
          <w:rFonts w:ascii="Times New Roman" w:hAnsi="Times New Roman"/>
          <w:noProof/>
          <w:sz w:val="24"/>
        </w:rPr>
        <w:t xml:space="preserve">lni partneri. </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Sustavom dvojnog strukovnog osposobljavanja u Njemačkoj</w:t>
      </w:r>
      <w:r>
        <w:rPr>
          <w:noProof/>
        </w:rPr>
        <w:t xml:space="preserve"> </w:t>
      </w:r>
      <w:r>
        <w:rPr>
          <w:rFonts w:ascii="Times New Roman" w:hAnsi="Times New Roman"/>
          <w:noProof/>
          <w:sz w:val="24"/>
        </w:rPr>
        <w:t>osigurava se da učenici uče vještine koje su uistinu potrebne poduzećima te se promiče suradnja među školama, poduzećima i učenicima.</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Skandinavski model socijalne države na načelu „flek</w:t>
      </w:r>
      <w:r>
        <w:rPr>
          <w:rFonts w:ascii="Times New Roman" w:hAnsi="Times New Roman"/>
          <w:b/>
          <w:noProof/>
          <w:sz w:val="24"/>
        </w:rPr>
        <w:t>sigurnosti”</w:t>
      </w:r>
      <w:r>
        <w:rPr>
          <w:noProof/>
        </w:rPr>
        <w:t xml:space="preserve"> </w:t>
      </w:r>
      <w:r>
        <w:rPr>
          <w:rFonts w:ascii="Times New Roman" w:hAnsi="Times New Roman"/>
          <w:noProof/>
          <w:sz w:val="24"/>
        </w:rPr>
        <w:t>uspostavlja ravnotežu između fleksibilnog tržišta rada i sigurnih prelazaka na nova radna mjesta kako bi se otvorio veći broj boljih radnih mjesta.</w:t>
      </w:r>
    </w:p>
    <w:p w:rsidR="00CD0D3B" w:rsidRDefault="000C19A6">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i/>
          <w:noProof/>
        </w:rPr>
      </w:pPr>
      <w:r>
        <w:rPr>
          <w:b/>
          <w:noProof/>
        </w:rPr>
        <w:t>Sustav e-školovanja u Estoniji</w:t>
      </w:r>
      <w:r>
        <w:rPr>
          <w:rStyle w:val="FootnoteReference"/>
          <w:b/>
          <w:noProof/>
        </w:rPr>
        <w:footnoteReference w:id="27"/>
      </w:r>
      <w:r>
        <w:rPr>
          <w:noProof/>
        </w:rPr>
        <w:t xml:space="preserve"> priprema buduću generaciju koja će biti sposobnija i tehnološki </w:t>
      </w:r>
      <w:r>
        <w:rPr>
          <w:noProof/>
        </w:rPr>
        <w:t xml:space="preserve">obrazovanija nego ikada. Zahvaljujući primjeni digitalne tehnologije Estonija se našla na vrhu ljestvice zemalja članica EU-a u okviru OECD-ova Programa za međunarodnu procjenu učenika (PISA).  </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Na razini EU-a ugrađivanje stupa u postupak europskog semestr</w:t>
      </w:r>
      <w:r>
        <w:rPr>
          <w:rFonts w:ascii="Times New Roman" w:hAnsi="Times New Roman"/>
          <w:noProof/>
          <w:sz w:val="24"/>
        </w:rPr>
        <w:t>a dovest će do boljeg distribucijskog učinka strukturnih politika kako bi se rast učinio uključivijim. Ključna je i uloga odgovarajućih fiskalnih i strukturnih politika država članica. Strukturni i investicijski fondovi EU-a također mogu pridonijeti promic</w:t>
      </w:r>
      <w:r>
        <w:rPr>
          <w:rFonts w:ascii="Times New Roman" w:hAnsi="Times New Roman"/>
          <w:noProof/>
          <w:sz w:val="24"/>
        </w:rPr>
        <w:t>anju nužnih ulaganja za poboljšanje infrastrukture i inovativnosti odnosno podržavaju razvoj ljudskoga kapitala i zapošljavanja. Ključno je da Europska unija ostane zajednica modernih i aktivnih socijalnih država. Solidarnost je ne samo temeljna vrijednost</w:t>
      </w:r>
      <w:r>
        <w:rPr>
          <w:rFonts w:ascii="Times New Roman" w:hAnsi="Times New Roman"/>
          <w:noProof/>
          <w:sz w:val="24"/>
        </w:rPr>
        <w:t xml:space="preserve"> EU-a već je ključna i za socijalnu koheziju u okviru otvorenoga gospodarstva.</w:t>
      </w:r>
    </w:p>
    <w:tbl>
      <w:tblPr>
        <w:tblStyle w:val="TableGrid"/>
        <w:tblW w:w="0" w:type="auto"/>
        <w:tblLook w:val="04A0" w:firstRow="1" w:lastRow="0" w:firstColumn="1" w:lastColumn="0" w:noHBand="0" w:noVBand="1"/>
      </w:tblPr>
      <w:tblGrid>
        <w:gridCol w:w="9062"/>
      </w:tblGrid>
      <w:tr w:rsidR="00CD0D3B">
        <w:tc>
          <w:tcPr>
            <w:tcW w:w="9062" w:type="dxa"/>
          </w:tcPr>
          <w:p w:rsidR="00CD0D3B" w:rsidRDefault="000C19A6">
            <w:pPr>
              <w:spacing w:after="120"/>
              <w:jc w:val="both"/>
              <w:rPr>
                <w:rFonts w:ascii="Times New Roman" w:hAnsi="Times New Roman"/>
                <w:noProof/>
                <w:color w:val="000000" w:themeColor="text1"/>
                <w:sz w:val="24"/>
              </w:rPr>
            </w:pPr>
            <w:r>
              <w:rPr>
                <w:rFonts w:ascii="Times New Roman" w:hAnsi="Times New Roman"/>
                <w:noProof/>
                <w:color w:val="000000" w:themeColor="text1"/>
                <w:sz w:val="24"/>
              </w:rPr>
              <w:t xml:space="preserve">Iz </w:t>
            </w:r>
            <w:r>
              <w:rPr>
                <w:rFonts w:ascii="Times New Roman" w:hAnsi="Times New Roman"/>
                <w:b/>
                <w:noProof/>
                <w:color w:val="000000" w:themeColor="text1"/>
                <w:sz w:val="24"/>
              </w:rPr>
              <w:t>europskih strukturnih i investicijskih fondova</w:t>
            </w:r>
            <w:r>
              <w:rPr>
                <w:rFonts w:ascii="Times New Roman" w:hAnsi="Times New Roman"/>
                <w:noProof/>
                <w:color w:val="000000" w:themeColor="text1"/>
                <w:sz w:val="24"/>
              </w:rPr>
              <w:t xml:space="preserve"> (ESF, ERDF i EAFRD) uloženo je u obrazovanje i usavršavanje 34,5 milijarde EUR (49,2 milijarde EUR računajući nacionalne doprin</w:t>
            </w:r>
            <w:r>
              <w:rPr>
                <w:rFonts w:ascii="Times New Roman" w:hAnsi="Times New Roman"/>
                <w:noProof/>
                <w:color w:val="000000" w:themeColor="text1"/>
                <w:sz w:val="24"/>
              </w:rPr>
              <w:t xml:space="preserve">ose). </w:t>
            </w:r>
            <w:r>
              <w:rPr>
                <w:rFonts w:ascii="Times New Roman" w:hAnsi="Times New Roman"/>
                <w:b/>
                <w:noProof/>
                <w:color w:val="000000" w:themeColor="text1"/>
                <w:sz w:val="24"/>
              </w:rPr>
              <w:t xml:space="preserve">Fond za prilagodbu globalizaciji </w:t>
            </w:r>
            <w:r>
              <w:rPr>
                <w:rFonts w:ascii="Times New Roman" w:hAnsi="Times New Roman"/>
                <w:noProof/>
                <w:color w:val="000000" w:themeColor="text1"/>
                <w:sz w:val="24"/>
              </w:rPr>
              <w:t xml:space="preserve">pomaže radnicima koji su tehnološki višak da pronađu novo radno mjesto ili osnuju vlastito poduzeće sufinanciranjem mjera kao što su pomoć u potrazi za poslovima, savjetovanje o karijeri, prekvalifikacija, mentorstvo </w:t>
            </w:r>
            <w:r>
              <w:rPr>
                <w:rFonts w:ascii="Times New Roman" w:hAnsi="Times New Roman"/>
                <w:noProof/>
                <w:color w:val="000000" w:themeColor="text1"/>
                <w:sz w:val="24"/>
              </w:rPr>
              <w:t>i savjetovanje, poduzetništvo te potpora dohotku. Od osnivanja EGF-a 2007. pružena je pomoć za 140 000 otpuštenih radnika. To je opipljiv primjer solidarnosti EU-a u rješavanju nezaposlenosti i socijalnih posljedica globalizacije. Razmotriti treba kako ins</w:t>
            </w:r>
            <w:r>
              <w:rPr>
                <w:rFonts w:ascii="Times New Roman" w:hAnsi="Times New Roman"/>
                <w:noProof/>
                <w:color w:val="000000" w:themeColor="text1"/>
                <w:sz w:val="24"/>
              </w:rPr>
              <w:t>trument učiniti operativnijim u svrhu njegove brze primjene u slučaju zatvaranja tvornica i fleksibilnijim u svrhu potpore širokom nizu mjera za gospodarski razvoj, umjesto trenutačne usredotočenosti na pogođeno radništvo. Pritom će biti važno premostiti j</w:t>
            </w:r>
            <w:r>
              <w:rPr>
                <w:rFonts w:ascii="Times New Roman" w:hAnsi="Times New Roman"/>
                <w:noProof/>
                <w:color w:val="000000" w:themeColor="text1"/>
                <w:sz w:val="24"/>
              </w:rPr>
              <w:t>az između kratkoročnih mjera i dugoročnih strategija restrukturiranja koje se podupiru u okviru kohezijske politike.</w:t>
            </w:r>
          </w:p>
        </w:tc>
      </w:tr>
    </w:tbl>
    <w:p w:rsidR="00CD0D3B" w:rsidRDefault="00CD0D3B">
      <w:pPr>
        <w:spacing w:after="120" w:line="240" w:lineRule="auto"/>
        <w:rPr>
          <w:rFonts w:ascii="Times New Roman" w:hAnsi="Times New Roman"/>
          <w:b/>
          <w:noProof/>
          <w:sz w:val="24"/>
        </w:rPr>
      </w:pPr>
    </w:p>
    <w:p w:rsidR="00CD0D3B" w:rsidRDefault="000C19A6">
      <w:pPr>
        <w:spacing w:after="120" w:line="240" w:lineRule="auto"/>
        <w:rPr>
          <w:rFonts w:ascii="Times New Roman" w:hAnsi="Times New Roman"/>
          <w:b/>
          <w:noProof/>
          <w:sz w:val="24"/>
        </w:rPr>
      </w:pPr>
      <w:r>
        <w:rPr>
          <w:rFonts w:ascii="Times New Roman" w:hAnsi="Times New Roman"/>
          <w:b/>
          <w:noProof/>
          <w:sz w:val="24"/>
        </w:rPr>
        <w:t>4.2. ... dok su veliki napori potrebni da se Europa učini konkurentnijim i inovativnijim gospodarstvom...</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Redistributivne politike kojima se osiguravaju koristi za sve zahtijevaju znatna ulaganja vlada, što mogu financirati samo napredna i konkurentna gospodarstva. Politike moraju pomoći </w:t>
      </w:r>
      <w:r>
        <w:rPr>
          <w:rFonts w:ascii="Times New Roman" w:hAnsi="Times New Roman"/>
          <w:noProof/>
          <w:color w:val="000000" w:themeColor="text1"/>
          <w:sz w:val="24"/>
        </w:rPr>
        <w:t>poduzećima da budu kontinuirano inovativna. Ona mogu uspješno poslovati n</w:t>
      </w:r>
      <w:r>
        <w:rPr>
          <w:rFonts w:ascii="Times New Roman" w:hAnsi="Times New Roman"/>
          <w:noProof/>
          <w:color w:val="000000" w:themeColor="text1"/>
          <w:sz w:val="24"/>
        </w:rPr>
        <w:t xml:space="preserve">a svjetskim tržištima i stvarati blagostanje i donositi radna mjesta samo ako kreiraju proizvode i usluge koji zadovoljavaju vrlo promjenjive zahtjeve potrošača. </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Potrebna je vizija budućnosti da bi se naše gospodarstvo moderniziralo prihvaćanjem digitaliz</w:t>
      </w:r>
      <w:r>
        <w:rPr>
          <w:rFonts w:ascii="Times New Roman" w:hAnsi="Times New Roman"/>
          <w:noProof/>
          <w:color w:val="000000" w:themeColor="text1"/>
          <w:sz w:val="24"/>
        </w:rPr>
        <w:t xml:space="preserve">acije, tehnoloških i socijalnih inovacija, smanjenja emisija ugljika i kružnoga gospodarstva. Iako u našem gospodarstvu sve više prevladavaju uslužne djelatnosti, industrija ostaje važan stup europskoga gospodarstva. Ona je i važan izvor radnih mjesta jer </w:t>
      </w:r>
      <w:r>
        <w:rPr>
          <w:rFonts w:ascii="Times New Roman" w:hAnsi="Times New Roman"/>
          <w:noProof/>
          <w:color w:val="000000" w:themeColor="text1"/>
          <w:sz w:val="24"/>
        </w:rPr>
        <w:t xml:space="preserve">popunjava poslove u srednjem segmentu tržišta rada i pomaže u sprečavanju socijalne polarizacije. Zato moramo modernizirati gospodarstvo poduzimanjem konkretnih mjera na razini EU-a, država članica, regija i lokalne samouprave (vidi sliku 8.). Pritom nije </w:t>
      </w:r>
      <w:r>
        <w:rPr>
          <w:rFonts w:ascii="Times New Roman" w:hAnsi="Times New Roman"/>
          <w:noProof/>
          <w:color w:val="000000" w:themeColor="text1"/>
          <w:sz w:val="24"/>
        </w:rPr>
        <w:t>riječ o tome da se industrije na zalasku umjetno održavaju na životu; umjesto toga trebali bismo više ulagati u industrije i radnike budućnosti i svoju pozornost usmjeravati na nove proizvodne tehnologije i povezane industrijske (podatkovne) usluge. Europs</w:t>
      </w:r>
      <w:r>
        <w:rPr>
          <w:rFonts w:ascii="Times New Roman" w:hAnsi="Times New Roman"/>
          <w:noProof/>
          <w:color w:val="000000" w:themeColor="text1"/>
          <w:sz w:val="24"/>
        </w:rPr>
        <w:t>ka strategije za jedinstveno digitalno tržište</w:t>
      </w:r>
      <w:r>
        <w:rPr>
          <w:rStyle w:val="FootnoteReference"/>
          <w:rFonts w:ascii="Times New Roman" w:hAnsi="Times New Roman"/>
          <w:noProof/>
          <w:color w:val="000000" w:themeColor="text1"/>
          <w:sz w:val="24"/>
        </w:rPr>
        <w:footnoteReference w:id="28"/>
      </w:r>
      <w:r>
        <w:rPr>
          <w:rFonts w:ascii="Times New Roman" w:hAnsi="Times New Roman"/>
          <w:noProof/>
          <w:color w:val="000000" w:themeColor="text1"/>
          <w:sz w:val="24"/>
        </w:rPr>
        <w:t xml:space="preserve"> i inovativnost trebale bi pomoći europskim poduzećima da postanu globalni akteri i brzo prihvate nove tehnološke trendove.</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Ključni su elementi sljedeći:</w:t>
      </w:r>
    </w:p>
    <w:p w:rsidR="00CD0D3B" w:rsidRDefault="000C19A6">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Inovacije</w:t>
      </w:r>
      <w:r>
        <w:rPr>
          <w:rFonts w:ascii="Times New Roman" w:hAnsi="Times New Roman"/>
          <w:noProof/>
          <w:color w:val="000000" w:themeColor="text1"/>
          <w:sz w:val="24"/>
        </w:rPr>
        <w:t xml:space="preserve">: Države članice EU-a i njihove regije moraju </w:t>
      </w:r>
      <w:r>
        <w:rPr>
          <w:rFonts w:ascii="Times New Roman" w:hAnsi="Times New Roman"/>
          <w:noProof/>
          <w:color w:val="000000" w:themeColor="text1"/>
          <w:sz w:val="24"/>
        </w:rPr>
        <w:t>poboljšati svoj položaj u vrijednosnom lancu i iskoristiti svoje komparativne prednosti. Trebalo bi uspostaviti suradnju između novoosnovanih poduzeća i inovatora u regijama EU-a i vodećih aktera u cilju njihova zajedničkog ulaska u globalne vrijednosne la</w:t>
      </w:r>
      <w:r>
        <w:rPr>
          <w:rFonts w:ascii="Times New Roman" w:hAnsi="Times New Roman"/>
          <w:noProof/>
          <w:color w:val="000000" w:themeColor="text1"/>
          <w:sz w:val="24"/>
        </w:rPr>
        <w:t>nce. Povećanu produktivnost koju možemo zahvaliti inovativnim tehnologijama trebalo bi proširiti na druge dijelove gospodarstva. Tehnološki lideri pet su puta produktivniji od ostalih poduzeća, dok se manje od 20 % proizvodnih MSP-ova koristi naprednim teh</w:t>
      </w:r>
      <w:r>
        <w:rPr>
          <w:rFonts w:ascii="Times New Roman" w:hAnsi="Times New Roman"/>
          <w:noProof/>
          <w:color w:val="000000" w:themeColor="text1"/>
          <w:sz w:val="24"/>
        </w:rPr>
        <w:t>nologijama, zbog čega je potrebno učiniti više na ubrzanju njihova širenja.</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Style w:val="content"/>
          <w:rFonts w:ascii="Times New Roman" w:hAnsi="Times New Roman"/>
          <w:noProof/>
          <w:sz w:val="24"/>
        </w:rPr>
        <w:t>AREUS je projekt koji sufinancira EU (u okviru programa Obzor 2020.), a usmjeren je na smanjenje gubitka energije i optimizirano iskorištavanje resursa u robotiziranoj proizvodnji.</w:t>
      </w:r>
      <w:r>
        <w:rPr>
          <w:rStyle w:val="content"/>
          <w:rFonts w:ascii="Times New Roman" w:hAnsi="Times New Roman"/>
          <w:noProof/>
          <w:sz w:val="24"/>
        </w:rPr>
        <w:t xml:space="preserve"> Glavni je rezultat tog projekta pametna mreža kojom se ostvaruje ušteda energije i materijala.</w:t>
      </w:r>
      <w:r>
        <w:rPr>
          <w:rStyle w:val="Heading1Char"/>
          <w:rFonts w:ascii="Times New Roman" w:eastAsiaTheme="minorEastAsia" w:hAnsi="Times New Roman"/>
          <w:noProof/>
          <w:sz w:val="24"/>
        </w:rPr>
        <w:t xml:space="preserve"> </w:t>
      </w:r>
      <w:r>
        <w:rPr>
          <w:rStyle w:val="content"/>
          <w:rFonts w:ascii="Times New Roman" w:hAnsi="Times New Roman"/>
          <w:noProof/>
          <w:sz w:val="24"/>
        </w:rPr>
        <w:t xml:space="preserve">Ukupna ušteda u potrošnji energije u tvornicama može iznositi 5–9 %, a potencijalno i do 20 %. </w:t>
      </w:r>
      <w:r>
        <w:rPr>
          <w:rFonts w:ascii="Times New Roman" w:hAnsi="Times New Roman"/>
          <w:noProof/>
          <w:sz w:val="24"/>
        </w:rPr>
        <w:t>U tom programu sudjeluju Italija, Latvija, Švedska, Danska, Njema</w:t>
      </w:r>
      <w:r>
        <w:rPr>
          <w:rFonts w:ascii="Times New Roman" w:hAnsi="Times New Roman"/>
          <w:noProof/>
          <w:sz w:val="24"/>
        </w:rPr>
        <w:t>čka i Finska.</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U okviru </w:t>
      </w:r>
      <w:r>
        <w:rPr>
          <w:rFonts w:ascii="Times New Roman" w:hAnsi="Times New Roman"/>
          <w:b/>
          <w:noProof/>
          <w:color w:val="000000" w:themeColor="text1"/>
          <w:sz w:val="24"/>
        </w:rPr>
        <w:t>inicijative Vanguard</w:t>
      </w:r>
      <w:r>
        <w:rPr>
          <w:rFonts w:ascii="Times New Roman" w:hAnsi="Times New Roman"/>
          <w:noProof/>
          <w:color w:val="000000" w:themeColor="text1"/>
          <w:sz w:val="24"/>
        </w:rPr>
        <w:t xml:space="preserve"> 30 europskih regija surađuje u inovativnim ulaganjima, primjerice u razvoju projekata u suradnji s industrijom u kojima se tehnologija 3D ispisa primjenjuje za izradu lakših i fleksibilnijih metalnih umetaka.</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U </w:t>
      </w:r>
      <w:r>
        <w:rPr>
          <w:rFonts w:ascii="Times New Roman" w:hAnsi="Times New Roman"/>
          <w:b/>
          <w:noProof/>
          <w:color w:val="000000" w:themeColor="text1"/>
          <w:sz w:val="24"/>
        </w:rPr>
        <w:t>B</w:t>
      </w:r>
      <w:r>
        <w:rPr>
          <w:rFonts w:ascii="Times New Roman" w:hAnsi="Times New Roman"/>
          <w:b/>
          <w:noProof/>
          <w:color w:val="000000" w:themeColor="text1"/>
          <w:sz w:val="24"/>
        </w:rPr>
        <w:t>elgiji</w:t>
      </w:r>
      <w:r>
        <w:rPr>
          <w:rFonts w:ascii="Times New Roman" w:hAnsi="Times New Roman"/>
          <w:noProof/>
          <w:color w:val="000000" w:themeColor="text1"/>
          <w:sz w:val="24"/>
        </w:rPr>
        <w:t xml:space="preserve"> su dostupne porezne olakšice za visokokvalificirano osoblje u sektoru istraživanja i razvoja, što efektivno smanjuje troškove zapošljavanja istraživača.</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Portugalski mali/srednji poduzetnik</w:t>
      </w:r>
      <w:r>
        <w:rPr>
          <w:rFonts w:ascii="Times New Roman" w:hAnsi="Times New Roman"/>
          <w:noProof/>
          <w:sz w:val="24"/>
        </w:rPr>
        <w:t xml:space="preserve"> razvio je aplikaciju koja kupcima omogućuje da skeniranjem p</w:t>
      </w:r>
      <w:r>
        <w:rPr>
          <w:rFonts w:ascii="Times New Roman" w:hAnsi="Times New Roman"/>
          <w:noProof/>
          <w:sz w:val="24"/>
        </w:rPr>
        <w:t>roizvoda izbjegnu čekanje u redovima te popis za kupnju prilagođava tlocrtu prodavaonice. Zahvaljujući financiranju u iznosu od 1,2 milijuna EUR u okviru Obzora 2020. poduzeće se proširilo na međunarodno tržište s uredima u Portu, Berlinu i San Franciscu.</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Barcelona, Amsterdam, Kopenhagen, Pariz, Berlin, Lisabon i nekoliko drugih europskih gradova razvili su </w:t>
      </w:r>
      <w:r>
        <w:rPr>
          <w:rFonts w:ascii="Times New Roman" w:hAnsi="Times New Roman"/>
          <w:b/>
          <w:noProof/>
          <w:color w:val="000000" w:themeColor="text1"/>
          <w:sz w:val="24"/>
        </w:rPr>
        <w:t>politike urbanih inovacija</w:t>
      </w:r>
      <w:r>
        <w:rPr>
          <w:rFonts w:ascii="Times New Roman" w:hAnsi="Times New Roman"/>
          <w:noProof/>
          <w:color w:val="000000" w:themeColor="text1"/>
          <w:sz w:val="24"/>
        </w:rPr>
        <w:t xml:space="preserve"> u okviru kojih su osigurani jeftiniji uredski prostor, podrška inkubatorima, besplatno savjetovanje za poduzetnike ili progra</w:t>
      </w:r>
      <w:r>
        <w:rPr>
          <w:rFonts w:ascii="Times New Roman" w:hAnsi="Times New Roman"/>
          <w:noProof/>
          <w:color w:val="000000" w:themeColor="text1"/>
          <w:sz w:val="24"/>
        </w:rPr>
        <w:t xml:space="preserve">mi podrške zajednicama poduzetnika. </w:t>
      </w:r>
    </w:p>
    <w:p w:rsidR="00CD0D3B" w:rsidRDefault="000C19A6">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 xml:space="preserve">Ulaganja: </w:t>
      </w:r>
      <w:r>
        <w:rPr>
          <w:rFonts w:ascii="Times New Roman" w:hAnsi="Times New Roman"/>
          <w:noProof/>
          <w:color w:val="000000" w:themeColor="text1"/>
          <w:sz w:val="24"/>
        </w:rPr>
        <w:t>Osiguranje pristupa financiranju za inovativna poduzeća, osiguranje regulatornog okruženja povoljnog za ulaganja te razvoj ključne infrastrukture, uključujući digitalni, energetski i prometni sektor. Instituci</w:t>
      </w:r>
      <w:r>
        <w:rPr>
          <w:rFonts w:ascii="Times New Roman" w:hAnsi="Times New Roman"/>
          <w:noProof/>
          <w:color w:val="000000" w:themeColor="text1"/>
          <w:sz w:val="24"/>
        </w:rPr>
        <w:t>je privatnog sektora mogu surađivati s Europskim fondom za strateška ulaganja, a unija tržišta kapitala može doprinijeti povećanju izvora financiranja za inovativne poduzetnike i poduzeća.</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b/>
          <w:noProof/>
          <w:color w:val="000000" w:themeColor="text1"/>
          <w:sz w:val="24"/>
        </w:rPr>
        <w:t>Plan ulaganja za Europu</w:t>
      </w:r>
      <w:r>
        <w:rPr>
          <w:rFonts w:ascii="Times New Roman" w:hAnsi="Times New Roman"/>
          <w:noProof/>
          <w:color w:val="000000" w:themeColor="text1"/>
          <w:sz w:val="24"/>
        </w:rPr>
        <w:t xml:space="preserve"> ostvaruje konkretne rezultate. Prema podaci</w:t>
      </w:r>
      <w:r>
        <w:rPr>
          <w:rFonts w:ascii="Times New Roman" w:hAnsi="Times New Roman"/>
          <w:noProof/>
          <w:color w:val="000000" w:themeColor="text1"/>
          <w:sz w:val="24"/>
        </w:rPr>
        <w:t>ma s početka travnja 2017., Planom je podržano ukupno ulaganje u iznosu od 183,5 milijardi EUR. Transakcijama je obuhvaćeno svih 28 država članica, a očekuje se da će koristi ostvariti više od 388 000 MSP-ova i malih poduzeća srednje tržišne kapitalizacije</w:t>
      </w:r>
      <w:r>
        <w:rPr>
          <w:rFonts w:ascii="Times New Roman" w:hAnsi="Times New Roman"/>
          <w:noProof/>
          <w:color w:val="000000" w:themeColor="text1"/>
          <w:sz w:val="24"/>
        </w:rPr>
        <w:t>.</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Francuska Javna investicijska banka (</w:t>
      </w:r>
      <w:r>
        <w:rPr>
          <w:rFonts w:ascii="Times New Roman" w:hAnsi="Times New Roman"/>
          <w:b/>
          <w:noProof/>
          <w:color w:val="000000" w:themeColor="text1"/>
          <w:sz w:val="24"/>
        </w:rPr>
        <w:t>Banque Publique d'Investissement</w:t>
      </w:r>
      <w:r>
        <w:rPr>
          <w:rFonts w:ascii="Times New Roman" w:hAnsi="Times New Roman"/>
          <w:noProof/>
          <w:color w:val="000000" w:themeColor="text1"/>
          <w:sz w:val="24"/>
        </w:rPr>
        <w:t xml:space="preserve"> – BPI) proračunom od 42 milijarde EUR podupire novoosnovana inovacijska poduzeća osiguravajući početni kapital za poduzetnike te je pridonijela uspjehu mnogih digitalnih poduzeća.</w:t>
      </w:r>
    </w:p>
    <w:p w:rsidR="00CD0D3B" w:rsidRDefault="000C19A6">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Sekt</w:t>
      </w:r>
      <w:r>
        <w:rPr>
          <w:rFonts w:ascii="Times New Roman" w:hAnsi="Times New Roman"/>
          <w:b/>
          <w:noProof/>
          <w:color w:val="000000" w:themeColor="text1"/>
          <w:sz w:val="24"/>
        </w:rPr>
        <w:t>orske politike</w:t>
      </w:r>
      <w:r>
        <w:rPr>
          <w:rStyle w:val="FootnoteReference"/>
          <w:rFonts w:ascii="Times New Roman" w:hAnsi="Times New Roman"/>
          <w:b/>
          <w:noProof/>
          <w:color w:val="000000" w:themeColor="text1"/>
          <w:sz w:val="24"/>
        </w:rPr>
        <w:footnoteReference w:id="29"/>
      </w:r>
      <w:r>
        <w:rPr>
          <w:rFonts w:ascii="Times New Roman" w:hAnsi="Times New Roman"/>
          <w:b/>
          <w:noProof/>
          <w:color w:val="000000" w:themeColor="text1"/>
          <w:sz w:val="24"/>
        </w:rPr>
        <w:t>:</w:t>
      </w:r>
      <w:r>
        <w:rPr>
          <w:rFonts w:ascii="Times New Roman" w:hAnsi="Times New Roman"/>
          <w:noProof/>
          <w:color w:val="000000" w:themeColor="text1"/>
          <w:sz w:val="24"/>
        </w:rPr>
        <w:t xml:space="preserve"> Ključan je prioritet daljnje jačanje europskog prijelaza na digitalno, niskougljično i kružno gospodarstvo, cjelovita integracija ciljeva održivog razvoja u europske politike i snažan razvoj jedinstvenog digitalnog tržišta u svrhu utvrđivanja zajedničkih </w:t>
      </w:r>
      <w:r>
        <w:rPr>
          <w:rFonts w:ascii="Times New Roman" w:hAnsi="Times New Roman"/>
          <w:noProof/>
          <w:color w:val="000000" w:themeColor="text1"/>
          <w:sz w:val="24"/>
        </w:rPr>
        <w:t xml:space="preserve">pravila i standarda EU-a te poticanja ulaganja u tehnologije budućnosti. </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 xml:space="preserve">U okviru </w:t>
      </w:r>
      <w:r>
        <w:rPr>
          <w:rFonts w:ascii="Times New Roman" w:hAnsi="Times New Roman"/>
          <w:b/>
          <w:noProof/>
          <w:sz w:val="24"/>
        </w:rPr>
        <w:t>komunikacije o Europskom programu za ekonomiju suradnje</w:t>
      </w:r>
      <w:r>
        <w:rPr>
          <w:rStyle w:val="FootnoteReference"/>
          <w:rFonts w:ascii="Times New Roman" w:hAnsi="Times New Roman"/>
          <w:noProof/>
          <w:sz w:val="24"/>
        </w:rPr>
        <w:footnoteReference w:id="30"/>
      </w:r>
      <w:r>
        <w:rPr>
          <w:rFonts w:ascii="Times New Roman" w:hAnsi="Times New Roman"/>
          <w:noProof/>
          <w:sz w:val="24"/>
        </w:rPr>
        <w:t xml:space="preserve"> pružaju se jasna pravila i preporuke o politikama EU-a kako bi se građanima, poduzećima i zemljama EU-a pomoglo da u</w:t>
      </w:r>
      <w:r>
        <w:rPr>
          <w:rFonts w:ascii="Times New Roman" w:hAnsi="Times New Roman"/>
          <w:noProof/>
          <w:sz w:val="24"/>
        </w:rPr>
        <w:t xml:space="preserve"> potpunosti iskoriste nove poslovne modele te da promiču uravnoteženi razvoj, primjerice masovnim financiranjem prometnih platformi ili platformi za najam stanova.</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highlight w:val="yellow"/>
        </w:rPr>
      </w:pPr>
      <w:r>
        <w:rPr>
          <w:rFonts w:ascii="Times New Roman" w:hAnsi="Times New Roman"/>
          <w:b/>
          <w:noProof/>
          <w:sz w:val="24"/>
        </w:rPr>
        <w:t>Ljubljana</w:t>
      </w:r>
      <w:r>
        <w:rPr>
          <w:rFonts w:ascii="Times New Roman" w:hAnsi="Times New Roman"/>
          <w:noProof/>
          <w:sz w:val="24"/>
        </w:rPr>
        <w:t xml:space="preserve"> je 2016. proglašena Europskom zelenom prijestolnicom zahvaljujući svojoj politici </w:t>
      </w:r>
      <w:r>
        <w:rPr>
          <w:rFonts w:ascii="Times New Roman" w:hAnsi="Times New Roman"/>
          <w:noProof/>
          <w:sz w:val="24"/>
        </w:rPr>
        <w:t>ograničenja prometa motornim vozilima i davanja prednosti pješacima, biciklistima i javnom prijevozu. Gospodarski rast grada od 8 % u 2016. oborio je sve rekorde iz prethodnih godina, čemu su pridonijele povećane mogućnosti ulaganja i uvjeti produktivnosti</w:t>
      </w:r>
      <w:r>
        <w:rPr>
          <w:rFonts w:ascii="Times New Roman" w:hAnsi="Times New Roman"/>
          <w:noProof/>
          <w:sz w:val="24"/>
        </w:rPr>
        <w:t xml:space="preserve"> proizašli iz razvoja održive infrastrukture, što je privuklo turistički sektor i pogodovalo njegovu razvoju.</w:t>
      </w:r>
    </w:p>
    <w:p w:rsidR="00CD0D3B" w:rsidRDefault="000C19A6">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Zakonsko reguliranje i oporezivanje:</w:t>
      </w:r>
      <w:r>
        <w:rPr>
          <w:rFonts w:ascii="Times New Roman" w:hAnsi="Times New Roman"/>
          <w:noProof/>
          <w:color w:val="000000" w:themeColor="text1"/>
          <w:sz w:val="24"/>
        </w:rPr>
        <w:t xml:space="preserve"> Novi poslovni modeli trebali bi podržati poduzetništvo uz istovremeno osiguranje ravnopravnih uvjeta. Na svim</w:t>
      </w:r>
      <w:r>
        <w:rPr>
          <w:rFonts w:ascii="Times New Roman" w:hAnsi="Times New Roman"/>
          <w:noProof/>
          <w:color w:val="000000" w:themeColor="text1"/>
          <w:sz w:val="24"/>
        </w:rPr>
        <w:t xml:space="preserve"> razinama oblikovanja politika nužno je osigurati jednostavnost regulatornog okruženja kojim će se podržati poduzetnici, posebno MSP-ovi. To ne znači deregulaciju i „utrku prema dnu”, već pametnu regulaciju. Paralelno s time, vlade moraju osigurati da pore</w:t>
      </w:r>
      <w:r>
        <w:rPr>
          <w:rFonts w:ascii="Times New Roman" w:hAnsi="Times New Roman"/>
          <w:noProof/>
          <w:color w:val="000000" w:themeColor="text1"/>
          <w:sz w:val="24"/>
        </w:rPr>
        <w:t>zna politika ostane relevantna u kontekstu digitalizacije i novih poslovnih modela te da poduzeća pošteno plaćaju poreze na mjestu gdje doista ostvaruju dobit.</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b/>
          <w:noProof/>
          <w:sz w:val="24"/>
        </w:rPr>
        <w:t>U okviru svojega plana za bolju regulativu</w:t>
      </w:r>
      <w:r>
        <w:rPr>
          <w:rFonts w:ascii="Times New Roman" w:hAnsi="Times New Roman"/>
          <w:noProof/>
          <w:sz w:val="24"/>
        </w:rPr>
        <w:t xml:space="preserve"> Komisija pojednostavnjenjem propisa na razini EU-a ol</w:t>
      </w:r>
      <w:r>
        <w:rPr>
          <w:rFonts w:ascii="Times New Roman" w:hAnsi="Times New Roman"/>
          <w:noProof/>
          <w:sz w:val="24"/>
        </w:rPr>
        <w:t>akšava poslovne transakcije i čini ih jeftinijima.</w:t>
      </w:r>
      <w:r>
        <w:rPr>
          <w:rFonts w:ascii="Times New Roman" w:hAnsi="Times New Roman"/>
          <w:b/>
          <w:noProof/>
          <w:sz w:val="24"/>
        </w:rPr>
        <w:t xml:space="preserve"> </w:t>
      </w:r>
      <w:r>
        <w:rPr>
          <w:rFonts w:ascii="Times New Roman" w:hAnsi="Times New Roman"/>
          <w:noProof/>
          <w:sz w:val="24"/>
        </w:rPr>
        <w:t>Jedinstveni europski propis u području zaštite podataka donesen u travnju 2016. zamijenit će 28 nacionalnih propisa i prema procjenama ostvariti uštedu u iznosu do 2,3 milijarde EUR godišnje.  Taj novi pro</w:t>
      </w:r>
      <w:r>
        <w:rPr>
          <w:rFonts w:ascii="Times New Roman" w:hAnsi="Times New Roman"/>
          <w:noProof/>
          <w:sz w:val="24"/>
        </w:rPr>
        <w:t>pis donijet će izravne koristi građanima (u smislu bolje zaštite podataka) i poduzećima (smanjenje administrativnog opterećenja), a primjenjivat će se kao jedinstveni zakonodavni okvir u cijeloj Uniji.</w:t>
      </w:r>
      <w:r>
        <w:rPr>
          <w:rFonts w:ascii="Times New Roman" w:hAnsi="Times New Roman"/>
          <w:noProof/>
          <w:color w:val="000000" w:themeColor="text1"/>
          <w:sz w:val="24"/>
        </w:rPr>
        <w:t xml:space="preserve"> </w:t>
      </w:r>
    </w:p>
    <w:p w:rsidR="00CD0D3B" w:rsidRDefault="000C19A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Zahvaljujući svojem jednostavnom i pametnom regulator</w:t>
      </w:r>
      <w:r>
        <w:rPr>
          <w:rFonts w:ascii="Times New Roman" w:hAnsi="Times New Roman"/>
          <w:noProof/>
          <w:color w:val="000000" w:themeColor="text1"/>
          <w:sz w:val="24"/>
        </w:rPr>
        <w:t xml:space="preserve">nom okruženju </w:t>
      </w:r>
      <w:r>
        <w:rPr>
          <w:rFonts w:ascii="Times New Roman" w:hAnsi="Times New Roman"/>
          <w:b/>
          <w:noProof/>
          <w:color w:val="000000" w:themeColor="text1"/>
          <w:sz w:val="24"/>
        </w:rPr>
        <w:t>Danska</w:t>
      </w:r>
      <w:r>
        <w:rPr>
          <w:rFonts w:ascii="Times New Roman" w:hAnsi="Times New Roman"/>
          <w:noProof/>
          <w:color w:val="000000" w:themeColor="text1"/>
          <w:sz w:val="24"/>
        </w:rPr>
        <w:t xml:space="preserve"> se u području jednostavnosti poslovanja kontinuirano ubraja među prve tri</w:t>
      </w:r>
      <w:r>
        <w:rPr>
          <w:rStyle w:val="FootnoteReference"/>
          <w:rFonts w:ascii="Times New Roman" w:hAnsi="Times New Roman"/>
          <w:noProof/>
          <w:color w:val="000000" w:themeColor="text1"/>
          <w:sz w:val="24"/>
        </w:rPr>
        <w:footnoteReference w:id="31"/>
      </w:r>
      <w:r>
        <w:rPr>
          <w:rFonts w:ascii="Times New Roman" w:hAnsi="Times New Roman"/>
          <w:noProof/>
          <w:color w:val="000000" w:themeColor="text1"/>
          <w:sz w:val="24"/>
        </w:rPr>
        <w:t xml:space="preserve"> zemlje svijeta. Mogućnost elektroničke provedbe gotovo svih postupaka čini tu zemlju jednom od predvodnica u području učinkovitog poslovnog upravljanja.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Pametno</w:t>
      </w:r>
      <w:r>
        <w:rPr>
          <w:rFonts w:ascii="Times New Roman" w:hAnsi="Times New Roman"/>
          <w:noProof/>
          <w:color w:val="000000" w:themeColor="text1"/>
          <w:sz w:val="24"/>
        </w:rPr>
        <w:t xml:space="preserve"> uređenje svih tih politika na </w:t>
      </w:r>
      <w:r>
        <w:rPr>
          <w:rFonts w:ascii="Times New Roman" w:hAnsi="Times New Roman"/>
          <w:b/>
          <w:noProof/>
          <w:color w:val="000000" w:themeColor="text1"/>
          <w:sz w:val="24"/>
        </w:rPr>
        <w:t>unutarnjem tržištu</w:t>
      </w:r>
      <w:r>
        <w:rPr>
          <w:rFonts w:ascii="Times New Roman" w:hAnsi="Times New Roman"/>
          <w:noProof/>
          <w:color w:val="000000" w:themeColor="text1"/>
          <w:sz w:val="24"/>
        </w:rPr>
        <w:t xml:space="preserve"> EU-a, koje je najveće na svijetu, bit će odskočna daska europskim poduzećima koja žele proširiti svoje poslovanje u svijetu. Jačanje jedinstvenog tržišta uključuje poduzimanje političkih i provedbenih mjera</w:t>
      </w:r>
      <w:r>
        <w:rPr>
          <w:rFonts w:ascii="Times New Roman" w:hAnsi="Times New Roman"/>
          <w:noProof/>
          <w:color w:val="000000" w:themeColor="text1"/>
          <w:sz w:val="24"/>
        </w:rPr>
        <w:t xml:space="preserve"> na razini EU-a i država članica te suzdržavanje od postavljanja novih prepreka, primjerice u maloprodajnom sektoru</w:t>
      </w:r>
      <w:r>
        <w:rPr>
          <w:rFonts w:ascii="Times New Roman" w:hAnsi="Times New Roman"/>
          <w:noProof/>
          <w:sz w:val="24"/>
        </w:rPr>
        <w:t>. Kako bi se osiguralo povoljno poslovno okruženje i ojačala gospodarstva država članica, europski semestar trebao bi nastaviti funkcionirati</w:t>
      </w:r>
      <w:r>
        <w:rPr>
          <w:rFonts w:ascii="Times New Roman" w:hAnsi="Times New Roman"/>
          <w:noProof/>
          <w:sz w:val="24"/>
        </w:rPr>
        <w:t xml:space="preserve"> kao mehanizam usklađivanja politika u EU-u.</w:t>
      </w:r>
      <w:r>
        <w:rPr>
          <w:rFonts w:ascii="Times New Roman" w:hAnsi="Times New Roman"/>
          <w:noProof/>
          <w:color w:val="000000" w:themeColor="text1"/>
          <w:sz w:val="24"/>
        </w:rPr>
        <w:t xml:space="preserve"> Države članice trebale bi razviti politike kojima se jača produktivnost i promiče uključivost te usmjeriti više svojih resursa na ulaganja u inovacije, obrazovanje i dugoročne pokretače konkurentnosti.</w:t>
      </w:r>
    </w:p>
    <w:p w:rsidR="00CD0D3B" w:rsidRDefault="000C19A6">
      <w:pPr>
        <w:spacing w:after="120" w:line="240" w:lineRule="auto"/>
        <w:rPr>
          <w:rFonts w:ascii="Times New Roman" w:hAnsi="Times New Roman"/>
          <w:b/>
          <w:noProof/>
          <w:sz w:val="24"/>
        </w:rPr>
      </w:pPr>
      <w:r>
        <w:rPr>
          <w:rFonts w:ascii="Times New Roman" w:hAnsi="Times New Roman"/>
          <w:b/>
          <w:noProof/>
          <w:sz w:val="24"/>
        </w:rPr>
        <w:t xml:space="preserve">4.3. ... </w:t>
      </w:r>
      <w:r>
        <w:rPr>
          <w:rFonts w:ascii="Times New Roman" w:hAnsi="Times New Roman"/>
          <w:b/>
          <w:noProof/>
          <w:sz w:val="24"/>
        </w:rPr>
        <w:t>u bliskom partnerstvu s osnaženijim regijama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Dok su koristi globalizacije raširene, njezini su troškovi često ograničeni na lokalni kontekst. Temeljna gospodarska transformacija događa se na lokalnoj razini, tj. ondje gdje se odvija interakcija između indu</w:t>
      </w:r>
      <w:r>
        <w:rPr>
          <w:rFonts w:ascii="Times New Roman" w:hAnsi="Times New Roman"/>
          <w:noProof/>
          <w:color w:val="000000" w:themeColor="text1"/>
          <w:sz w:val="24"/>
        </w:rPr>
        <w:t>strije i građana. Stoga se u području ulaganja moramo usmjeriti na lokalne i regionalne potrebe, na jaz u vještinama i regulatorne prepreke kako bismo osigurali da sve regije ostvare koristi od unutarnjeg tržišta i da se bolje pripreme za izazove globaliza</w:t>
      </w:r>
      <w:r>
        <w:rPr>
          <w:rFonts w:ascii="Times New Roman" w:hAnsi="Times New Roman"/>
          <w:noProof/>
          <w:color w:val="000000" w:themeColor="text1"/>
          <w:sz w:val="24"/>
        </w:rPr>
        <w:t>cije. Iz</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europskih strukturnih i investicijskih fondova, u kombinaciji s nacionalnim doprinosima, na raspolaganju je 67,6 milijardi EUR za potporu regijama koje imaju strategije za pametnu specijalizaciju koje im pomažu da iskoriste svoje prednosti i </w:t>
      </w:r>
      <w:r>
        <w:rPr>
          <w:rFonts w:ascii="Times New Roman" w:hAnsi="Times New Roman"/>
          <w:noProof/>
          <w:color w:val="000000" w:themeColor="text1"/>
          <w:sz w:val="24"/>
        </w:rPr>
        <w:t>omoguće uspon u vrijednosnom lancu, stimuliraju privatni sektor i usmjeravaju ulaganja na ključne prioritete i izazove, sprečavajući istovremeno odljev mozgova i trend napuštanja ruralnih područja. U mnogim slučajevima taj prijelaz ne mora značiti da je ri</w:t>
      </w:r>
      <w:r>
        <w:rPr>
          <w:rFonts w:ascii="Times New Roman" w:hAnsi="Times New Roman"/>
          <w:noProof/>
          <w:color w:val="000000" w:themeColor="text1"/>
          <w:sz w:val="24"/>
        </w:rPr>
        <w:t>ječ o disruptivnoj i visokotehnološkoj transformaciji, već postupnoj inovaciji koja osigurava budućnost i tradicionalnijim industrijama.</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Diljem Europe potrebno je dodatno razvijati i međusobno povezivati inovacijske klastere koji povezuju poduzeća, sveučil</w:t>
      </w:r>
      <w:r>
        <w:rPr>
          <w:rFonts w:ascii="Times New Roman" w:hAnsi="Times New Roman"/>
          <w:noProof/>
          <w:color w:val="000000" w:themeColor="text1"/>
          <w:sz w:val="24"/>
        </w:rPr>
        <w:t>išta, novoosnovana poduzeća, ulagače i lokalnu samoupravu. Mnoge europske regije u dobroj su poziciji da iskoriste prilike koje im pruža globalizacija. Druge su, međutim, zbog međunarodne konkurencije i tehnoloških promjena suočene s većom opasnosti od gub</w:t>
      </w:r>
      <w:r>
        <w:rPr>
          <w:rFonts w:ascii="Times New Roman" w:hAnsi="Times New Roman"/>
          <w:noProof/>
          <w:color w:val="000000" w:themeColor="text1"/>
          <w:sz w:val="24"/>
        </w:rPr>
        <w:t>itka velikog broja radnih mjesta. Ugroženih regija ima diljem Europe, no najviše ih se može pronaći u južnoj te srednjoj i istočnoj Europi. One su u fokusu europskih politika kojima se želi potaknuti njihova konkurentnost i ojačati otpornost.</w:t>
      </w:r>
    </w:p>
    <w:p w:rsidR="00CD0D3B" w:rsidRDefault="000C19A6">
      <w:pPr>
        <w:pBdr>
          <w:top w:val="single" w:sz="4" w:space="1" w:color="auto"/>
          <w:left w:val="single" w:sz="4" w:space="4" w:color="auto"/>
          <w:bottom w:val="single" w:sz="4" w:space="1" w:color="auto"/>
          <w:right w:val="single" w:sz="4" w:space="4" w:color="auto"/>
        </w:pBdr>
        <w:jc w:val="both"/>
        <w:rPr>
          <w:rFonts w:ascii="Times New Roman" w:hAnsi="Times New Roman"/>
          <w:noProof/>
          <w:color w:val="000000" w:themeColor="text1"/>
          <w:sz w:val="24"/>
        </w:rPr>
      </w:pPr>
      <w:r>
        <w:rPr>
          <w:rFonts w:ascii="Times New Roman" w:hAnsi="Times New Roman"/>
          <w:noProof/>
          <w:color w:val="000000" w:themeColor="text1"/>
          <w:sz w:val="24"/>
        </w:rPr>
        <w:t xml:space="preserve">Nakon što je </w:t>
      </w:r>
      <w:r>
        <w:rPr>
          <w:rFonts w:ascii="Times New Roman" w:hAnsi="Times New Roman"/>
          <w:noProof/>
          <w:color w:val="000000" w:themeColor="text1"/>
          <w:sz w:val="24"/>
        </w:rPr>
        <w:t xml:space="preserve">u prosincu 2011. bankrotirao veliki švedski proizvođač automobila, više od 3000 ljudi u Trollhättanu na jugu Švedske ostalo je bez posla. Iz Europskog fonda za prilagodbu globalizaciji na raspolaganje je stavljeno 5,4 milijuna EUR kako bi se pružila pomoć </w:t>
      </w:r>
      <w:r>
        <w:rPr>
          <w:rFonts w:ascii="Times New Roman" w:hAnsi="Times New Roman"/>
          <w:noProof/>
          <w:color w:val="000000" w:themeColor="text1"/>
          <w:sz w:val="24"/>
        </w:rPr>
        <w:t xml:space="preserve">za 1350 otpuštenih radnika i 16 dobavljača. Grad je otad poduzeo mjere kojima je, unatoč tom otpuštanju, smanjio nezaposlenost za četvrtinu. Nezaposlenost je danas niža (12 %) nego što je bila ranije (16 %). Za uspjeh je zaslužan snažan poduzetnički duh u </w:t>
      </w:r>
      <w:r>
        <w:rPr>
          <w:rFonts w:ascii="Times New Roman" w:hAnsi="Times New Roman"/>
          <w:noProof/>
          <w:color w:val="000000" w:themeColor="text1"/>
          <w:sz w:val="24"/>
        </w:rPr>
        <w:t>sektorima poput građevinarstva, prometa i aeronautike. Osnovana su mnoga poduzeća koja zapošljavaju oko 1000 ljudi. Radnicima koji su otpušteni iz Saaba ponuđena je mogućnost prekvalifikacije bez gubitka naknade za nezaposlenost, što su mnogi iskoristili k</w:t>
      </w:r>
      <w:r>
        <w:rPr>
          <w:rFonts w:ascii="Times New Roman" w:hAnsi="Times New Roman"/>
          <w:noProof/>
          <w:color w:val="000000" w:themeColor="text1"/>
          <w:sz w:val="24"/>
        </w:rPr>
        <w:t>ako bi započeli novu karijeru.</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Posebnu pozornost potrebno je usmjeriti i na jačanje otpornosti ruralnih zajednica kojima prijeti opasnost zaostajanja u uvjetima globalizacije ili demografskih promjena. Suvremena zajednička poljoprivredna politika svojim pr</w:t>
      </w:r>
      <w:r>
        <w:rPr>
          <w:rFonts w:ascii="Times New Roman" w:hAnsi="Times New Roman"/>
          <w:noProof/>
          <w:color w:val="000000" w:themeColor="text1"/>
          <w:sz w:val="24"/>
        </w:rPr>
        <w:t>omicanjem visokih standarda ima ključnu ulogu u poticanju konkurentnosti u poljoprivredno-prehrambenom sektoru i uspješnoj integraciji na međunarodna tržišta.</w:t>
      </w:r>
    </w:p>
    <w:p w:rsidR="00CD0D3B" w:rsidRDefault="000C19A6">
      <w:pPr>
        <w:tabs>
          <w:tab w:val="left" w:pos="3810"/>
        </w:tabs>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Zajednička je odgovornost svih razina vlasti učiniti europsko gospodarstvo konkurentnijim, održiv</w:t>
      </w:r>
      <w:r>
        <w:rPr>
          <w:rFonts w:ascii="Times New Roman" w:hAnsi="Times New Roman"/>
          <w:noProof/>
          <w:color w:val="000000" w:themeColor="text1"/>
          <w:sz w:val="24"/>
        </w:rPr>
        <w:t>ijim i otpornijim na izazove globalizacije te osigurati da ono generira potrebne resurse kako bi se zajamčila pravednija raspodjela koristi koje iz nje proizlaze.</w:t>
      </w:r>
    </w:p>
    <w:p w:rsidR="00CD0D3B" w:rsidRDefault="00CD0D3B">
      <w:pPr>
        <w:spacing w:after="0" w:line="240" w:lineRule="auto"/>
        <w:rPr>
          <w:noProof/>
          <w:color w:val="000000" w:themeColor="text1"/>
        </w:rPr>
      </w:pPr>
    </w:p>
    <w:p w:rsidR="00CD0D3B" w:rsidRDefault="000C19A6">
      <w:pPr>
        <w:spacing w:after="120" w:line="240" w:lineRule="auto"/>
        <w:rPr>
          <w:rFonts w:ascii="Times New Roman" w:hAnsi="Times New Roman"/>
          <w:b/>
          <w:noProof/>
          <w:color w:val="595959"/>
          <w:sz w:val="24"/>
        </w:rPr>
      </w:pPr>
      <w:r>
        <w:rPr>
          <w:rFonts w:ascii="Times New Roman" w:hAnsi="Times New Roman"/>
          <w:b/>
          <w:noProof/>
          <w:color w:val="595959"/>
          <w:sz w:val="24"/>
        </w:rPr>
        <w:t>Slika 8.: Svladavanje globalizacije – zajednička zadaća</w:t>
      </w:r>
    </w:p>
    <w:p w:rsidR="00CD0D3B" w:rsidRDefault="000C19A6">
      <w:pPr>
        <w:spacing w:after="120" w:line="240" w:lineRule="auto"/>
        <w:jc w:val="center"/>
        <w:rPr>
          <w:rFonts w:ascii="Times New Roman" w:hAnsi="Times New Roman"/>
          <w:noProof/>
          <w:color w:val="000000" w:themeColor="text1"/>
          <w:sz w:val="24"/>
        </w:rPr>
      </w:pPr>
      <w:r>
        <w:rPr>
          <w:noProof/>
          <w:lang w:val="en-GB" w:eastAsia="en-GB" w:bidi="ar-SA"/>
        </w:rPr>
        <w:drawing>
          <wp:inline distT="0" distB="0" distL="0" distR="0">
            <wp:extent cx="5760720" cy="48021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802166"/>
                    </a:xfrm>
                    <a:prstGeom prst="rect">
                      <a:avLst/>
                    </a:prstGeom>
                  </pic:spPr>
                </pic:pic>
              </a:graphicData>
            </a:graphic>
          </wp:inline>
        </w:drawing>
      </w:r>
    </w:p>
    <w:p w:rsidR="00CD0D3B" w:rsidRDefault="000C19A6">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Izvor: Europska komisija</w:t>
      </w:r>
    </w:p>
    <w:p w:rsidR="00CD0D3B" w:rsidRDefault="000C19A6">
      <w:pPr>
        <w:spacing w:after="120" w:line="240" w:lineRule="auto"/>
        <w:rPr>
          <w:rFonts w:ascii="Times New Roman" w:hAnsi="Times New Roman"/>
          <w:b/>
          <w:smallCaps/>
          <w:noProof/>
          <w:color w:val="000000" w:themeColor="text1"/>
          <w:sz w:val="24"/>
        </w:rPr>
      </w:pPr>
      <w:r>
        <w:rPr>
          <w:noProof/>
        </w:rPr>
        <w:br w:type="page"/>
      </w:r>
    </w:p>
    <w:p w:rsidR="00CD0D3B" w:rsidRDefault="000C19A6">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5. Zak</w:t>
      </w:r>
      <w:r>
        <w:rPr>
          <w:rFonts w:ascii="Times New Roman" w:hAnsi="Times New Roman"/>
          <w:b/>
          <w:smallCaps/>
          <w:noProof/>
          <w:color w:val="000000" w:themeColor="text1"/>
          <w:sz w:val="24"/>
        </w:rPr>
        <w:t>ljučak</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 xml:space="preserve">Pojačana globalna gospodarska suradnja i tehnološki napredak stvaraju prilike, ali isto tako i izazove, nade i bojazni. Iako činjenice dokazuju da europsko gospodarstvo, poduzeća i građani i dalje imaju ogromne koristi od globalizacije, te koristi </w:t>
      </w:r>
      <w:r>
        <w:rPr>
          <w:rFonts w:ascii="Times New Roman" w:hAnsi="Times New Roman"/>
          <w:noProof/>
          <w:sz w:val="24"/>
        </w:rPr>
        <w:t>nisu automatske niti su ravnomjerno raspoređene među europskim regijama i našim građanima.</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 xml:space="preserve">S druge strane, bojazni su stvarne i u nekim slučajevima utemeljene. Globalizacija i povezane tehnološke promjene preobrazit će naše živote dosad neviđenom brzinom. </w:t>
      </w:r>
      <w:r>
        <w:rPr>
          <w:rFonts w:ascii="Times New Roman" w:hAnsi="Times New Roman"/>
          <w:noProof/>
          <w:sz w:val="24"/>
        </w:rPr>
        <w:t xml:space="preserve">Taj proces neće biti lagan, no nitko ga ne može zaustaviti niti preokrenuti. Sada se postavlja pitanje može li Europa pronaći zajedničko stajalište u pogledu daljnjih koraka za učinkovito upravljanje tom transformacijom. </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Neki žele zatvoriti čak i nacional</w:t>
      </w:r>
      <w:r>
        <w:rPr>
          <w:rFonts w:ascii="Times New Roman" w:hAnsi="Times New Roman"/>
          <w:noProof/>
          <w:sz w:val="24"/>
        </w:rPr>
        <w:t>ne granice. Dovode u pitanje i to dopušta li jedinstveno tržište EU-a previše slobode u smislu kretanja robe, usluga, kapitala i radne snage. U svakom slučaju, pokušaji vraćanja europske integracije na početak vode u slijepu ulicu.</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EU27 i dalje je vodeća s</w:t>
      </w:r>
      <w:r>
        <w:rPr>
          <w:rFonts w:ascii="Times New Roman" w:hAnsi="Times New Roman"/>
          <w:noProof/>
          <w:sz w:val="24"/>
        </w:rPr>
        <w:t>vjetska sila u području trgovine, ulaganja i pružanja razvojne pomoći.  Duboko smo integrirani u globalne vrijednosne lance i zadržat ćemo tu važnu ulogu, čak i ako se pojave nove gospodarske sile. Umjesto da se opustimo i prepustimo globalizaciji da oblik</w:t>
      </w:r>
      <w:r>
        <w:rPr>
          <w:rFonts w:ascii="Times New Roman" w:hAnsi="Times New Roman"/>
          <w:noProof/>
          <w:sz w:val="24"/>
        </w:rPr>
        <w:t xml:space="preserve">uje naše sudbine, u prilici smo oblikovati njezine tokove u skladu s vlastitim vrijednostima i interesima. </w:t>
      </w:r>
    </w:p>
    <w:p w:rsidR="00CD0D3B" w:rsidRDefault="000C19A6">
      <w:pPr>
        <w:spacing w:after="120" w:line="240" w:lineRule="auto"/>
        <w:jc w:val="both"/>
        <w:rPr>
          <w:rFonts w:ascii="Times New Roman" w:hAnsi="Times New Roman"/>
          <w:noProof/>
          <w:sz w:val="24"/>
        </w:rPr>
      </w:pPr>
      <w:r>
        <w:rPr>
          <w:rFonts w:ascii="Times New Roman" w:hAnsi="Times New Roman"/>
          <w:noProof/>
          <w:sz w:val="24"/>
        </w:rPr>
        <w:t>Dokazi izneseni u ovom dokumentu jasno pokazuju da globalizacija može biti korisna kada se kontrolira na odgovarajući način.  Učinkovita europska go</w:t>
      </w:r>
      <w:r>
        <w:rPr>
          <w:rFonts w:ascii="Times New Roman" w:hAnsi="Times New Roman"/>
          <w:noProof/>
          <w:sz w:val="24"/>
        </w:rPr>
        <w:t>spodarska diplomacija izvan EU-a pridonijet će postavljanju pravila igre u globalnim okvirima te osigurati da europska poduzeća uspješno posluju u uvjetima brzorastućih međunarodnih tržišta. Njihov će kontinuirani uspjeh donijeti veći broj boljih radnih mj</w:t>
      </w:r>
      <w:r>
        <w:rPr>
          <w:rFonts w:ascii="Times New Roman" w:hAnsi="Times New Roman"/>
          <w:noProof/>
          <w:sz w:val="24"/>
        </w:rPr>
        <w:t>esta za naše građane. No, ne trebamo se ustručavati ni poduzeti mjere za ponovnu uspostavu ravnopravnih uvjeta ondje gdje oni budu ugroženi.</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Zajedničkim pravilima unutar EU-a regulirana su najveća jedinstvena tržišta i osigurani visoki standardi. Poduzeća </w:t>
      </w:r>
      <w:r>
        <w:rPr>
          <w:rFonts w:ascii="Times New Roman" w:hAnsi="Times New Roman"/>
          <w:noProof/>
          <w:color w:val="000000" w:themeColor="text1"/>
          <w:sz w:val="24"/>
        </w:rPr>
        <w:t xml:space="preserve">koja posluju u inovativnom i prilagodljivom domaćem okruženju, kao što je njemački </w:t>
      </w:r>
      <w:r>
        <w:rPr>
          <w:rFonts w:ascii="Times New Roman" w:hAnsi="Times New Roman"/>
          <w:i/>
          <w:noProof/>
          <w:color w:val="000000" w:themeColor="text1"/>
          <w:sz w:val="24"/>
        </w:rPr>
        <w:t>Mittelstand</w:t>
      </w:r>
      <w:r>
        <w:rPr>
          <w:rFonts w:ascii="Times New Roman" w:hAnsi="Times New Roman"/>
          <w:noProof/>
          <w:color w:val="000000" w:themeColor="text1"/>
          <w:sz w:val="24"/>
        </w:rPr>
        <w:t xml:space="preserve"> (mala i srednja poduzeća u Njemačkoj), uspješno mogu poslovati i na globalnim tržištima.  Visokokvalitetno obrazovanje i usavršavanje kakvo npr. postoji u Finsko</w:t>
      </w:r>
      <w:r>
        <w:rPr>
          <w:rFonts w:ascii="Times New Roman" w:hAnsi="Times New Roman"/>
          <w:noProof/>
          <w:color w:val="000000" w:themeColor="text1"/>
          <w:sz w:val="24"/>
        </w:rPr>
        <w:t>j i Estoniji pruža građanima vještine i otpornost koji su im potrebni za učinkovitu prilagodbu.  Aktivne politike tržišta rada i politike učinkovite preraspodjele osiguravaju socijalnu koheziju i pomažu u borbi protiv socijalne isključenosti, kao što se to</w:t>
      </w:r>
      <w:r>
        <w:rPr>
          <w:rFonts w:ascii="Times New Roman" w:hAnsi="Times New Roman"/>
          <w:noProof/>
          <w:color w:val="000000" w:themeColor="text1"/>
          <w:sz w:val="24"/>
        </w:rPr>
        <w:t xml:space="preserve"> čini u Danskoj, Švedskoj i drugdje. </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Globalizacija se, dakle, počinje svladavati kod kuće. Europa mora djelovati u cilju pravednije raspodjele koristi od globalizacije, u skladu s našim načelima solidarnosti i održivosti. Europska unija trebala bi isto ta</w:t>
      </w:r>
      <w:r>
        <w:rPr>
          <w:rFonts w:ascii="Times New Roman" w:hAnsi="Times New Roman"/>
          <w:noProof/>
          <w:color w:val="000000" w:themeColor="text1"/>
          <w:sz w:val="24"/>
        </w:rPr>
        <w:t xml:space="preserve">ko biti inovativno i konkurentno gospodarstvo s vodećim svjetskim poduzećima i građanima prilagodljivima na promjene, s potencijalom za stvaranje bogatstva potrebnog za održanje našeg socijalnog modela. </w:t>
      </w:r>
    </w:p>
    <w:p w:rsidR="00CD0D3B" w:rsidRDefault="000C19A6">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Europske institucije to ne mogu učiniti same; to mora biti zajednički pothvat EU-a i njegovih država članica. Nacionalne vlade najvećim su dijelom nadležne za ključna politička sredstva. Regije, gradovi i ruralna područja morat će se prilagoditi. Europska </w:t>
      </w:r>
      <w:r>
        <w:rPr>
          <w:rFonts w:ascii="Times New Roman" w:hAnsi="Times New Roman"/>
          <w:noProof/>
          <w:color w:val="000000" w:themeColor="text1"/>
          <w:sz w:val="24"/>
        </w:rPr>
        <w:t xml:space="preserve">unija može i želi pružiti podršku vlastitim instrumentima. </w:t>
      </w:r>
    </w:p>
    <w:p w:rsidR="00CD0D3B" w:rsidRDefault="000C19A6">
      <w:pPr>
        <w:spacing w:after="120" w:line="240" w:lineRule="auto"/>
        <w:jc w:val="both"/>
        <w:rPr>
          <w:rFonts w:ascii="Times New Roman" w:hAnsi="Times New Roman"/>
          <w:b/>
          <w:noProof/>
          <w:color w:val="000000" w:themeColor="text1"/>
          <w:sz w:val="24"/>
        </w:rPr>
      </w:pPr>
      <w:r>
        <w:rPr>
          <w:rFonts w:ascii="Times New Roman" w:hAnsi="Times New Roman"/>
          <w:noProof/>
          <w:color w:val="000000" w:themeColor="text1"/>
          <w:sz w:val="24"/>
        </w:rPr>
        <w:t xml:space="preserve">Naši građani očekuju jasne odgovore na pitanja o načinima naše suradnje. Zbog toga je toliko važna rasprava o budućnosti Europe, započeta Bijelom knjigom.  Konačno, Europa koja zna u kojem smjeru </w:t>
      </w:r>
      <w:r>
        <w:rPr>
          <w:rFonts w:ascii="Times New Roman" w:hAnsi="Times New Roman"/>
          <w:noProof/>
          <w:color w:val="000000" w:themeColor="text1"/>
          <w:sz w:val="24"/>
        </w:rPr>
        <w:t>želi ići može pomoći stvoriti bolje mjesto za život na dobrobit svih građana svijeta.</w:t>
      </w:r>
    </w:p>
    <w:sectPr w:rsidR="00CD0D3B">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D3B" w:rsidRDefault="000C19A6">
      <w:pPr>
        <w:spacing w:after="0" w:line="240" w:lineRule="auto"/>
      </w:pPr>
      <w:r>
        <w:separator/>
      </w:r>
    </w:p>
  </w:endnote>
  <w:endnote w:type="continuationSeparator" w:id="0">
    <w:p w:rsidR="00CD0D3B" w:rsidRDefault="000C19A6">
      <w:pPr>
        <w:spacing w:after="0" w:line="240" w:lineRule="auto"/>
      </w:pPr>
      <w:r>
        <w:continuationSeparator/>
      </w:r>
    </w:p>
  </w:endnote>
  <w:endnote w:type="continuationNotice" w:id="1">
    <w:p w:rsidR="00CD0D3B" w:rsidRDefault="00CD0D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w:altName w:val="Segoe UI"/>
    <w:panose1 w:val="020B0506040000020004"/>
    <w:charset w:val="00"/>
    <w:family w:val="swiss"/>
    <w:pitch w:val="variable"/>
    <w:sig w:usb0="A00002BF" w:usb1="5000E0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A6" w:rsidRPr="000C19A6" w:rsidRDefault="000C19A6" w:rsidP="000C19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A6" w:rsidRPr="000C19A6" w:rsidRDefault="000C19A6" w:rsidP="000C19A6">
    <w:pPr>
      <w:pStyle w:val="FooterCoverPage"/>
      <w:rPr>
        <w:rFonts w:ascii="Arial" w:hAnsi="Arial" w:cs="Arial"/>
        <w:b/>
        <w:sz w:val="48"/>
      </w:rPr>
    </w:pPr>
    <w:r w:rsidRPr="000C19A6">
      <w:rPr>
        <w:rFonts w:ascii="Arial" w:hAnsi="Arial" w:cs="Arial"/>
        <w:b/>
        <w:sz w:val="48"/>
      </w:rPr>
      <w:t>HR</w:t>
    </w:r>
    <w:r w:rsidRPr="000C19A6">
      <w:rPr>
        <w:rFonts w:ascii="Arial" w:hAnsi="Arial" w:cs="Arial"/>
        <w:b/>
        <w:sz w:val="48"/>
      </w:rPr>
      <w:tab/>
    </w:r>
    <w:r w:rsidRPr="000C19A6">
      <w:rPr>
        <w:rFonts w:ascii="Arial" w:hAnsi="Arial" w:cs="Arial"/>
        <w:b/>
        <w:sz w:val="48"/>
      </w:rPr>
      <w:tab/>
    </w:r>
    <w:fldSimple w:instr=" DOCVARIABLE &quot;LW_Confidence&quot; \* MERGEFORMAT ">
      <w:r>
        <w:t xml:space="preserve"> </w:t>
      </w:r>
    </w:fldSimple>
    <w:r w:rsidRPr="000C19A6">
      <w:tab/>
    </w:r>
    <w:r w:rsidRPr="000C19A6">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A6" w:rsidRPr="000C19A6" w:rsidRDefault="000C19A6" w:rsidP="000C19A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3B" w:rsidRDefault="00CD0D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0127"/>
      <w:docPartObj>
        <w:docPartGallery w:val="Page Numbers (Bottom of Page)"/>
        <w:docPartUnique/>
      </w:docPartObj>
    </w:sdtPr>
    <w:sdtEndPr>
      <w:rPr>
        <w:noProof/>
      </w:rPr>
    </w:sdtEndPr>
    <w:sdtContent>
      <w:p w:rsidR="00CD0D3B" w:rsidRDefault="000C19A6">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CD0D3B" w:rsidRDefault="00CD0D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3B" w:rsidRDefault="00CD0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D3B" w:rsidRDefault="000C19A6">
      <w:pPr>
        <w:spacing w:after="0" w:line="240" w:lineRule="auto"/>
      </w:pPr>
      <w:r>
        <w:separator/>
      </w:r>
    </w:p>
  </w:footnote>
  <w:footnote w:type="continuationSeparator" w:id="0">
    <w:p w:rsidR="00CD0D3B" w:rsidRDefault="000C19A6">
      <w:pPr>
        <w:spacing w:after="0" w:line="240" w:lineRule="auto"/>
      </w:pPr>
      <w:r>
        <w:continuationSeparator/>
      </w:r>
    </w:p>
  </w:footnote>
  <w:footnote w:type="continuationNotice" w:id="1">
    <w:p w:rsidR="00CD0D3B" w:rsidRDefault="00CD0D3B">
      <w:pPr>
        <w:spacing w:after="0" w:line="240" w:lineRule="auto"/>
      </w:pPr>
    </w:p>
  </w:footnote>
  <w:footnote w:id="2">
    <w:p w:rsidR="00CD0D3B" w:rsidRDefault="000C19A6">
      <w:pPr>
        <w:pStyle w:val="FootnoteText"/>
      </w:pPr>
      <w:r>
        <w:rPr>
          <w:rStyle w:val="FootnoteReference"/>
        </w:rPr>
        <w:footnoteRef/>
      </w:r>
      <w:r>
        <w:t xml:space="preserve"> European Commission, </w:t>
      </w:r>
      <w:r>
        <w:rPr>
          <w:rFonts w:cstheme="minorHAnsi"/>
          <w:color w:val="000000" w:themeColor="text1"/>
        </w:rPr>
        <w:t>2010, Report Internationalisation of SMEs.</w:t>
      </w:r>
    </w:p>
  </w:footnote>
  <w:footnote w:id="3">
    <w:p w:rsidR="00CD0D3B" w:rsidRDefault="000C19A6">
      <w:pPr>
        <w:pStyle w:val="FootnoteText"/>
      </w:pPr>
      <w:r>
        <w:rPr>
          <w:rStyle w:val="FootnoteReference"/>
        </w:rPr>
        <w:footnoteRef/>
      </w:r>
      <w:r>
        <w:t xml:space="preserve"> European Commission, 2015, "EU exports to the world: effects</w:t>
      </w:r>
      <w:r>
        <w:t xml:space="preserve"> on employment and income"</w:t>
      </w:r>
    </w:p>
  </w:footnote>
  <w:footnote w:id="4">
    <w:p w:rsidR="00CD0D3B" w:rsidRDefault="000C19A6">
      <w:pPr>
        <w:pStyle w:val="FootnoteText"/>
      </w:pPr>
      <w:r>
        <w:rPr>
          <w:rStyle w:val="FootnoteReference"/>
        </w:rPr>
        <w:footnoteRef/>
      </w:r>
      <w:r>
        <w:t xml:space="preserve"> IMF, World Bank, WTO (2017) Making Trade an Engine of Growth for All. The Case for Trade and for Policies to Facilitate adjustments.</w:t>
      </w:r>
    </w:p>
  </w:footnote>
  <w:footnote w:id="5">
    <w:p w:rsidR="00CD0D3B" w:rsidRDefault="000C19A6">
      <w:pPr>
        <w:pStyle w:val="FootnoteText"/>
      </w:pPr>
      <w:r>
        <w:rPr>
          <w:rStyle w:val="FootnoteReference"/>
        </w:rPr>
        <w:footnoteRef/>
      </w:r>
      <w:r>
        <w:t xml:space="preserve"> OECD (2017), Key Issues Paper : Making Globalisation Work ; Better Lives For All, C(2017)32,</w:t>
      </w:r>
    </w:p>
  </w:footnote>
  <w:footnote w:id="6">
    <w:p w:rsidR="00CD0D3B" w:rsidRDefault="000C19A6">
      <w:pPr>
        <w:pStyle w:val="FootnoteText"/>
      </w:pPr>
      <w:r>
        <w:rPr>
          <w:rStyle w:val="FootnoteReference"/>
        </w:rPr>
        <w:footnoteRef/>
      </w:r>
      <w:r>
        <w:t xml:space="preserve"> Julius Bear, Wealth Report: Europe. September 2014</w:t>
      </w:r>
    </w:p>
  </w:footnote>
  <w:footnote w:id="7">
    <w:p w:rsidR="00CD0D3B" w:rsidRDefault="000C19A6">
      <w:pPr>
        <w:pStyle w:val="FootnoteText"/>
      </w:pPr>
      <w:r>
        <w:rPr>
          <w:rStyle w:val="FootnoteReference"/>
        </w:rPr>
        <w:footnoteRef/>
      </w:r>
      <w:r>
        <w:t xml:space="preserve"> https://reshoring.eurofound.europa.eu/</w:t>
      </w:r>
    </w:p>
  </w:footnote>
  <w:footnote w:id="8">
    <w:p w:rsidR="00CD0D3B" w:rsidRDefault="000C19A6">
      <w:pPr>
        <w:autoSpaceDE w:val="0"/>
        <w:autoSpaceDN w:val="0"/>
      </w:pPr>
      <w:r>
        <w:rPr>
          <w:rFonts w:eastAsiaTheme="minorHAnsi"/>
          <w:sz w:val="20"/>
          <w:vertAlign w:val="superscript"/>
        </w:rPr>
        <w:footnoteRef/>
      </w:r>
      <w:r>
        <w:rPr>
          <w:rFonts w:eastAsiaTheme="minorHAnsi"/>
          <w:sz w:val="20"/>
          <w:vertAlign w:val="superscript"/>
        </w:rPr>
        <w:t xml:space="preserve"> </w:t>
      </w:r>
      <w:r>
        <w:rPr>
          <w:rFonts w:eastAsiaTheme="minorHAnsi"/>
          <w:sz w:val="20"/>
        </w:rPr>
        <w:t xml:space="preserve">Prema procjenama OECD-a za različite zemlje 9 % radnih mjesta ugroženo je zbog automatizacije, a daljnjih 25 % radne snage izloženo je znatnim promjenama u </w:t>
      </w:r>
      <w:r>
        <w:rPr>
          <w:rFonts w:eastAsiaTheme="minorHAnsi"/>
          <w:sz w:val="20"/>
        </w:rPr>
        <w:t>opisu radnog mjesta.</w:t>
      </w:r>
    </w:p>
  </w:footnote>
  <w:footnote w:id="9">
    <w:p w:rsidR="00CD0D3B" w:rsidRDefault="000C19A6">
      <w:pPr>
        <w:pStyle w:val="FootnoteText"/>
      </w:pPr>
      <w:r>
        <w:rPr>
          <w:rStyle w:val="FootnoteReference"/>
        </w:rPr>
        <w:footnoteRef/>
      </w:r>
      <w:r>
        <w:t xml:space="preserve"> UNFPA</w:t>
      </w:r>
    </w:p>
  </w:footnote>
  <w:footnote w:id="10">
    <w:p w:rsidR="00CD0D3B" w:rsidRDefault="000C19A6">
      <w:pPr>
        <w:pStyle w:val="FootnoteText"/>
      </w:pPr>
      <w:r>
        <w:rPr>
          <w:rStyle w:val="FootnoteReference"/>
        </w:rPr>
        <w:footnoteRef/>
      </w:r>
      <w:r>
        <w:t xml:space="preserve"> U izvješću WTO-a, OECD-a i UNCTAD-a navodi se da je </w:t>
      </w:r>
      <w:r>
        <w:rPr>
          <w:rFonts w:cstheme="minorHAnsi"/>
          <w:color w:val="000000" w:themeColor="text1"/>
        </w:rPr>
        <w:t>od 2008. u gospodarstvima zemalja skupine G20 zabilježeno preko 1500 novih trgovinskih ograničenja. Do svibnja 2016. ukinuta ih je samo četvrtina.</w:t>
      </w:r>
    </w:p>
  </w:footnote>
  <w:footnote w:id="11">
    <w:p w:rsidR="00CD0D3B" w:rsidRDefault="000C19A6">
      <w:pPr>
        <w:spacing w:after="0" w:line="240" w:lineRule="auto"/>
      </w:pPr>
      <w:r>
        <w:rPr>
          <w:rFonts w:eastAsiaTheme="minorHAnsi"/>
          <w:sz w:val="20"/>
          <w:vertAlign w:val="superscript"/>
        </w:rPr>
        <w:footnoteRef/>
      </w:r>
      <w:r>
        <w:rPr>
          <w:rFonts w:eastAsiaTheme="minorHAnsi"/>
          <w:sz w:val="20"/>
        </w:rPr>
        <w:t xml:space="preserve"> </w:t>
      </w:r>
      <w:r>
        <w:rPr>
          <w:rFonts w:eastAsiaTheme="minorHAnsi" w:cstheme="minorHAnsi"/>
          <w:color w:val="000000" w:themeColor="text1"/>
          <w:sz w:val="20"/>
        </w:rPr>
        <w:t>Većina Europljana global</w:t>
      </w:r>
      <w:r>
        <w:rPr>
          <w:rFonts w:eastAsiaTheme="minorHAnsi" w:cstheme="minorHAnsi"/>
          <w:color w:val="000000" w:themeColor="text1"/>
          <w:sz w:val="20"/>
        </w:rPr>
        <w:t>izaciju smatra prilikom za gospodarski rast, a još ih više ima povjerenje u svoje gospodarstvo. Izvor: Standardno istraživanje Eurobarometra br. 86., jesen 2016.</w:t>
      </w:r>
    </w:p>
  </w:footnote>
  <w:footnote w:id="12">
    <w:p w:rsidR="00CD0D3B" w:rsidRDefault="000C19A6">
      <w:pPr>
        <w:pStyle w:val="FootnoteText"/>
      </w:pPr>
      <w:r>
        <w:rPr>
          <w:rStyle w:val="FootnoteReference"/>
        </w:rPr>
        <w:footnoteRef/>
      </w:r>
      <w:r>
        <w:t xml:space="preserve"> Eksperimenti autarkičnog gospodarstva u Sovjetskom Savezu, Albaniji (do 1990-ih), Kini (do 1</w:t>
      </w:r>
      <w:r>
        <w:t>970-ih), Argentini (od 1970-ih do 2000-ih) i u novije vrijeme u Venezueli nisu donijeli prosperitet.</w:t>
      </w:r>
    </w:p>
  </w:footnote>
  <w:footnote w:id="13">
    <w:p w:rsidR="00CD0D3B" w:rsidRDefault="000C19A6">
      <w:pPr>
        <w:pStyle w:val="FootnoteText"/>
      </w:pPr>
      <w:r>
        <w:rPr>
          <w:rStyle w:val="FootnoteReference"/>
        </w:rPr>
        <w:footnoteRef/>
      </w:r>
      <w:r>
        <w:t xml:space="preserve"> Arto, Iñaki, José M. Rueda-Cantuche, Antonio F. Amores, Erik Dietzenbacher, Nuno Sousa, Letizia Montinari i Anil Markandya, </w:t>
      </w:r>
      <w:r>
        <w:rPr>
          <w:i/>
        </w:rPr>
        <w:t>EU Exports to the World:</w:t>
      </w:r>
      <w:r>
        <w:t xml:space="preserve"> </w:t>
      </w:r>
      <w:r>
        <w:rPr>
          <w:i/>
        </w:rPr>
        <w:t>Effe</w:t>
      </w:r>
      <w:r>
        <w:rPr>
          <w:i/>
        </w:rPr>
        <w:t>cts on employment and income</w:t>
      </w:r>
      <w:r>
        <w:t>, European Commission, 2015</w:t>
      </w:r>
    </w:p>
  </w:footnote>
  <w:footnote w:id="14">
    <w:p w:rsidR="00CD0D3B" w:rsidRDefault="000C19A6">
      <w:pPr>
        <w:pStyle w:val="FootnoteText"/>
      </w:pPr>
      <w:r>
        <w:rPr>
          <w:rStyle w:val="FootnoteReference"/>
        </w:rPr>
        <w:footnoteRef/>
      </w:r>
      <w:r>
        <w:t xml:space="preserve"> OECD (2003), </w:t>
      </w:r>
      <w:r>
        <w:rPr>
          <w:i/>
        </w:rPr>
        <w:t>The Sources of Growth in OECD Countries</w:t>
      </w:r>
      <w:r>
        <w:t>, Paris.</w:t>
      </w:r>
    </w:p>
  </w:footnote>
  <w:footnote w:id="15">
    <w:p w:rsidR="00CD0D3B" w:rsidRDefault="000C19A6">
      <w:pPr>
        <w:pStyle w:val="FootnoteText"/>
      </w:pPr>
      <w:r>
        <w:rPr>
          <w:rStyle w:val="FootnoteReference"/>
        </w:rPr>
        <w:footnoteRef/>
      </w:r>
      <w:r>
        <w:t xml:space="preserve"> U nedavnom istraživanju, kojim je obuhvaćeno 27 europskih zemalja i 13 drugih velikih zemalja, utvrđeno je da bi zbog zatvaranja trgovine najsiromašnija kućanstva pretrpjela realni gubitak prihoda od 63 %, dok bi za ona najbogatija taj gubitak iznosio 28 </w:t>
      </w:r>
      <w:r>
        <w:t>%. Razlog tome je što u slučaju niskih prihoda znatno veći udio odlazi na osobnu potrošnju (izvor: "Measuring the unequal gains from trade", Pablo D. Fajgelbaum and Amit K. Khandelwal, Quarterly Journal of Economics, August 2016)</w:t>
      </w:r>
    </w:p>
  </w:footnote>
  <w:footnote w:id="16">
    <w:p w:rsidR="00CD0D3B" w:rsidRDefault="000C19A6">
      <w:pPr>
        <w:pStyle w:val="FootnoteText"/>
      </w:pPr>
      <w:r>
        <w:rPr>
          <w:rStyle w:val="FootnoteReference"/>
        </w:rPr>
        <w:footnoteRef/>
      </w:r>
      <w:r>
        <w:t>Komunikacija COM(2015)497</w:t>
      </w:r>
      <w:r>
        <w:t xml:space="preserve"> od 14. listopada 2015. „Trgovina za sve: prema odgovornijoj trgovinskoj i ulagačkoj politici”</w:t>
      </w:r>
    </w:p>
  </w:footnote>
  <w:footnote w:id="17">
    <w:p w:rsidR="00CD0D3B" w:rsidRDefault="000C19A6">
      <w:pPr>
        <w:pStyle w:val="FootnoteText"/>
      </w:pPr>
      <w:r>
        <w:rPr>
          <w:rStyle w:val="FootnoteReference"/>
        </w:rPr>
        <w:footnoteRef/>
      </w:r>
      <w:r>
        <w:t xml:space="preserve"> Vidi Zajednički instrument </w:t>
      </w:r>
      <w:r>
        <w:rPr>
          <w:rFonts w:cstheme="minorHAnsi"/>
          <w:color w:val="000000" w:themeColor="text1"/>
        </w:rPr>
        <w:t>za tumačenje Sveobuhvatnoga gospodarskog i trgovinskog sporazuma između Kanade i Europske unije i njezinih država članica http://dat</w:t>
      </w:r>
      <w:r>
        <w:rPr>
          <w:rFonts w:cstheme="minorHAnsi"/>
          <w:color w:val="000000" w:themeColor="text1"/>
        </w:rPr>
        <w:t>a.consilium.europa.eu/doc/document/ST-13541-2016-INIT/hr/pdf</w:t>
      </w:r>
    </w:p>
  </w:footnote>
  <w:footnote w:id="18">
    <w:p w:rsidR="00CD0D3B" w:rsidRDefault="000C19A6">
      <w:pPr>
        <w:pStyle w:val="FootnoteText"/>
      </w:pPr>
      <w:r>
        <w:rPr>
          <w:rStyle w:val="FootnoteReference"/>
        </w:rPr>
        <w:footnoteRef/>
      </w:r>
      <w:r>
        <w:t xml:space="preserve"> The world in 2050, PWC, February 2017</w:t>
      </w:r>
    </w:p>
  </w:footnote>
  <w:footnote w:id="19">
    <w:p w:rsidR="00CD0D3B" w:rsidRDefault="000C19A6">
      <w:pPr>
        <w:pStyle w:val="FootnoteText"/>
      </w:pPr>
      <w:r>
        <w:rPr>
          <w:rStyle w:val="FootnoteReference"/>
        </w:rPr>
        <w:footnoteRef/>
      </w:r>
      <w:r>
        <w:t xml:space="preserve"> Sud Europske unije, Postupak za donošenje mišljenja 2/15</w:t>
      </w:r>
    </w:p>
  </w:footnote>
  <w:footnote w:id="20">
    <w:p w:rsidR="00CD0D3B" w:rsidRDefault="000C19A6">
      <w:pPr>
        <w:pStyle w:val="Default"/>
        <w:rPr>
          <w:rStyle w:val="FootnoteReference"/>
        </w:rPr>
      </w:pPr>
      <w:r>
        <w:rPr>
          <w:rStyle w:val="FootnoteReference"/>
          <w:rFonts w:asciiTheme="minorHAnsi" w:hAnsiTheme="minorHAnsi"/>
          <w:sz w:val="20"/>
        </w:rPr>
        <w:footnoteRef/>
      </w:r>
      <w:r>
        <w:rPr>
          <w:rStyle w:val="FootnoteReference"/>
        </w:rPr>
        <w:t xml:space="preserve"> </w:t>
      </w:r>
      <w:r>
        <w:rPr>
          <w:rFonts w:asciiTheme="minorHAnsi" w:eastAsiaTheme="minorHAnsi" w:hAnsiTheme="minorHAnsi" w:cstheme="minorHAnsi"/>
          <w:color w:val="000000" w:themeColor="text1"/>
          <w:sz w:val="20"/>
        </w:rPr>
        <w:t>Vidi javno savjetovanje Europske komisije o multilateralnoj reformi za rješavanje ulagačkih sp</w:t>
      </w:r>
      <w:r>
        <w:rPr>
          <w:rFonts w:asciiTheme="minorHAnsi" w:eastAsiaTheme="minorHAnsi" w:hAnsiTheme="minorHAnsi" w:cstheme="minorHAnsi"/>
          <w:color w:val="000000" w:themeColor="text1"/>
          <w:sz w:val="20"/>
        </w:rPr>
        <w:t>orova koje je pokrenuto u prosincu 2016.</w:t>
      </w:r>
    </w:p>
  </w:footnote>
  <w:footnote w:id="21">
    <w:p w:rsidR="00CD0D3B" w:rsidRDefault="000C19A6">
      <w:pPr>
        <w:pStyle w:val="FootnoteText"/>
      </w:pPr>
      <w:r>
        <w:rPr>
          <w:rStyle w:val="FootnoteReference"/>
        </w:rPr>
        <w:footnoteRef/>
      </w:r>
      <w:r>
        <w:t xml:space="preserve"> </w:t>
      </w:r>
      <w:r>
        <w:rPr>
          <w:rFonts w:cstheme="minorHAnsi"/>
          <w:color w:val="000000" w:themeColor="text1"/>
        </w:rPr>
        <w:t xml:space="preserve">Vidi Komunikaciju Komisije </w:t>
      </w:r>
      <w:r>
        <w:t xml:space="preserve">„Prema snažnoj trgovinskoj politici EU-a u interesu otvaranja novih radnih mjesta i rasta”, </w:t>
      </w:r>
      <w:r>
        <w:rPr>
          <w:rFonts w:cstheme="minorHAnsi"/>
          <w:color w:val="000000" w:themeColor="text1"/>
        </w:rPr>
        <w:t>listopad 2016., i prijedloge Komisije COM(2013)191 i COM(2016)721 za uredbe o izmjeni Uredbe (</w:t>
      </w:r>
      <w:r>
        <w:rPr>
          <w:rFonts w:cstheme="minorHAnsi"/>
          <w:color w:val="000000" w:themeColor="text1"/>
        </w:rPr>
        <w:t>EU) 2016/1036 o zaštiti od dampinškog uvoza iz zemalja koje nisu članice Europske unije i Uredbe (EU) 2016/1037 o zaštiti od subvencioniranog uvoza iz zemalja koje nisu članice Europske unije</w:t>
      </w:r>
    </w:p>
  </w:footnote>
  <w:footnote w:id="22">
    <w:p w:rsidR="00CD0D3B" w:rsidRDefault="000C19A6">
      <w:pPr>
        <w:pStyle w:val="Default"/>
      </w:pPr>
      <w:r>
        <w:rPr>
          <w:rStyle w:val="FootnoteReference"/>
        </w:rPr>
        <w:footnoteRef/>
      </w:r>
      <w:r>
        <w:t xml:space="preserve"> </w:t>
      </w:r>
      <w:r>
        <w:rPr>
          <w:rFonts w:asciiTheme="minorHAnsi" w:eastAsiaTheme="minorHAnsi" w:hAnsiTheme="minorHAnsi" w:cstheme="minorHAnsi"/>
          <w:color w:val="000000" w:themeColor="text1"/>
          <w:sz w:val="20"/>
        </w:rPr>
        <w:t>Vidi prijedlog Komisije COM(2016)34 od 29. siječnja 2016.</w:t>
      </w:r>
    </w:p>
  </w:footnote>
  <w:footnote w:id="23">
    <w:p w:rsidR="00CD0D3B" w:rsidRDefault="000C19A6">
      <w:pPr>
        <w:pStyle w:val="FootnoteText"/>
      </w:pPr>
      <w:r>
        <w:rPr>
          <w:rStyle w:val="FootnoteReference"/>
        </w:rPr>
        <w:footnoteRef/>
      </w:r>
      <w:r>
        <w:t xml:space="preserve"> Do</w:t>
      </w:r>
      <w:r>
        <w:t>kument za razmatranje o socijalnoj dimenziji Europe, Europska komisija, COM(2017) 206, 26. travnja 2017.</w:t>
      </w:r>
    </w:p>
  </w:footnote>
  <w:footnote w:id="24">
    <w:p w:rsidR="00CD0D3B" w:rsidRDefault="000C19A6">
      <w:pPr>
        <w:autoSpaceDE w:val="0"/>
        <w:autoSpaceDN w:val="0"/>
        <w:adjustRightInd w:val="0"/>
        <w:spacing w:after="0" w:line="240" w:lineRule="auto"/>
        <w:rPr>
          <w:sz w:val="20"/>
          <w:szCs w:val="20"/>
        </w:rPr>
      </w:pPr>
      <w:r>
        <w:rPr>
          <w:rStyle w:val="FootnoteReference"/>
        </w:rPr>
        <w:footnoteRef/>
      </w:r>
      <w:r>
        <w:rPr>
          <w:sz w:val="20"/>
        </w:rPr>
        <w:t xml:space="preserve">Komunikacija Komisije o uspostavi europskog stupa socijalnih prava, COM(2017)250, 26. travnja 2017. Preporuka Komisije o europskom stupu socijalnih </w:t>
      </w:r>
      <w:r>
        <w:rPr>
          <w:sz w:val="20"/>
        </w:rPr>
        <w:t>prava, C(2017)2600, 26. travnja 2017.</w:t>
      </w:r>
    </w:p>
  </w:footnote>
  <w:footnote w:id="25">
    <w:p w:rsidR="00CD0D3B" w:rsidRDefault="000C19A6">
      <w:pPr>
        <w:pStyle w:val="FootnoteText"/>
      </w:pPr>
      <w:r>
        <w:rPr>
          <w:rStyle w:val="FootnoteReference"/>
        </w:rPr>
        <w:footnoteRef/>
      </w:r>
      <w:r>
        <w:t xml:space="preserve"> </w:t>
      </w:r>
      <w:r>
        <w:rPr>
          <w:color w:val="000000"/>
        </w:rPr>
        <w:t>Izvješće o europskom digitalnom napretku 2017., SWD (2017) 160.</w:t>
      </w:r>
    </w:p>
  </w:footnote>
  <w:footnote w:id="26">
    <w:p w:rsidR="00CD0D3B" w:rsidRDefault="000C19A6">
      <w:pPr>
        <w:pStyle w:val="FootnoteText"/>
      </w:pPr>
      <w:r>
        <w:rPr>
          <w:rStyle w:val="FootnoteReference"/>
        </w:rPr>
        <w:footnoteRef/>
      </w:r>
      <w:r>
        <w:t xml:space="preserve"> </w:t>
      </w:r>
      <w:r>
        <w:rPr>
          <w:color w:val="000000"/>
        </w:rPr>
        <w:t>U Finskoj, Luksemburgu i Ujedinjenoj Kraljevini najmanje 70 % stanovništva raspolaže osnovnim ili naprednim digitalnim vještinama, u odnosu na manje o</w:t>
      </w:r>
      <w:r>
        <w:rPr>
          <w:color w:val="000000"/>
        </w:rPr>
        <w:t>d 40 % u Italiji, Cipru, Grčkoj, Bugarskoj i Rumunjskoj (Izvješće o europskom digitalnom napretku 2017.).</w:t>
      </w:r>
    </w:p>
  </w:footnote>
  <w:footnote w:id="27">
    <w:p w:rsidR="00CD0D3B" w:rsidRDefault="000C19A6">
      <w:pPr>
        <w:pStyle w:val="Heading3"/>
        <w:jc w:val="both"/>
        <w:rPr>
          <w:rFonts w:asciiTheme="minorHAnsi" w:eastAsiaTheme="minorHAnsi" w:hAnsiTheme="minorHAnsi" w:cstheme="minorBidi"/>
          <w:b w:val="0"/>
          <w:bCs w:val="0"/>
          <w:color w:val="auto"/>
          <w:sz w:val="20"/>
          <w:szCs w:val="20"/>
          <w:lang w:eastAsia="en-US"/>
        </w:rPr>
      </w:pPr>
      <w:r>
        <w:rPr>
          <w:rStyle w:val="FootnoteReference"/>
        </w:rPr>
        <w:footnoteRef/>
      </w:r>
      <w:r>
        <w:rPr>
          <w:rStyle w:val="FootnoteReference"/>
        </w:rPr>
        <w:t xml:space="preserve"> </w:t>
      </w:r>
      <w:r>
        <w:rPr>
          <w:rFonts w:asciiTheme="minorHAnsi" w:eastAsiaTheme="minorHAnsi" w:hAnsiTheme="minorHAnsi" w:cstheme="minorBidi"/>
          <w:b w:val="0"/>
          <w:color w:val="auto"/>
          <w:sz w:val="20"/>
        </w:rPr>
        <w:t>Prema Programu za međunarodnu procjenu učenika (PISA), najvažnijem svjetskome mjernom standardu u području obrazovanja, koji sastavlja OECD, 15-godi</w:t>
      </w:r>
      <w:r>
        <w:rPr>
          <w:rFonts w:asciiTheme="minorHAnsi" w:eastAsiaTheme="minorHAnsi" w:hAnsiTheme="minorHAnsi" w:cstheme="minorBidi"/>
          <w:b w:val="0"/>
          <w:color w:val="auto"/>
          <w:sz w:val="20"/>
        </w:rPr>
        <w:t>šnjaci iz Estonije postižu najbolje rezultate u Europi te se ubrajaju među najbolje u svijetu (izvor: PISA 2015.).</w:t>
      </w:r>
    </w:p>
    <w:p w:rsidR="00CD0D3B" w:rsidRDefault="00CD0D3B">
      <w:pPr>
        <w:pStyle w:val="FootnoteText"/>
      </w:pPr>
    </w:p>
  </w:footnote>
  <w:footnote w:id="28">
    <w:p w:rsidR="00CD0D3B" w:rsidRDefault="000C19A6">
      <w:pPr>
        <w:pStyle w:val="FootnoteText"/>
      </w:pPr>
      <w:r>
        <w:rPr>
          <w:rStyle w:val="FootnoteReference"/>
        </w:rPr>
        <w:footnoteRef/>
      </w:r>
      <w:r>
        <w:t xml:space="preserve"> Vidi Strategiju jedinstvenog digitalnog tržišta za Europu, COM(2015)192.</w:t>
      </w:r>
    </w:p>
  </w:footnote>
  <w:footnote w:id="29">
    <w:p w:rsidR="00CD0D3B" w:rsidRDefault="000C19A6">
      <w:pPr>
        <w:pStyle w:val="FootnoteText"/>
      </w:pPr>
      <w:r>
        <w:rPr>
          <w:rStyle w:val="FootnoteReference"/>
        </w:rPr>
        <w:footnoteRef/>
      </w:r>
      <w:r>
        <w:t xml:space="preserve"> Npr. u području energetski intenzivnih industrija, lanca opskrb</w:t>
      </w:r>
      <w:r>
        <w:t>e hranom, svemirske ili automobilske industrije.</w:t>
      </w:r>
    </w:p>
  </w:footnote>
  <w:footnote w:id="30">
    <w:p w:rsidR="00CD0D3B" w:rsidRDefault="000C19A6">
      <w:pPr>
        <w:pStyle w:val="FootnoteText"/>
      </w:pPr>
      <w:r>
        <w:rPr>
          <w:rStyle w:val="FootnoteReference"/>
        </w:rPr>
        <w:footnoteRef/>
      </w:r>
      <w:r>
        <w:t xml:space="preserve"> COM(2016) 356.</w:t>
      </w:r>
    </w:p>
  </w:footnote>
  <w:footnote w:id="31">
    <w:p w:rsidR="00CD0D3B" w:rsidRDefault="000C19A6">
      <w:pPr>
        <w:pStyle w:val="FootnoteText"/>
      </w:pPr>
      <w:r>
        <w:rPr>
          <w:rStyle w:val="FootnoteReference"/>
        </w:rPr>
        <w:footnoteRef/>
      </w:r>
      <w:r>
        <w:t xml:space="preserve"> World Bank, Doing business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A6" w:rsidRPr="000C19A6" w:rsidRDefault="000C19A6" w:rsidP="000C19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A6" w:rsidRPr="000C19A6" w:rsidRDefault="000C19A6" w:rsidP="000C19A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A6" w:rsidRPr="000C19A6" w:rsidRDefault="000C19A6" w:rsidP="000C19A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3B" w:rsidRDefault="00CD0D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3B" w:rsidRDefault="00CD0D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3B" w:rsidRDefault="00CD0D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057"/>
    <w:multiLevelType w:val="hybridMultilevel"/>
    <w:tmpl w:val="F4A62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B2713"/>
    <w:multiLevelType w:val="hybridMultilevel"/>
    <w:tmpl w:val="5784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57711"/>
    <w:multiLevelType w:val="hybridMultilevel"/>
    <w:tmpl w:val="4AD40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D623A"/>
    <w:multiLevelType w:val="hybridMultilevel"/>
    <w:tmpl w:val="83747BAA"/>
    <w:lvl w:ilvl="0" w:tplc="439077E2">
      <w:start w:val="3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E936C6"/>
    <w:multiLevelType w:val="hybridMultilevel"/>
    <w:tmpl w:val="1ED2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D782D"/>
    <w:multiLevelType w:val="hybridMultilevel"/>
    <w:tmpl w:val="67BAD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997912"/>
    <w:multiLevelType w:val="hybridMultilevel"/>
    <w:tmpl w:val="D0029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842FAF"/>
    <w:multiLevelType w:val="hybridMultilevel"/>
    <w:tmpl w:val="01962BC4"/>
    <w:lvl w:ilvl="0" w:tplc="66BCD87E">
      <w:start w:val="3"/>
      <w:numFmt w:val="decimal"/>
      <w:lvlText w:val="%1."/>
      <w:lvlJc w:val="left"/>
      <w:pPr>
        <w:ind w:left="720" w:hanging="360"/>
      </w:pPr>
      <w:rPr>
        <w:rFonts w:cstheme="minorBidi" w:hint="default"/>
        <w:b w:val="0"/>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10872CA"/>
    <w:multiLevelType w:val="hybridMultilevel"/>
    <w:tmpl w:val="096A7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54B640B"/>
    <w:multiLevelType w:val="multilevel"/>
    <w:tmpl w:val="96B068E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27C56110"/>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6C6407"/>
    <w:multiLevelType w:val="hybridMultilevel"/>
    <w:tmpl w:val="54327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231AD3"/>
    <w:multiLevelType w:val="hybridMultilevel"/>
    <w:tmpl w:val="77CC6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270FB9"/>
    <w:multiLevelType w:val="hybridMultilevel"/>
    <w:tmpl w:val="A9A6F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9C173C9"/>
    <w:multiLevelType w:val="hybridMultilevel"/>
    <w:tmpl w:val="8E34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D0602"/>
    <w:multiLevelType w:val="hybridMultilevel"/>
    <w:tmpl w:val="264470D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3D0238C1"/>
    <w:multiLevelType w:val="hybridMultilevel"/>
    <w:tmpl w:val="EB9C4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1D2202"/>
    <w:multiLevelType w:val="hybridMultilevel"/>
    <w:tmpl w:val="AA2CC5C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F06E80"/>
    <w:multiLevelType w:val="hybridMultilevel"/>
    <w:tmpl w:val="C1EE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65719A"/>
    <w:multiLevelType w:val="hybridMultilevel"/>
    <w:tmpl w:val="D37E1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795854"/>
    <w:multiLevelType w:val="hybridMultilevel"/>
    <w:tmpl w:val="6FCA0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4F707C"/>
    <w:multiLevelType w:val="hybridMultilevel"/>
    <w:tmpl w:val="231A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794979"/>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684F01"/>
    <w:multiLevelType w:val="hybridMultilevel"/>
    <w:tmpl w:val="1DFA4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6F4B57"/>
    <w:multiLevelType w:val="hybridMultilevel"/>
    <w:tmpl w:val="151C3B5C"/>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EA6BAF"/>
    <w:multiLevelType w:val="hybridMultilevel"/>
    <w:tmpl w:val="A9886F20"/>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055846"/>
    <w:multiLevelType w:val="hybridMultilevel"/>
    <w:tmpl w:val="9296F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417E2"/>
    <w:multiLevelType w:val="hybridMultilevel"/>
    <w:tmpl w:val="D8724F9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6D90AE1"/>
    <w:multiLevelType w:val="multilevel"/>
    <w:tmpl w:val="243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F83712"/>
    <w:multiLevelType w:val="hybridMultilevel"/>
    <w:tmpl w:val="1A1C1910"/>
    <w:lvl w:ilvl="0" w:tplc="FD126640">
      <w:start w:val="1"/>
      <w:numFmt w:val="decimal"/>
      <w:lvlText w:val="%1."/>
      <w:lvlJc w:val="left"/>
      <w:pPr>
        <w:ind w:left="76" w:hanging="360"/>
      </w:pPr>
      <w:rPr>
        <w:rFonts w:hint="default"/>
        <w:b/>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30">
    <w:nsid w:val="64C650F0"/>
    <w:multiLevelType w:val="hybridMultilevel"/>
    <w:tmpl w:val="7980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653208"/>
    <w:multiLevelType w:val="hybridMultilevel"/>
    <w:tmpl w:val="41B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1B6FFF"/>
    <w:multiLevelType w:val="hybridMultilevel"/>
    <w:tmpl w:val="BE7083D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728A735B"/>
    <w:multiLevelType w:val="hybridMultilevel"/>
    <w:tmpl w:val="8E2CB05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5A52E2"/>
    <w:multiLevelType w:val="multilevel"/>
    <w:tmpl w:val="E93C3112"/>
    <w:lvl w:ilvl="0">
      <w:start w:val="1"/>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7F563E"/>
    <w:multiLevelType w:val="hybridMultilevel"/>
    <w:tmpl w:val="D340B92C"/>
    <w:lvl w:ilvl="0" w:tplc="CD4C924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nsid w:val="758A7B25"/>
    <w:multiLevelType w:val="hybridMultilevel"/>
    <w:tmpl w:val="2C44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7380365"/>
    <w:multiLevelType w:val="hybridMultilevel"/>
    <w:tmpl w:val="E91A3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nsid w:val="78813034"/>
    <w:multiLevelType w:val="hybridMultilevel"/>
    <w:tmpl w:val="D29A0CF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9">
    <w:nsid w:val="7D161390"/>
    <w:multiLevelType w:val="multilevel"/>
    <w:tmpl w:val="776E11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5B539E"/>
    <w:multiLevelType w:val="hybridMultilevel"/>
    <w:tmpl w:val="43D82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E30E09"/>
    <w:multiLevelType w:val="hybridMultilevel"/>
    <w:tmpl w:val="6896A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8"/>
  </w:num>
  <w:num w:numId="3">
    <w:abstractNumId w:val="17"/>
  </w:num>
  <w:num w:numId="4">
    <w:abstractNumId w:val="2"/>
  </w:num>
  <w:num w:numId="5">
    <w:abstractNumId w:val="33"/>
  </w:num>
  <w:num w:numId="6">
    <w:abstractNumId w:val="27"/>
  </w:num>
  <w:num w:numId="7">
    <w:abstractNumId w:val="24"/>
  </w:num>
  <w:num w:numId="8">
    <w:abstractNumId w:val="25"/>
  </w:num>
  <w:num w:numId="9">
    <w:abstractNumId w:val="9"/>
  </w:num>
  <w:num w:numId="10">
    <w:abstractNumId w:val="38"/>
  </w:num>
  <w:num w:numId="11">
    <w:abstractNumId w:val="34"/>
  </w:num>
  <w:num w:numId="12">
    <w:abstractNumId w:val="0"/>
  </w:num>
  <w:num w:numId="13">
    <w:abstractNumId w:val="20"/>
  </w:num>
  <w:num w:numId="14">
    <w:abstractNumId w:val="11"/>
  </w:num>
  <w:num w:numId="15">
    <w:abstractNumId w:val="21"/>
  </w:num>
  <w:num w:numId="16">
    <w:abstractNumId w:val="18"/>
  </w:num>
  <w:num w:numId="17">
    <w:abstractNumId w:val="14"/>
  </w:num>
  <w:num w:numId="18">
    <w:abstractNumId w:val="25"/>
    <w:lvlOverride w:ilvl="0"/>
    <w:lvlOverride w:ilvl="1">
      <w:startOverride w:val="1"/>
    </w:lvlOverride>
    <w:lvlOverride w:ilvl="2"/>
    <w:lvlOverride w:ilvl="3"/>
    <w:lvlOverride w:ilvl="4"/>
    <w:lvlOverride w:ilvl="5"/>
    <w:lvlOverride w:ilvl="6"/>
    <w:lvlOverride w:ilvl="7"/>
    <w:lvlOverride w:ilvl="8"/>
  </w:num>
  <w:num w:numId="19">
    <w:abstractNumId w:val="23"/>
  </w:num>
  <w:num w:numId="20">
    <w:abstractNumId w:val="31"/>
  </w:num>
  <w:num w:numId="21">
    <w:abstractNumId w:val="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1"/>
  </w:num>
  <w:num w:numId="25">
    <w:abstractNumId w:val="26"/>
  </w:num>
  <w:num w:numId="26">
    <w:abstractNumId w:val="13"/>
  </w:num>
  <w:num w:numId="27">
    <w:abstractNumId w:val="29"/>
  </w:num>
  <w:num w:numId="28">
    <w:abstractNumId w:val="7"/>
  </w:num>
  <w:num w:numId="29">
    <w:abstractNumId w:val="28"/>
  </w:num>
  <w:num w:numId="30">
    <w:abstractNumId w:val="5"/>
  </w:num>
  <w:num w:numId="31">
    <w:abstractNumId w:val="41"/>
  </w:num>
  <w:num w:numId="32">
    <w:abstractNumId w:val="19"/>
  </w:num>
  <w:num w:numId="33">
    <w:abstractNumId w:val="6"/>
  </w:num>
  <w:num w:numId="34">
    <w:abstractNumId w:val="39"/>
  </w:num>
  <w:num w:numId="35">
    <w:abstractNumId w:val="32"/>
  </w:num>
  <w:num w:numId="36">
    <w:abstractNumId w:val="12"/>
  </w:num>
  <w:num w:numId="37">
    <w:abstractNumId w:val="16"/>
  </w:num>
  <w:num w:numId="38">
    <w:abstractNumId w:val="22"/>
  </w:num>
  <w:num w:numId="39">
    <w:abstractNumId w:val="37"/>
  </w:num>
  <w:num w:numId="40">
    <w:abstractNumId w:val="36"/>
  </w:num>
  <w:num w:numId="41">
    <w:abstractNumId w:val="10"/>
  </w:num>
  <w:num w:numId="42">
    <w:abstractNumId w:val="3"/>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7DB66147071842B89C9DF627695CF0AC"/>
    <w:docVar w:name="LW_CROSSREFERENCE" w:val="&lt;UNUSED&gt;"/>
    <w:docVar w:name="LW_DocType" w:val="NORMAL"/>
    <w:docVar w:name="LW_EMISSION" w:val="10.5.2017."/>
    <w:docVar w:name="LW_EMISSION_ISODATE" w:val="2017-05-10"/>
    <w:docVar w:name="LW_EMISSION_LOCATION" w:val="BRX"/>
    <w:docVar w:name="LW_EMISSION_PREFIX" w:val="Bruxelles, "/>
    <w:docVar w:name="LW_EMISSION_SUFFIX" w:val="&lt;EMPTY&gt;"/>
    <w:docVar w:name="LW_ID_DOCTYPE_NONLW" w:val="CP-035"/>
    <w:docVar w:name="LW_LANGUE" w:val="HR"/>
    <w:docVar w:name="LW_MARKING" w:val="&lt;UNUSED&gt;"/>
    <w:docVar w:name="LW_NOM.INST" w:val="EUROPSKA KOMISIJA"/>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240"/>
    <w:docVar w:name="LW_REF.INTERNE" w:val="&lt;UNUSED&gt;"/>
    <w:docVar w:name="LW_SOUS.TITRE.OBJ.CP" w:val="&lt;UNUSED&gt;"/>
    <w:docVar w:name="LW_SUPERTITRE" w:val="&lt;UNUSED&gt;"/>
    <w:docVar w:name="LW_TITRE.OBJ.CP" w:val="O SVLADAVANJU GLOBALIZACIJE"/>
    <w:docVar w:name="LW_TYPE.DOC.CP" w:val="DOKUMENT ZA RAZMATRANJE"/>
  </w:docVars>
  <w:rsids>
    <w:rsidRoot w:val="00CD0D3B"/>
    <w:rsid w:val="000C19A6"/>
    <w:rsid w:val="00CD0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hr-HR"/>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hr-HR"/>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hr-HR"/>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hr-HR"/>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hr-HR"/>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hr-HR"/>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hr-HR"/>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hr-HR"/>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hr-HR"/>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hr-HR"/>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hr-HR"/>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hr-HR"/>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hr-HR"/>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hr-HR"/>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hr-HR"/>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hr-HR"/>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hr-HR"/>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hr-HR"/>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447">
      <w:bodyDiv w:val="1"/>
      <w:marLeft w:val="0"/>
      <w:marRight w:val="0"/>
      <w:marTop w:val="0"/>
      <w:marBottom w:val="0"/>
      <w:divBdr>
        <w:top w:val="none" w:sz="0" w:space="0" w:color="auto"/>
        <w:left w:val="none" w:sz="0" w:space="0" w:color="auto"/>
        <w:bottom w:val="none" w:sz="0" w:space="0" w:color="auto"/>
        <w:right w:val="none" w:sz="0" w:space="0" w:color="auto"/>
      </w:divBdr>
    </w:div>
    <w:div w:id="79301487">
      <w:bodyDiv w:val="1"/>
      <w:marLeft w:val="0"/>
      <w:marRight w:val="0"/>
      <w:marTop w:val="0"/>
      <w:marBottom w:val="0"/>
      <w:divBdr>
        <w:top w:val="none" w:sz="0" w:space="0" w:color="auto"/>
        <w:left w:val="none" w:sz="0" w:space="0" w:color="auto"/>
        <w:bottom w:val="none" w:sz="0" w:space="0" w:color="auto"/>
        <w:right w:val="none" w:sz="0" w:space="0" w:color="auto"/>
      </w:divBdr>
    </w:div>
    <w:div w:id="319962180">
      <w:bodyDiv w:val="1"/>
      <w:marLeft w:val="0"/>
      <w:marRight w:val="0"/>
      <w:marTop w:val="0"/>
      <w:marBottom w:val="0"/>
      <w:divBdr>
        <w:top w:val="none" w:sz="0" w:space="0" w:color="auto"/>
        <w:left w:val="none" w:sz="0" w:space="0" w:color="auto"/>
        <w:bottom w:val="none" w:sz="0" w:space="0" w:color="auto"/>
        <w:right w:val="none" w:sz="0" w:space="0" w:color="auto"/>
      </w:divBdr>
    </w:div>
    <w:div w:id="542329290">
      <w:bodyDiv w:val="1"/>
      <w:marLeft w:val="0"/>
      <w:marRight w:val="0"/>
      <w:marTop w:val="0"/>
      <w:marBottom w:val="0"/>
      <w:divBdr>
        <w:top w:val="none" w:sz="0" w:space="0" w:color="auto"/>
        <w:left w:val="none" w:sz="0" w:space="0" w:color="auto"/>
        <w:bottom w:val="none" w:sz="0" w:space="0" w:color="auto"/>
        <w:right w:val="none" w:sz="0" w:space="0" w:color="auto"/>
      </w:divBdr>
    </w:div>
    <w:div w:id="624509136">
      <w:bodyDiv w:val="1"/>
      <w:marLeft w:val="0"/>
      <w:marRight w:val="0"/>
      <w:marTop w:val="0"/>
      <w:marBottom w:val="0"/>
      <w:divBdr>
        <w:top w:val="none" w:sz="0" w:space="0" w:color="auto"/>
        <w:left w:val="none" w:sz="0" w:space="0" w:color="auto"/>
        <w:bottom w:val="none" w:sz="0" w:space="0" w:color="auto"/>
        <w:right w:val="none" w:sz="0" w:space="0" w:color="auto"/>
      </w:divBdr>
    </w:div>
    <w:div w:id="671835952">
      <w:bodyDiv w:val="1"/>
      <w:marLeft w:val="0"/>
      <w:marRight w:val="0"/>
      <w:marTop w:val="0"/>
      <w:marBottom w:val="0"/>
      <w:divBdr>
        <w:top w:val="none" w:sz="0" w:space="0" w:color="auto"/>
        <w:left w:val="none" w:sz="0" w:space="0" w:color="auto"/>
        <w:bottom w:val="none" w:sz="0" w:space="0" w:color="auto"/>
        <w:right w:val="none" w:sz="0" w:space="0" w:color="auto"/>
      </w:divBdr>
    </w:div>
    <w:div w:id="720830974">
      <w:bodyDiv w:val="1"/>
      <w:marLeft w:val="0"/>
      <w:marRight w:val="0"/>
      <w:marTop w:val="0"/>
      <w:marBottom w:val="0"/>
      <w:divBdr>
        <w:top w:val="none" w:sz="0" w:space="0" w:color="auto"/>
        <w:left w:val="none" w:sz="0" w:space="0" w:color="auto"/>
        <w:bottom w:val="none" w:sz="0" w:space="0" w:color="auto"/>
        <w:right w:val="none" w:sz="0" w:space="0" w:color="auto"/>
      </w:divBdr>
    </w:div>
    <w:div w:id="814882427">
      <w:bodyDiv w:val="1"/>
      <w:marLeft w:val="0"/>
      <w:marRight w:val="0"/>
      <w:marTop w:val="0"/>
      <w:marBottom w:val="0"/>
      <w:divBdr>
        <w:top w:val="none" w:sz="0" w:space="0" w:color="auto"/>
        <w:left w:val="none" w:sz="0" w:space="0" w:color="auto"/>
        <w:bottom w:val="none" w:sz="0" w:space="0" w:color="auto"/>
        <w:right w:val="none" w:sz="0" w:space="0" w:color="auto"/>
      </w:divBdr>
    </w:div>
    <w:div w:id="816848567">
      <w:bodyDiv w:val="1"/>
      <w:marLeft w:val="0"/>
      <w:marRight w:val="0"/>
      <w:marTop w:val="0"/>
      <w:marBottom w:val="0"/>
      <w:divBdr>
        <w:top w:val="none" w:sz="0" w:space="0" w:color="auto"/>
        <w:left w:val="none" w:sz="0" w:space="0" w:color="auto"/>
        <w:bottom w:val="none" w:sz="0" w:space="0" w:color="auto"/>
        <w:right w:val="none" w:sz="0" w:space="0" w:color="auto"/>
      </w:divBdr>
    </w:div>
    <w:div w:id="868372925">
      <w:bodyDiv w:val="1"/>
      <w:marLeft w:val="0"/>
      <w:marRight w:val="0"/>
      <w:marTop w:val="0"/>
      <w:marBottom w:val="0"/>
      <w:divBdr>
        <w:top w:val="none" w:sz="0" w:space="0" w:color="auto"/>
        <w:left w:val="none" w:sz="0" w:space="0" w:color="auto"/>
        <w:bottom w:val="none" w:sz="0" w:space="0" w:color="auto"/>
        <w:right w:val="none" w:sz="0" w:space="0" w:color="auto"/>
      </w:divBdr>
    </w:div>
    <w:div w:id="963850690">
      <w:bodyDiv w:val="1"/>
      <w:marLeft w:val="0"/>
      <w:marRight w:val="0"/>
      <w:marTop w:val="0"/>
      <w:marBottom w:val="0"/>
      <w:divBdr>
        <w:top w:val="none" w:sz="0" w:space="0" w:color="auto"/>
        <w:left w:val="none" w:sz="0" w:space="0" w:color="auto"/>
        <w:bottom w:val="none" w:sz="0" w:space="0" w:color="auto"/>
        <w:right w:val="none" w:sz="0" w:space="0" w:color="auto"/>
      </w:divBdr>
    </w:div>
    <w:div w:id="966736923">
      <w:bodyDiv w:val="1"/>
      <w:marLeft w:val="0"/>
      <w:marRight w:val="0"/>
      <w:marTop w:val="0"/>
      <w:marBottom w:val="0"/>
      <w:divBdr>
        <w:top w:val="none" w:sz="0" w:space="0" w:color="auto"/>
        <w:left w:val="none" w:sz="0" w:space="0" w:color="auto"/>
        <w:bottom w:val="none" w:sz="0" w:space="0" w:color="auto"/>
        <w:right w:val="none" w:sz="0" w:space="0" w:color="auto"/>
      </w:divBdr>
    </w:div>
    <w:div w:id="986323602">
      <w:bodyDiv w:val="1"/>
      <w:marLeft w:val="0"/>
      <w:marRight w:val="0"/>
      <w:marTop w:val="0"/>
      <w:marBottom w:val="0"/>
      <w:divBdr>
        <w:top w:val="none" w:sz="0" w:space="0" w:color="auto"/>
        <w:left w:val="none" w:sz="0" w:space="0" w:color="auto"/>
        <w:bottom w:val="none" w:sz="0" w:space="0" w:color="auto"/>
        <w:right w:val="none" w:sz="0" w:space="0" w:color="auto"/>
      </w:divBdr>
    </w:div>
    <w:div w:id="1161312089">
      <w:bodyDiv w:val="1"/>
      <w:marLeft w:val="0"/>
      <w:marRight w:val="0"/>
      <w:marTop w:val="0"/>
      <w:marBottom w:val="0"/>
      <w:divBdr>
        <w:top w:val="none" w:sz="0" w:space="0" w:color="auto"/>
        <w:left w:val="none" w:sz="0" w:space="0" w:color="auto"/>
        <w:bottom w:val="none" w:sz="0" w:space="0" w:color="auto"/>
        <w:right w:val="none" w:sz="0" w:space="0" w:color="auto"/>
      </w:divBdr>
    </w:div>
    <w:div w:id="1280800194">
      <w:bodyDiv w:val="1"/>
      <w:marLeft w:val="0"/>
      <w:marRight w:val="0"/>
      <w:marTop w:val="0"/>
      <w:marBottom w:val="0"/>
      <w:divBdr>
        <w:top w:val="none" w:sz="0" w:space="0" w:color="auto"/>
        <w:left w:val="none" w:sz="0" w:space="0" w:color="auto"/>
        <w:bottom w:val="none" w:sz="0" w:space="0" w:color="auto"/>
        <w:right w:val="none" w:sz="0" w:space="0" w:color="auto"/>
      </w:divBdr>
    </w:div>
    <w:div w:id="1411657276">
      <w:bodyDiv w:val="1"/>
      <w:marLeft w:val="0"/>
      <w:marRight w:val="0"/>
      <w:marTop w:val="0"/>
      <w:marBottom w:val="0"/>
      <w:divBdr>
        <w:top w:val="none" w:sz="0" w:space="0" w:color="auto"/>
        <w:left w:val="none" w:sz="0" w:space="0" w:color="auto"/>
        <w:bottom w:val="none" w:sz="0" w:space="0" w:color="auto"/>
        <w:right w:val="none" w:sz="0" w:space="0" w:color="auto"/>
      </w:divBdr>
    </w:div>
    <w:div w:id="1511673812">
      <w:bodyDiv w:val="1"/>
      <w:marLeft w:val="0"/>
      <w:marRight w:val="0"/>
      <w:marTop w:val="0"/>
      <w:marBottom w:val="0"/>
      <w:divBdr>
        <w:top w:val="none" w:sz="0" w:space="0" w:color="auto"/>
        <w:left w:val="none" w:sz="0" w:space="0" w:color="auto"/>
        <w:bottom w:val="none" w:sz="0" w:space="0" w:color="auto"/>
        <w:right w:val="none" w:sz="0" w:space="0" w:color="auto"/>
      </w:divBdr>
    </w:div>
    <w:div w:id="1581017176">
      <w:bodyDiv w:val="1"/>
      <w:marLeft w:val="0"/>
      <w:marRight w:val="0"/>
      <w:marTop w:val="0"/>
      <w:marBottom w:val="0"/>
      <w:divBdr>
        <w:top w:val="none" w:sz="0" w:space="0" w:color="auto"/>
        <w:left w:val="none" w:sz="0" w:space="0" w:color="auto"/>
        <w:bottom w:val="none" w:sz="0" w:space="0" w:color="auto"/>
        <w:right w:val="none" w:sz="0" w:space="0" w:color="auto"/>
      </w:divBdr>
    </w:div>
    <w:div w:id="1666587038">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5054617">
      <w:bodyDiv w:val="1"/>
      <w:marLeft w:val="0"/>
      <w:marRight w:val="0"/>
      <w:marTop w:val="0"/>
      <w:marBottom w:val="0"/>
      <w:divBdr>
        <w:top w:val="none" w:sz="0" w:space="0" w:color="auto"/>
        <w:left w:val="none" w:sz="0" w:space="0" w:color="auto"/>
        <w:bottom w:val="none" w:sz="0" w:space="0" w:color="auto"/>
        <w:right w:val="none" w:sz="0" w:space="0" w:color="auto"/>
      </w:divBdr>
    </w:div>
    <w:div w:id="1832018336">
      <w:bodyDiv w:val="1"/>
      <w:marLeft w:val="0"/>
      <w:marRight w:val="0"/>
      <w:marTop w:val="0"/>
      <w:marBottom w:val="0"/>
      <w:divBdr>
        <w:top w:val="none" w:sz="0" w:space="0" w:color="auto"/>
        <w:left w:val="none" w:sz="0" w:space="0" w:color="auto"/>
        <w:bottom w:val="none" w:sz="0" w:space="0" w:color="auto"/>
        <w:right w:val="none" w:sz="0" w:space="0" w:color="auto"/>
      </w:divBdr>
    </w:div>
    <w:div w:id="1841894219">
      <w:bodyDiv w:val="1"/>
      <w:marLeft w:val="0"/>
      <w:marRight w:val="0"/>
      <w:marTop w:val="0"/>
      <w:marBottom w:val="0"/>
      <w:divBdr>
        <w:top w:val="none" w:sz="0" w:space="0" w:color="auto"/>
        <w:left w:val="none" w:sz="0" w:space="0" w:color="auto"/>
        <w:bottom w:val="none" w:sz="0" w:space="0" w:color="auto"/>
        <w:right w:val="none" w:sz="0" w:space="0" w:color="auto"/>
      </w:divBdr>
    </w:div>
    <w:div w:id="1880622915">
      <w:bodyDiv w:val="1"/>
      <w:marLeft w:val="0"/>
      <w:marRight w:val="0"/>
      <w:marTop w:val="0"/>
      <w:marBottom w:val="0"/>
      <w:divBdr>
        <w:top w:val="none" w:sz="0" w:space="0" w:color="auto"/>
        <w:left w:val="none" w:sz="0" w:space="0" w:color="auto"/>
        <w:bottom w:val="none" w:sz="0" w:space="0" w:color="auto"/>
        <w:right w:val="none" w:sz="0" w:space="0" w:color="auto"/>
      </w:divBdr>
    </w:div>
    <w:div w:id="1893618918">
      <w:bodyDiv w:val="1"/>
      <w:marLeft w:val="0"/>
      <w:marRight w:val="0"/>
      <w:marTop w:val="0"/>
      <w:marBottom w:val="0"/>
      <w:divBdr>
        <w:top w:val="none" w:sz="0" w:space="0" w:color="auto"/>
        <w:left w:val="none" w:sz="0" w:space="0" w:color="auto"/>
        <w:bottom w:val="none" w:sz="0" w:space="0" w:color="auto"/>
        <w:right w:val="none" w:sz="0" w:space="0" w:color="auto"/>
      </w:divBdr>
    </w:div>
    <w:div w:id="1947807036">
      <w:bodyDiv w:val="1"/>
      <w:marLeft w:val="0"/>
      <w:marRight w:val="0"/>
      <w:marTop w:val="0"/>
      <w:marBottom w:val="0"/>
      <w:divBdr>
        <w:top w:val="none" w:sz="0" w:space="0" w:color="auto"/>
        <w:left w:val="none" w:sz="0" w:space="0" w:color="auto"/>
        <w:bottom w:val="none" w:sz="0" w:space="0" w:color="auto"/>
        <w:right w:val="none" w:sz="0" w:space="0" w:color="auto"/>
      </w:divBdr>
    </w:div>
    <w:div w:id="1996569129">
      <w:bodyDiv w:val="1"/>
      <w:marLeft w:val="0"/>
      <w:marRight w:val="0"/>
      <w:marTop w:val="0"/>
      <w:marBottom w:val="0"/>
      <w:divBdr>
        <w:top w:val="none" w:sz="0" w:space="0" w:color="auto"/>
        <w:left w:val="none" w:sz="0" w:space="0" w:color="auto"/>
        <w:bottom w:val="none" w:sz="0" w:space="0" w:color="auto"/>
        <w:right w:val="none" w:sz="0" w:space="0" w:color="auto"/>
      </w:divBdr>
    </w:div>
    <w:div w:id="21105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EA3B2-277C-429D-ADFB-1573C80D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26</Pages>
  <Words>7903</Words>
  <Characters>49238</Characters>
  <Application>Microsoft Office Word</Application>
  <DocSecurity>0</DocSecurity>
  <Lines>781</Lines>
  <Paragraphs>210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23</cp:revision>
  <cp:lastPrinted>2017-05-08T13:17:00Z</cp:lastPrinted>
  <dcterms:created xsi:type="dcterms:W3CDTF">2017-05-08T14:59:00Z</dcterms:created>
  <dcterms:modified xsi:type="dcterms:W3CDTF">2017-05-10T11:29:00Z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