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09D1DF1824F4221865E4C455DFE5E4A" style="width:451.4pt;height:534.0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t>Súhrnný prehľad</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 xml:space="preserve">Posúdenie vplyvu návrhu na zavedenie informačného nástroja pre jednotný trh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Potreba konať</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Prečo? Aký problém sa rieši?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Občania a podniky v EÚ sú nespokojní s tým, že prekážky v oblasti jednotného trhu sa neodstraňujú dostatočne rýchlo. Keď Komisiu alebo členské štáty upozornia na problém na jednotnom trhu, musia predložiť dôkaz, že ho spôsobuje porušovanie pravidiel EÚ. Takéto informácie môže byť ťažké získať, a to najmä v cezhraničných prípadoch. Je to tak preto, lebo informácie sú často:</w:t>
            </w:r>
            <w:r>
              <w:rPr>
                <w:noProof/>
              </w:rPr>
              <w:tab/>
            </w:r>
            <w:r>
              <w:rPr>
                <w:rFonts w:ascii="Arial" w:hAnsi="Arial" w:cs="Arial"/>
                <w:noProof/>
                <w:sz w:val="20"/>
                <w:szCs w:val="20"/>
              </w:rPr>
              <w:br/>
            </w:r>
          </w:p>
          <w:p>
            <w:pPr>
              <w:pStyle w:val="ListParagraph"/>
              <w:numPr>
                <w:ilvl w:val="0"/>
                <w:numId w:val="1"/>
              </w:numPr>
              <w:jc w:val="both"/>
              <w:rPr>
                <w:rFonts w:ascii="Arial" w:hAnsi="Arial" w:cs="Arial"/>
                <w:noProof/>
                <w:sz w:val="20"/>
                <w:szCs w:val="20"/>
              </w:rPr>
            </w:pPr>
            <w:r>
              <w:rPr>
                <w:rFonts w:ascii="Arial" w:hAnsi="Arial"/>
                <w:noProof/>
                <w:sz w:val="20"/>
              </w:rPr>
              <w:t>podrobné, citlivé neverejné informácie na úrovni podnikov, ktoré nie je možné získať od tretích strán poskytujúcich údaje,</w:t>
            </w:r>
          </w:p>
          <w:p>
            <w:pPr>
              <w:pStyle w:val="ListParagraph"/>
              <w:numPr>
                <w:ilvl w:val="0"/>
                <w:numId w:val="1"/>
              </w:numPr>
              <w:jc w:val="both"/>
              <w:rPr>
                <w:rFonts w:ascii="Arial" w:hAnsi="Arial"/>
                <w:noProof/>
                <w:sz w:val="20"/>
              </w:rPr>
            </w:pPr>
            <w:r>
              <w:rPr>
                <w:rFonts w:ascii="Arial" w:hAnsi="Arial"/>
                <w:noProof/>
                <w:sz w:val="20"/>
              </w:rPr>
              <w:t>dostupné vnútroštátnym orgánom len v niekoľkých členských štátoch,</w:t>
            </w:r>
          </w:p>
          <w:p>
            <w:pPr>
              <w:pStyle w:val="ListParagraph"/>
              <w:numPr>
                <w:ilvl w:val="0"/>
                <w:numId w:val="1"/>
              </w:numPr>
              <w:jc w:val="both"/>
              <w:rPr>
                <w:rFonts w:ascii="Arial" w:hAnsi="Arial" w:cs="Arial"/>
                <w:noProof/>
                <w:sz w:val="20"/>
                <w:szCs w:val="20"/>
              </w:rPr>
            </w:pPr>
            <w:r>
              <w:rPr>
                <w:rFonts w:ascii="Arial" w:hAnsi="Arial"/>
                <w:noProof/>
                <w:sz w:val="20"/>
              </w:rPr>
              <w:t>odlišné v rôznych členských štátoch.</w:t>
            </w:r>
          </w:p>
          <w:p>
            <w:pPr>
              <w:jc w:val="both"/>
              <w:rPr>
                <w:rFonts w:ascii="Arial" w:hAnsi="Arial" w:cs="Arial"/>
                <w:noProof/>
                <w:sz w:val="20"/>
                <w:szCs w:val="20"/>
              </w:rPr>
            </w:pPr>
            <w:r>
              <w:rPr>
                <w:noProof/>
              </w:rPr>
              <w:tab/>
            </w:r>
            <w:r>
              <w:rPr>
                <w:rFonts w:ascii="Arial" w:hAnsi="Arial" w:cs="Arial"/>
                <w:noProof/>
                <w:sz w:val="20"/>
                <w:szCs w:val="20"/>
              </w:rPr>
              <w:br/>
            </w:r>
            <w:r>
              <w:rPr>
                <w:rFonts w:ascii="Arial" w:hAnsi="Arial"/>
                <w:noProof/>
                <w:sz w:val="20"/>
              </w:rPr>
              <w:t xml:space="preserve"> Účastníci trhu, ktorí disponujú týmito dôvernými informáciami, v súčasnosti nemajú motiváciu na to, aby sa o ne delili, a nie je zavedený žiadny systém na zabezpečenie vierohodnosti poskytovaných údajov. Nástroje na úrovni EÚ ani na vnútroštátnej úrovni v súčasnosti nepostačujú na získanie takýchto informácií od podnikov, občanov alebo vnútroštátnych orgánov.</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Čo sa od tejto iniciatívy očakáva? </w:t>
            </w:r>
          </w:p>
        </w:tc>
      </w:tr>
      <w:tr>
        <w:tc>
          <w:tcPr>
            <w:tcW w:w="10188" w:type="dxa"/>
            <w:tcBorders>
              <w:bottom w:val="single" w:sz="4" w:space="0" w:color="auto"/>
            </w:tcBorders>
            <w:shd w:val="clear" w:color="auto" w:fill="auto"/>
          </w:tcPr>
          <w:p>
            <w:pPr>
              <w:pStyle w:val="ListParagraph"/>
              <w:numPr>
                <w:ilvl w:val="0"/>
                <w:numId w:val="3"/>
              </w:numPr>
              <w:jc w:val="both"/>
              <w:rPr>
                <w:rFonts w:ascii="Arial" w:hAnsi="Arial" w:cs="Arial"/>
                <w:noProof/>
                <w:sz w:val="20"/>
                <w:szCs w:val="20"/>
              </w:rPr>
            </w:pPr>
            <w:r>
              <w:rPr>
                <w:rFonts w:ascii="Arial" w:hAnsi="Arial"/>
                <w:noProof/>
                <w:sz w:val="20"/>
              </w:rPr>
              <w:t>Povedie k lepšiemu fungovaniu jednotného trhu prostredníctvom účinnejšieho presadzovania pravidiel.</w:t>
            </w:r>
          </w:p>
          <w:p>
            <w:pPr>
              <w:pStyle w:val="ListParagraph"/>
              <w:numPr>
                <w:ilvl w:val="0"/>
                <w:numId w:val="3"/>
              </w:numPr>
              <w:jc w:val="both"/>
              <w:rPr>
                <w:rFonts w:ascii="Arial" w:hAnsi="Arial" w:cs="Arial"/>
                <w:noProof/>
                <w:sz w:val="20"/>
                <w:szCs w:val="20"/>
              </w:rPr>
            </w:pPr>
            <w:r>
              <w:rPr>
                <w:rFonts w:ascii="Arial" w:hAnsi="Arial"/>
                <w:noProof/>
                <w:sz w:val="20"/>
              </w:rPr>
              <w:t>Uľahčí sa ňou Komisii a členským štátom prístup k údajom na úrovni na úrovni podnikov, ak budú potrebné na odhalenie a nápravu nesprávneho uplatňovania práva EÚ alebo nedodržiavania pravidiel jednotného trhu.</w:t>
            </w:r>
          </w:p>
          <w:p>
            <w:pPr>
              <w:pStyle w:val="ListParagraph"/>
              <w:numPr>
                <w:ilvl w:val="0"/>
                <w:numId w:val="3"/>
              </w:numPr>
              <w:jc w:val="both"/>
              <w:rPr>
                <w:rFonts w:ascii="Arial" w:hAnsi="Arial"/>
                <w:noProof/>
                <w:sz w:val="20"/>
              </w:rPr>
            </w:pPr>
            <w:r>
              <w:rPr>
                <w:rFonts w:ascii="Arial" w:hAnsi="Arial"/>
                <w:noProof/>
                <w:sz w:val="20"/>
              </w:rPr>
              <w:t>Pomôže členským štátom účinnejšie presadzovať trhové pravidlá na vnútroštátnej úrovni.</w:t>
            </w:r>
            <w:r>
              <w:rPr>
                <w:noProof/>
              </w:rPr>
              <w:tab/>
            </w:r>
          </w:p>
          <w:p>
            <w:pPr>
              <w:pStyle w:val="ListParagraph"/>
              <w:numPr>
                <w:ilvl w:val="0"/>
                <w:numId w:val="3"/>
              </w:numPr>
              <w:jc w:val="both"/>
              <w:rPr>
                <w:rFonts w:ascii="Arial" w:hAnsi="Arial" w:cs="Arial"/>
                <w:noProof/>
                <w:sz w:val="20"/>
                <w:szCs w:val="20"/>
              </w:rPr>
            </w:pPr>
            <w:r>
              <w:rPr>
                <w:rFonts w:ascii="Arial" w:hAnsi="Arial"/>
                <w:noProof/>
                <w:sz w:val="20"/>
              </w:rPr>
              <w:t>Ak členský štát nebude dodržiavať povinnosti v oblasti jednotného trhu, Komisia sa bude môcť o tieto informácie oprieť v konaní o nesplnení povinnosti proti nemu.</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Aká je pridaná hodnota opatrení na úrovni EÚ?</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Komisia má najlepšie predpoklady na to, aby riešila problém so zhromažďovaním a s koordináciou cielených informácií na úrovni podnikov v oblasti jednotného trhu vzhľadom na cezhraničnú povahu požadovaných údajov.</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Opatrením na úrovni EÚ je možné vyhnúť sa zložitému a zdĺhavému úsiliu o koordináciu medzi členskými štátmi a Komisiou, najmä v prípadoch, v ktorých treba získať informácie od účastníkov trhu pôsobiacich vo viac ako jednom členskom štáte. Opatrením na úrovni EÚ by sa pomohlo členským štátom aj Komisii získať potrebné informácie a znížiť administratívne zaťaženie pre zúčastnené podniky a verejné orgány.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Riešenia</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Aké legislatívne a nelegislatívne možnosti politiky sa zvažovali? Je niektorá z možností uprednostňovaná? Prečo?</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noProof/>
                <w:sz w:val="20"/>
              </w:rPr>
            </w:pPr>
            <w:r>
              <w:rPr>
                <w:rFonts w:ascii="Arial" w:hAnsi="Arial"/>
                <w:noProof/>
                <w:sz w:val="20"/>
              </w:rPr>
              <w:t>Nelegislatívna možnosť by mohla spočívať v tom, že by si členské štáty a Komisia vymieňali najlepšie postupy a vypracúvali metodické pokyny k zhromažďovaniu informácií na úrovni podnikov. Ďalšie legislatívne možnosti, ktoré sa stále zvažujú:</w:t>
            </w:r>
          </w:p>
          <w:p>
            <w:pPr>
              <w:pStyle w:val="ListParagraph"/>
              <w:numPr>
                <w:ilvl w:val="0"/>
                <w:numId w:val="2"/>
              </w:numPr>
              <w:jc w:val="both"/>
              <w:rPr>
                <w:rFonts w:ascii="Arial" w:hAnsi="Arial"/>
                <w:noProof/>
                <w:sz w:val="20"/>
              </w:rPr>
            </w:pPr>
            <w:r>
              <w:rPr>
                <w:rFonts w:ascii="Arial" w:hAnsi="Arial"/>
                <w:noProof/>
                <w:sz w:val="20"/>
              </w:rPr>
              <w:t>Možnosťou 2 sa odstraňujú vnútroštátne pravidlá, ktoré orgánom členských štátov bránia vo výmene informácií na úrovni podnikov, ktoré už majú alebo ku ktorým môžu získať prístup na základe existujúceho práva EÚ/vnútroštátneho práva, s Komisiou a inými členskými štátmi.</w:t>
            </w:r>
          </w:p>
          <w:p>
            <w:pPr>
              <w:pStyle w:val="ListParagraph"/>
              <w:numPr>
                <w:ilvl w:val="0"/>
                <w:numId w:val="2"/>
              </w:numPr>
              <w:jc w:val="both"/>
              <w:rPr>
                <w:rFonts w:ascii="Arial" w:hAnsi="Arial"/>
                <w:noProof/>
                <w:sz w:val="20"/>
              </w:rPr>
            </w:pPr>
            <w:r>
              <w:rPr>
                <w:rFonts w:ascii="Arial" w:hAnsi="Arial"/>
                <w:noProof/>
                <w:sz w:val="20"/>
              </w:rPr>
              <w:t>Možnosťou 3 sa zavádzajú vyšetrovacie právomoci prostredníctvom informačných nástrojov pre jednotný trh na vnútroštátnej úrovni.</w:t>
            </w:r>
          </w:p>
          <w:p>
            <w:pPr>
              <w:pStyle w:val="ListParagraph"/>
              <w:numPr>
                <w:ilvl w:val="0"/>
                <w:numId w:val="2"/>
              </w:numPr>
              <w:jc w:val="both"/>
              <w:rPr>
                <w:rFonts w:ascii="Arial" w:hAnsi="Arial"/>
                <w:noProof/>
                <w:sz w:val="20"/>
              </w:rPr>
            </w:pPr>
            <w:r>
              <w:rPr>
                <w:rFonts w:ascii="Arial" w:hAnsi="Arial"/>
                <w:noProof/>
                <w:sz w:val="20"/>
              </w:rPr>
              <w:t>Možnosťou 4 sa zavádza informačný nástroj pre jednotný trh (SMIT) na úrovni EÚ, ktorý by sa používal v závislosti od každého prípadu. Jeho používanie by sa obmedzovalo na prípady, v ktorých existuje podozrenie, že prekážky bránia fungovaniu jednotného trhu, a v ktorých sú požadované informácie potrebné na rýchle a účinné rozhodovanie a nie sú dostatočne rýchlo dostupné iným spôsobom. Informácie by sa požadovali len od účastníkov trhu, ktorí ich dokážu ľahko poskytnúť.</w:t>
            </w:r>
          </w:p>
          <w:p>
            <w:pPr>
              <w:pStyle w:val="ListParagraph"/>
              <w:numPr>
                <w:ilvl w:val="0"/>
                <w:numId w:val="2"/>
              </w:numPr>
              <w:jc w:val="both"/>
              <w:rPr>
                <w:rFonts w:ascii="Arial" w:hAnsi="Arial"/>
                <w:noProof/>
                <w:sz w:val="20"/>
              </w:rPr>
            </w:pPr>
            <w:r>
              <w:rPr>
                <w:rFonts w:ascii="Arial" w:hAnsi="Arial"/>
                <w:noProof/>
                <w:sz w:val="20"/>
              </w:rPr>
              <w:t>Možnosť 5 je hybridnou možnosťou kombinujúcou možnosti 2 a 4.</w:t>
            </w:r>
          </w:p>
          <w:p>
            <w:pPr>
              <w:jc w:val="both"/>
              <w:rPr>
                <w:rFonts w:ascii="Arial" w:hAnsi="Arial" w:cs="Arial"/>
                <w:noProof/>
                <w:sz w:val="20"/>
                <w:szCs w:val="20"/>
              </w:rPr>
            </w:pPr>
            <w:r>
              <w:rPr>
                <w:rFonts w:ascii="Arial" w:hAnsi="Arial"/>
                <w:noProof/>
                <w:sz w:val="20"/>
              </w:rPr>
              <w:t>Možnosti, od ktorých sa upustilo, zahŕňajú rozšírenie rozsahu európskych štatistík a zavedenie povinnosti pravidelného podávania správ na základe smernice o účtovníctve. Uprednostňovanou možnosťou je nástroj SMIT (možnosť 4). Má najvyššie hodnotenie z hľadiska subsidiarity a proporcionality a je najúčinnejšou a nákladovo najefektívnejšou možnosťou. Pomôže jednotlivým členským štátom prekonať problémy s koordináciou a právnou jurisdikciou v cezhraničných veciach.</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Kto podporuje ktorú možnosť?</w:t>
            </w:r>
            <w:r>
              <w:rPr>
                <w:rFonts w:ascii="Tahoma" w:hAnsi="Tahoma"/>
                <w:noProof/>
                <w:sz w:val="20"/>
              </w:rPr>
              <w:t xml:space="preserve"> </w:t>
            </w:r>
          </w:p>
        </w:tc>
      </w:tr>
      <w:tr>
        <w:tc>
          <w:tcPr>
            <w:tcW w:w="10188" w:type="dxa"/>
            <w:shd w:val="clear" w:color="auto" w:fill="auto"/>
          </w:tcPr>
          <w:p>
            <w:pPr>
              <w:rPr>
                <w:rFonts w:ascii="Arial" w:hAnsi="Arial" w:cs="Arial"/>
                <w:noProof/>
                <w:sz w:val="20"/>
                <w:szCs w:val="20"/>
              </w:rPr>
            </w:pPr>
            <w:r>
              <w:rPr>
                <w:rFonts w:ascii="Arial" w:hAnsi="Arial"/>
                <w:noProof/>
                <w:sz w:val="20"/>
              </w:rPr>
              <w:t>Z verejnej konzultácie vyplynulo, že väčšina podnikov uprednostňuje dobrovoľnú výmenu informácií, preto sú za nelegislatívnu možnosť. Ak sa nástroj SMIT zavedie, hovoria, že by sa mala pri jeho používaní chrániť dôvernosť údajov a že by sa mal uplatňovať len ako krajné opatrenie. Požadovať by sa mali len ľahko dostupné informácie. Z 10 členských štátov, ktoré odpovedali, štyri podporujú nástroj SMIT a dva nie. Orgány z dvoch členských štátov by uprednostnili, keby žiadosti o informácie koordinovala Komisia, kým dva by uprednostnili získanie právomoci požadovať informácie od podnikov v ktoromkoľvek členskom štáte priamo, bez účasti Komisie. Všetky spotrebiteľské organizácie podporujú používanie nástroja SMIT v prípade, ak sú informácie nevyhnutné na vyriešenie porušovania práv spotrebiteľov alebo podnikov. Polovica spotrebiteľských organizácií podporuje používanie nástroja SMIT na prípravu nových pravidiel EÚ.</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Vplyv uprednostňovanej možnosti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Aké sú výhody uprednostňovanej možnosti (prípadne hlavných možností, ak sa žiadna konkrétna možnosť neuprednostňuje)?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Výpočet nákladov a prínosov v prípade nástroja SMIT (možnosť 4) je založený na predpoklade, že sa ročne použije na štyri malé žiadosti týkajúce sa najviac piatich podnikov a jednu veľkú žiadosť týkajúcu sa až 50 podnikov. Spoľahlivé informácie o nedostatkoch na jednotnom trhu by Komisii a vnútroštátnym orgánom umožnili zabezpečiť lepšie dodržiavanie právnych predpisov v oblasti jednotného trhu a vytváranie lepšie vypracovaných politík EÚ. Tým by sa posilnila dôvera spotrebiteľov v jednotný trh a prispelo by to k využitiu jeho potenciálu. Lepší prístup k informáciám by mal viesť k cielenejšiemu presadzovaniu práva v oblasti jednotného trhu na vnútroštátnej úrovni, čím by sa obmedzil počet prípadov formálneho konania vo veci nesplnenia povinnosti proti členským štátom. V dvoch nedávnych prípadoch sa vymohlo až 50 miliónov EUR v nezaplatených daniach, keď vyšetrovacie orgány v oblasti štátnej pomoci umožnili Komisii prístup ku kľúčovým informáciám na úrovni podnikov. V oblasti jednotného trhu potenciálne úspory v jednej veci týkajúcej sa verejného obstarávania v oblasti infraštruktúry prevyšujú 3 miliardy EUR. Výsledkom by mohli byť nepriame sociálne/ekologické prínosy, ak by sa nástroj SMIT používal na riešenie prípadov nesprávneho fungovania jednotného trhu v týchto oblastiach.</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Aké sú náklady na uprednostňovanú možnosť (prípadne na hlavné možnosti, ak sa žiadna konkrétna možnosť neuprednostňuje)?</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Odpovedanie na žiadosti v rámci nástroja SMIT by sa pre oslovené podniky spájalo s nákladmi. Pre veľké podniky by sa náklady pohybovali od 1 200 do 4 400 EUR. Pre malé a stredné podniky (ďalej len „MSP“) by sa pohybovali od 300 do 1 000 EUR. Ak by podniky v záujme vyhovenia žiadosti o informácie vyhľadali právne poradenstvo, vznikli by im ďalšie náklady pohybujúce sa od 1 000 do 4 000 EUR. Celkové ročné náklady na vypracovanie odpovedí a právne poradenstvo pre odhadovaných päť žiadostí ročne by sa pohybovali od 370 000 do 610 000 EUR. Podniky by mohli predložiť aj nedôvernú odpoveď, ktorú by poskytli členským štátom. Tým by sa mohli za cenu nepatrného zvýšenia nákladov zmierniť obavy o dôvernosť. Konzervatívny odhad celkových nákladov na nástroj SMIT, vrátane nákladov pre Komisiu, sa pohybuje od 0,49 milióna do 1,04 milióna EUR. Nepočíta sa so žiadnymi priamymi sociálnymi alebo environmentálnymi nákladmi.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Aký bude vplyv na podniky, MSP a mikropodniky?</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 xml:space="preserve">Nástroj SMIT je zameraný najmä na veľké podniky s veľkým podielom na trhu, na ktoré kladie najväčšie administratívne zaťaženie. Mikropodniky budú vyňaté. O spoluprácu môžu byť niekedy požiadané MSP. Odhad nákladov na odpoveď pre jednotlivý MSP sa pohybuje od 300 do 1 000 EUR na žiadosť s dodatočnými možnými nákladmi na právne poradenstvo vo výške 1 000 EUR, (zhruba 25 % nákladov na odpoveď pre veľký podnik). Podniky všetkých veľkostí budú mať prospech z lepšieho fungovania jednotného trhu vďaka cielenejšiemu presadzovaniu práva zo strany Komisie a členských štátov. Mali by taktiež prospech z lepšie vypracovaných pravidiel EÚ a účinnejšieho regulačného prostredia. Lepšie informácie by okrem toho mohli zabrániť vytváraniu zbytočných pravidiel.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Očakáva sa významný vplyv</w:t>
            </w:r>
            <w:r>
              <w:rPr>
                <w:rFonts w:ascii="Tahoma" w:hAnsi="Tahoma"/>
                <w:noProof/>
                <w:sz w:val="20"/>
              </w:rPr>
              <w:t xml:space="preserve"> </w:t>
            </w:r>
            <w:r>
              <w:rPr>
                <w:rFonts w:ascii="Tahoma" w:hAnsi="Tahoma"/>
                <w:b/>
                <w:noProof/>
                <w:sz w:val="20"/>
              </w:rPr>
              <w:t>na štátne rozpočty a verejnú správu?</w:t>
            </w:r>
          </w:p>
        </w:tc>
      </w:tr>
      <w:tr>
        <w:tc>
          <w:tcPr>
            <w:tcW w:w="10188" w:type="dxa"/>
            <w:shd w:val="clear" w:color="auto" w:fill="auto"/>
          </w:tcPr>
          <w:p>
            <w:pPr>
              <w:rPr>
                <w:rFonts w:ascii="Arial" w:hAnsi="Arial" w:cs="Arial"/>
                <w:noProof/>
                <w:sz w:val="20"/>
                <w:szCs w:val="20"/>
              </w:rPr>
            </w:pPr>
            <w:r>
              <w:rPr>
                <w:rFonts w:ascii="Arial" w:hAnsi="Arial"/>
                <w:noProof/>
                <w:sz w:val="20"/>
              </w:rPr>
              <w:t>Zavedením nástroja SMIT nevznikajú žiadne náklady vnútroštátnym orgánom. Komisii by v súvislosti s piatimi odhadovanými žiadosťami vznikli náklady na zhromažďovanie a analýzu údajov pohybujúce sa od 120 000 do 430 000 EUR. Náklady Komisie si nevyžiadajú žiadne nové rozpočtové záväzky, len preskupenie súčasných zamestnancov a infraštruktúry. Komisia by mohla ušetriť 0,7 až 1,6 milióna EUR na externých správach. Ušetriť by v tejto súvislosti mohli aj vnútroštátne orgány.</w:t>
            </w:r>
          </w:p>
        </w:tc>
      </w:tr>
      <w:tr>
        <w:tc>
          <w:tcPr>
            <w:tcW w:w="10188" w:type="dxa"/>
            <w:tcBorders>
              <w:bottom w:val="single" w:sz="4" w:space="0" w:color="auto"/>
            </w:tcBorders>
            <w:shd w:val="clear" w:color="auto" w:fill="E6E6E6"/>
          </w:tcPr>
          <w:p>
            <w:pPr>
              <w:keepNext/>
              <w:keepLines/>
              <w:spacing w:before="60"/>
              <w:jc w:val="both"/>
              <w:rPr>
                <w:rFonts w:ascii="Tahoma" w:hAnsi="Tahoma" w:cs="Tahoma"/>
                <w:noProof/>
                <w:sz w:val="20"/>
                <w:szCs w:val="20"/>
              </w:rPr>
            </w:pPr>
            <w:r>
              <w:rPr>
                <w:rFonts w:ascii="Tahoma" w:hAnsi="Tahoma"/>
                <w:b/>
                <w:noProof/>
                <w:sz w:val="20"/>
              </w:rPr>
              <w:t>Očakáva sa iný významný vplyv?</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Podniky/spotrebitelia by mali prospech z lepšieho fungovania jednotného trhu vďaka nižším prekážkam pre vstup, väčšej hospodárskej súťaži, väčšej konkurencieschopnosti a jednoduchšej/lacnejšej cezhraničnej (a potenciálne medzinárodnej) expanzii. Pri tejto iniciatíve sa plne rešpektuje legitímny záujem podnikov chrániť svoje obchodné tajomstvá. Nedotýka sa práv na ochranu osobných údajov. Tiež sa v jej rámci rešpektuje právo na dobrú správu vecí verejných, právo na obhajobu, zásada proporcionality sankcií, právo na účinné riešenie a právo na spravodlivý proces.</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Nadväzujúce opatrenia</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Kedy sa táto politika preskúma?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Arial" w:hAnsi="Arial"/>
                <w:noProof/>
                <w:sz w:val="20"/>
              </w:rPr>
              <w:t xml:space="preserve">Politika sa preskúma päť rokov po prijatí návrhu. </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6375"/>
    <w:multiLevelType w:val="hybridMultilevel"/>
    <w:tmpl w:val="ADF4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9D0FC1"/>
    <w:multiLevelType w:val="hybridMultilevel"/>
    <w:tmpl w:val="8816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9C5802"/>
    <w:multiLevelType w:val="hybridMultilevel"/>
    <w:tmpl w:val="0B2CDA2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Sprievodný dokument"/>
    <w:docVar w:name="LW_CONFIDENCE" w:val=" "/>
    <w:docVar w:name="LW_CONST_RESTREINT_UE" w:val="RESTREINT UE"/>
    <w:docVar w:name="LW_CORRIGENDUM" w:val="&lt;UNUSED&gt;"/>
    <w:docVar w:name="LW_COVERPAGE_GUID" w:val="409D1DF1824F4221865E4C455DFE5E4A"/>
    <w:docVar w:name="LW_CROSSREFERENCE" w:val="{COM(2017) 257 final}_x000b_{SWD(2017) 215 final}_x000b_{SWD(2017) 216 final}"/>
    <w:docVar w:name="LW_DocType" w:val="NORMAL"/>
    <w:docVar w:name="LW_EMISSION" w:val="2. 5. 2017"/>
    <w:docVar w:name="LW_EMISSION_ISODATE" w:val="2017-05-02"/>
    <w:docVar w:name="LW_EMISSION_LOCATION" w:val="BRX"/>
    <w:docVar w:name="LW_EMISSION_PREFIX" w:val="V Bruseli"/>
    <w:docVar w:name="LW_EMISSION_SUFFIX" w:val=" "/>
    <w:docVar w:name="LW_ID_DOCTYPE_NONLW" w:val="CP-027"/>
    <w:docVar w:name="LW_LANGUE" w:val="SK"/>
    <w:docVar w:name="LW_MARKING" w:val="&lt;UNUSED&gt;"/>
    <w:docVar w:name="LW_NOM.INST" w:val="EURÓPSKA KOMISIA"/>
    <w:docVar w:name="LW_NOM.INST_JOINTDOC" w:val="&lt;EMPTY&gt;"/>
    <w:docVar w:name="LW_OBJETACTEPRINCIPAL.CP" w:val="o stanovení podmienok a postupu, na základe ktorých mô\u382?e Komisia po\u382?iada\u357? podniky a zdru\u382?enia podnikov o poskytnutie informácií týkajúcich sa vnútorného trhu a súvisiacich oblastí_x000b_"/>
    <w:docVar w:name="LW_PART_NBR" w:val="1"/>
    <w:docVar w:name="LW_PART_NBR_TOTAL" w:val="1"/>
    <w:docVar w:name="LW_REF.INST.NEW" w:val="SWD"/>
    <w:docVar w:name="LW_REF.INST.NEW_ADOPTED" w:val="final"/>
    <w:docVar w:name="LW_REF.INST.NEW_TEXT" w:val="(2017) 217"/>
    <w:docVar w:name="LW_REF.INTERNE" w:val="&lt;UNUSED&gt;"/>
    <w:docVar w:name="LW_SUPERTITRE" w:val="Balík opatrení týkajúci sa dodr\u382?iavania predpisov"/>
    <w:docVar w:name="LW_TITRE.OBJ.CP" w:val="&lt;UNUSED&gt;"/>
    <w:docVar w:name="LW_TYPE.DOC.CP" w:val="PRACOVNÝ DOKUMENT ÚTVAROV KOMISIE_x000b__x000b_ZHRNUTIE POSÚDENIA VPLYVU_x000b_"/>
    <w:docVar w:name="LW_TYPEACTEPRINCIPAL.CP" w:val="Návrh_x000b__x000b_NARIADENIE EURÓPSKEHO PARLAMENTU A RADY_x000b_"/>
    <w:docVar w:name="Stamp" w:val="\\dossiers.dgt.cec.eu.int\dossiers\GROW\GROW-2017-00571\GROW-2017-00571-00-01-EN-REV-00.201704041549289737116.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sk-SK"/>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sk-S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o,f"/>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ind w:left="284" w:hanging="284"/>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jc w:val="both"/>
    </w:pPr>
    <w:rPr>
      <w:rFonts w:asciiTheme="minorHAnsi" w:eastAsia="Batang" w:hAnsiTheme="minorHAnsi" w:cstheme="minorBidi"/>
      <w:sz w:val="20"/>
      <w:szCs w:val="20"/>
    </w:rPr>
  </w:style>
  <w:style w:type="character" w:customStyle="1" w:styleId="CommentTextChar">
    <w:name w:val="Comment Text Char"/>
    <w:basedOn w:val="DefaultParagraphFont"/>
    <w:link w:val="CommentText"/>
    <w:uiPriority w:val="99"/>
    <w:rPr>
      <w:rFonts w:eastAsia="Batang"/>
      <w:sz w:val="20"/>
      <w:szCs w:val="20"/>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jc w:val="both"/>
    </w:pPr>
    <w:rPr>
      <w:rFonts w:asciiTheme="minorHAnsi" w:eastAsia="Batang" w:hAnsiTheme="minorHAnsi" w:cstheme="minorBidi"/>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Batang"/>
      <w:sz w:val="20"/>
      <w:szCs w:val="20"/>
    </w:rPr>
  </w:style>
  <w:style w:type="paragraph" w:styleId="CommentSubject">
    <w:name w:val="annotation subject"/>
    <w:basedOn w:val="CommentText"/>
    <w:next w:val="CommentText"/>
    <w:link w:val="CommentSubjectChar"/>
    <w:uiPriority w:val="99"/>
    <w:semiHidden/>
    <w:unhideWhenUsed/>
    <w:pPr>
      <w:spacing w:after="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k-SK"/>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sk-SK"/>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sk-S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o,f"/>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ind w:left="284" w:hanging="284"/>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jc w:val="both"/>
    </w:pPr>
    <w:rPr>
      <w:rFonts w:asciiTheme="minorHAnsi" w:eastAsia="Batang" w:hAnsiTheme="minorHAnsi" w:cstheme="minorBidi"/>
      <w:sz w:val="20"/>
      <w:szCs w:val="20"/>
    </w:rPr>
  </w:style>
  <w:style w:type="character" w:customStyle="1" w:styleId="CommentTextChar">
    <w:name w:val="Comment Text Char"/>
    <w:basedOn w:val="DefaultParagraphFont"/>
    <w:link w:val="CommentText"/>
    <w:uiPriority w:val="99"/>
    <w:rPr>
      <w:rFonts w:eastAsia="Batang"/>
      <w:sz w:val="20"/>
      <w:szCs w:val="20"/>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jc w:val="both"/>
    </w:pPr>
    <w:rPr>
      <w:rFonts w:asciiTheme="minorHAnsi" w:eastAsia="Batang" w:hAnsiTheme="minorHAnsi" w:cstheme="minorBidi"/>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Batang"/>
      <w:sz w:val="20"/>
      <w:szCs w:val="20"/>
    </w:rPr>
  </w:style>
  <w:style w:type="paragraph" w:styleId="CommentSubject">
    <w:name w:val="annotation subject"/>
    <w:basedOn w:val="CommentText"/>
    <w:next w:val="CommentText"/>
    <w:link w:val="CommentSubjectChar"/>
    <w:uiPriority w:val="99"/>
    <w:semiHidden/>
    <w:unhideWhenUsed/>
    <w:pPr>
      <w:spacing w:after="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k-SK"/>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0108">
      <w:bodyDiv w:val="1"/>
      <w:marLeft w:val="0"/>
      <w:marRight w:val="0"/>
      <w:marTop w:val="0"/>
      <w:marBottom w:val="0"/>
      <w:divBdr>
        <w:top w:val="none" w:sz="0" w:space="0" w:color="auto"/>
        <w:left w:val="none" w:sz="0" w:space="0" w:color="auto"/>
        <w:bottom w:val="none" w:sz="0" w:space="0" w:color="auto"/>
        <w:right w:val="none" w:sz="0" w:space="0" w:color="auto"/>
      </w:divBdr>
    </w:div>
    <w:div w:id="750002446">
      <w:bodyDiv w:val="1"/>
      <w:marLeft w:val="0"/>
      <w:marRight w:val="0"/>
      <w:marTop w:val="0"/>
      <w:marBottom w:val="0"/>
      <w:divBdr>
        <w:top w:val="none" w:sz="0" w:space="0" w:color="auto"/>
        <w:left w:val="none" w:sz="0" w:space="0" w:color="auto"/>
        <w:bottom w:val="none" w:sz="0" w:space="0" w:color="auto"/>
        <w:right w:val="none" w:sz="0" w:space="0" w:color="auto"/>
      </w:divBdr>
    </w:div>
    <w:div w:id="16699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39728E5B4FF4F8EC3EE9830163595" ma:contentTypeVersion="0" ma:contentTypeDescription="Create a new document." ma:contentTypeScope="" ma:versionID="9f9a531de628b374773b961272828dad">
  <xsd:schema xmlns:xsd="http://www.w3.org/2001/XMLSchema" xmlns:xs="http://www.w3.org/2001/XMLSchema" xmlns:p="http://schemas.microsoft.com/office/2006/metadata/properties" targetNamespace="http://schemas.microsoft.com/office/2006/metadata/properties" ma:root="true" ma:fieldsID="a39f76bdfa21b325ebc3d712d8bbb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28E3-FEEC-429F-8C93-CFCC37DE565D}">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A2DB12EE-F1A9-489C-9154-BDDA0EE1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F14816-0812-4AB4-AE91-D4DAFE0D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1376</Words>
  <Characters>8287</Characters>
  <Application>Microsoft Office Word</Application>
  <DocSecurity>0</DocSecurity>
  <Lines>121</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2017-04-18T14:07:00Z</cp:lastPrinted>
  <dcterms:created xsi:type="dcterms:W3CDTF">2017-04-18T14:06:00Z</dcterms:created>
  <dcterms:modified xsi:type="dcterms:W3CDTF">2017-05-22T10:38:00Z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0x01010012A39728E5B4FF4F8EC3EE9830163595</vt:lpwstr>
  </property>
  <property fmtid="{D5CDD505-2E9C-101B-9397-08002B2CF9AE}" pid="10" name="TemplateUrl">
    <vt:lpwstr/>
  </property>
  <property fmtid="{D5CDD505-2E9C-101B-9397-08002B2CF9AE}" pid="11" name="IsMyDocuments">
    <vt:bool>true</vt:bool>
  </property>
  <property fmtid="{D5CDD505-2E9C-101B-9397-08002B2CF9AE}" pid="12" name="DocStatus">
    <vt:lpwstr>Green</vt:lpwstr>
  </property>
</Properties>
</file>