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1E8C048370143ECB31952ABA1405BDA" style="width:450.75pt;height:492.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Souhrnný přehled</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noProof/>
                <w:color w:val="FFFFFF" w:themeColor="background1"/>
                <w:sz w:val="20"/>
              </w:rPr>
              <w:t xml:space="preserve">Posouzení dopadů návrhu na zavedení nástroje pro zjišťování informací o jednotném trhu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Potřeba opatření</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Proč? Jaký problém se řeší?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Občané EU a společnosti pociťují zklamání, že se překážky jednotného trhu neodstraňují dostatečně rychle. Pokud Komisi nebo členský stát uvědomí o existenci problému na jednotném trhu, musí poskytnout důkaz prokazující, že je tento problém způsoben porušením pravidel EU. Může být obtížné tyto informace získat, zejména v přeshraničních případech. Je tomu tak proto, že v případě těchto informací jde často o:</w:t>
            </w:r>
            <w:r>
              <w:rPr>
                <w:noProof/>
              </w:rPr>
              <w:tab/>
            </w:r>
            <w:r>
              <w:rPr>
                <w:rFonts w:ascii="Arial" w:hAnsi="Arial" w:cs="Arial"/>
                <w:noProof/>
                <w:sz w:val="20"/>
                <w:szCs w:val="20"/>
              </w:rPr>
              <w:br/>
            </w:r>
          </w:p>
          <w:p>
            <w:pPr>
              <w:pStyle w:val="ListParagraph"/>
              <w:numPr>
                <w:ilvl w:val="0"/>
                <w:numId w:val="1"/>
              </w:numPr>
              <w:jc w:val="both"/>
              <w:rPr>
                <w:rFonts w:ascii="Arial" w:hAnsi="Arial" w:cs="Arial"/>
                <w:noProof/>
                <w:sz w:val="20"/>
                <w:szCs w:val="20"/>
              </w:rPr>
            </w:pPr>
            <w:r>
              <w:rPr>
                <w:rFonts w:ascii="Arial" w:hAnsi="Arial"/>
                <w:noProof/>
                <w:sz w:val="20"/>
              </w:rPr>
              <w:t>podrobné, citlivé, neveřejné informace na úrovni podniků, které od poskytovatelů údajů, kteří jsou třetími stranami, nelze získat</w:t>
            </w:r>
          </w:p>
          <w:p>
            <w:pPr>
              <w:pStyle w:val="ListParagraph"/>
              <w:numPr>
                <w:ilvl w:val="0"/>
                <w:numId w:val="1"/>
              </w:numPr>
              <w:jc w:val="both"/>
              <w:rPr>
                <w:rFonts w:ascii="Arial" w:hAnsi="Arial" w:cs="Arial"/>
                <w:noProof/>
                <w:sz w:val="20"/>
                <w:szCs w:val="20"/>
              </w:rPr>
            </w:pPr>
            <w:r>
              <w:rPr>
                <w:rFonts w:ascii="Arial" w:hAnsi="Arial"/>
                <w:noProof/>
                <w:sz w:val="20"/>
              </w:rPr>
              <w:t xml:space="preserve">informace dostupné vnitrostátním orgánům pouze v několika členských státech </w:t>
            </w:r>
          </w:p>
          <w:p>
            <w:pPr>
              <w:pStyle w:val="ListParagraph"/>
              <w:numPr>
                <w:ilvl w:val="0"/>
                <w:numId w:val="1"/>
              </w:numPr>
              <w:jc w:val="both"/>
              <w:rPr>
                <w:rFonts w:ascii="Arial" w:hAnsi="Arial" w:cs="Arial"/>
                <w:noProof/>
                <w:sz w:val="20"/>
                <w:szCs w:val="20"/>
              </w:rPr>
            </w:pPr>
            <w:r>
              <w:rPr>
                <w:rFonts w:ascii="Arial" w:hAnsi="Arial"/>
                <w:noProof/>
                <w:sz w:val="20"/>
              </w:rPr>
              <w:t>skutečnost, že je nelze porovnat mezi jednotlivými členskými státy.</w:t>
            </w:r>
          </w:p>
          <w:p>
            <w:pPr>
              <w:jc w:val="both"/>
              <w:rPr>
                <w:rFonts w:ascii="Arial" w:hAnsi="Arial" w:cs="Arial"/>
                <w:noProof/>
                <w:sz w:val="20"/>
                <w:szCs w:val="20"/>
              </w:rPr>
            </w:pPr>
            <w:r>
              <w:rPr>
                <w:noProof/>
              </w:rPr>
              <w:tab/>
            </w:r>
            <w:r>
              <w:rPr>
                <w:rFonts w:ascii="Arial" w:hAnsi="Arial" w:cs="Arial"/>
                <w:noProof/>
                <w:sz w:val="20"/>
                <w:szCs w:val="20"/>
              </w:rPr>
              <w:br/>
            </w:r>
            <w:r>
              <w:rPr>
                <w:rFonts w:ascii="Arial" w:hAnsi="Arial"/>
                <w:noProof/>
                <w:sz w:val="20"/>
              </w:rPr>
              <w:t xml:space="preserve"> Účastníci trhu, kteří tyto důvěrné informace mají, v současné době nemají motivaci, aby je sdíleli, a není zaveden žádný systém, který by zaručil pravdivost sdílených údajů. Nástroje EU a vnitrostátní nástroje pro shromažďování informací v současnosti nepostačují k tomu, aby bylo možné tyto informace od podniků, občanů nebo vnitrostátních orgánů získat.</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Čeho by tato iniciativa měla podle očekávání dosáhnout? </w:t>
            </w:r>
          </w:p>
        </w:tc>
      </w:tr>
      <w:tr>
        <w:tc>
          <w:tcPr>
            <w:tcW w:w="10188" w:type="dxa"/>
            <w:tcBorders>
              <w:bottom w:val="single" w:sz="4" w:space="0" w:color="auto"/>
            </w:tcBorders>
            <w:shd w:val="clear" w:color="auto" w:fill="auto"/>
          </w:tcPr>
          <w:p>
            <w:pPr>
              <w:pStyle w:val="ListParagraph"/>
              <w:numPr>
                <w:ilvl w:val="0"/>
                <w:numId w:val="3"/>
              </w:numPr>
              <w:jc w:val="both"/>
              <w:rPr>
                <w:rFonts w:ascii="Arial" w:hAnsi="Arial" w:cs="Arial"/>
                <w:noProof/>
                <w:sz w:val="20"/>
                <w:szCs w:val="20"/>
              </w:rPr>
            </w:pPr>
            <w:r>
              <w:rPr>
                <w:rFonts w:ascii="Arial" w:hAnsi="Arial"/>
                <w:noProof/>
                <w:sz w:val="20"/>
              </w:rPr>
              <w:t xml:space="preserve">Zlepšit fungování jednotného trhu prostřednictvím účinnějšího prosazování pravidel. </w:t>
            </w:r>
            <w:r>
              <w:rPr>
                <w:noProof/>
              </w:rPr>
              <w:tab/>
            </w:r>
          </w:p>
          <w:p>
            <w:pPr>
              <w:pStyle w:val="ListParagraph"/>
              <w:numPr>
                <w:ilvl w:val="0"/>
                <w:numId w:val="3"/>
              </w:numPr>
              <w:jc w:val="both"/>
              <w:rPr>
                <w:rFonts w:ascii="Arial" w:hAnsi="Arial" w:cs="Arial"/>
                <w:noProof/>
                <w:sz w:val="20"/>
                <w:szCs w:val="20"/>
              </w:rPr>
            </w:pPr>
            <w:r>
              <w:rPr>
                <w:rFonts w:ascii="Arial" w:hAnsi="Arial"/>
                <w:noProof/>
                <w:sz w:val="20"/>
              </w:rPr>
              <w:t>Zjednodušit přístup Komise a členských států k údajům na úrovni podniků, jsou-li tyto údaje nezbytné k zjištění a nápravě nesprávného použití práva EU nebo nesouladu s předpisy týkajícími se jednotného trhu.</w:t>
            </w:r>
          </w:p>
          <w:p>
            <w:pPr>
              <w:pStyle w:val="ListParagraph"/>
              <w:numPr>
                <w:ilvl w:val="0"/>
                <w:numId w:val="3"/>
              </w:numPr>
              <w:jc w:val="both"/>
              <w:rPr>
                <w:rFonts w:ascii="Arial" w:hAnsi="Arial" w:cs="Arial"/>
                <w:noProof/>
                <w:sz w:val="20"/>
                <w:szCs w:val="20"/>
              </w:rPr>
            </w:pPr>
            <w:r>
              <w:rPr>
                <w:rFonts w:ascii="Arial" w:hAnsi="Arial"/>
                <w:noProof/>
                <w:sz w:val="20"/>
              </w:rPr>
              <w:t>Pomoci členským státům na vnitrostátní úrovni lépe prosazovat předpisy týkající se jednotného trhu.</w:t>
            </w:r>
            <w:r>
              <w:rPr>
                <w:noProof/>
              </w:rPr>
              <w:tab/>
            </w:r>
            <w:r>
              <w:rPr>
                <w:rFonts w:ascii="Arial" w:hAnsi="Arial"/>
                <w:noProof/>
                <w:sz w:val="20"/>
              </w:rPr>
              <w:t xml:space="preserve"> </w:t>
            </w:r>
          </w:p>
          <w:p>
            <w:pPr>
              <w:pStyle w:val="ListParagraph"/>
              <w:numPr>
                <w:ilvl w:val="0"/>
                <w:numId w:val="3"/>
              </w:numPr>
              <w:jc w:val="both"/>
              <w:rPr>
                <w:rFonts w:ascii="Arial" w:hAnsi="Arial" w:cs="Arial"/>
                <w:noProof/>
                <w:sz w:val="20"/>
                <w:szCs w:val="20"/>
              </w:rPr>
            </w:pPr>
            <w:r>
              <w:rPr>
                <w:rFonts w:ascii="Arial" w:hAnsi="Arial"/>
                <w:noProof/>
                <w:sz w:val="20"/>
              </w:rPr>
              <w:t>Pokud členský stát neplní své povinnosti týkající se jednotného trhu, může Komise tyto informace použít na podporu své politiky týkající se porušování předpisů určené tomuto státu.</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Jakou přidanou hodnotu budou mít tato opatření na úrovni EU?</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Vzhledem k přeshraniční povaze potřebných údajů má Komise nejlepší pozici pro řešení otázky shromažďování a koordinace cílených informací na úrovni podniků v oblasti jednotného trhu.</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Opatření ze strany EU by zamezilo komplexnímu a zdlouhavému úsilí o koordinaci mezi členskými státy a Komisí, zejména v případech, kdy jsou zapotřebí informace od účastníků trhu působících ve více než jednom členském státě. Opatření EU by členským státům i Komisi pomohlo získat potřebné informace a snížit administrativní zátěž pro zúčastněné podniky a veřejné orgány.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Řešení</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Jaké legislativní a nelegislativní možnosti politiky byly uváženy? Je některá možnost upřednostňována? Proč?</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Nelegislativní možnost by mohla zahrnovat výměnu osvědčených postupů mezi členskými státy a Komisí a vypracování pokynů ke shromažďování informací na úrovni podniků. Stále se zvažují také další legislativní možnosti: </w:t>
            </w:r>
          </w:p>
          <w:p>
            <w:pPr>
              <w:pStyle w:val="ListParagraph"/>
              <w:numPr>
                <w:ilvl w:val="0"/>
                <w:numId w:val="2"/>
              </w:numPr>
              <w:jc w:val="both"/>
              <w:rPr>
                <w:rFonts w:ascii="Arial" w:hAnsi="Arial" w:cs="Arial"/>
                <w:noProof/>
                <w:sz w:val="20"/>
                <w:szCs w:val="20"/>
              </w:rPr>
            </w:pPr>
            <w:r>
              <w:rPr>
                <w:rFonts w:ascii="Arial" w:hAnsi="Arial"/>
                <w:noProof/>
                <w:sz w:val="20"/>
              </w:rPr>
              <w:t xml:space="preserve">Možnost 2 odstraňuje vnitrostátní pravidla bránící vnitrostátním orgánům sdílet s Komisí a jinými členskými státy informace na úrovni podniků, které již vlastní nebo ke kterým mohou podle stávajícího práva Unie nebo vnitrostátního práva získat přístup. </w:t>
            </w:r>
          </w:p>
          <w:p>
            <w:pPr>
              <w:pStyle w:val="ListParagraph"/>
              <w:numPr>
                <w:ilvl w:val="0"/>
                <w:numId w:val="2"/>
              </w:numPr>
              <w:jc w:val="both"/>
              <w:rPr>
                <w:rFonts w:ascii="Arial" w:hAnsi="Arial" w:cs="Arial"/>
                <w:noProof/>
                <w:sz w:val="20"/>
                <w:szCs w:val="20"/>
              </w:rPr>
            </w:pPr>
            <w:r>
              <w:rPr>
                <w:rFonts w:ascii="Arial" w:hAnsi="Arial"/>
                <w:noProof/>
                <w:sz w:val="20"/>
              </w:rPr>
              <w:t xml:space="preserve">Možnost 3 představuje vyšetřovací pravomoci prostřednictvím nástrojů pro zjišťování informací o jednotném trhu na vnitrostátní úrovni. </w:t>
            </w:r>
          </w:p>
          <w:p>
            <w:pPr>
              <w:pStyle w:val="ListParagraph"/>
              <w:numPr>
                <w:ilvl w:val="0"/>
                <w:numId w:val="2"/>
              </w:numPr>
              <w:jc w:val="both"/>
              <w:rPr>
                <w:rFonts w:ascii="Arial" w:hAnsi="Arial" w:cs="Arial"/>
                <w:noProof/>
                <w:sz w:val="20"/>
                <w:szCs w:val="20"/>
              </w:rPr>
            </w:pPr>
            <w:r>
              <w:rPr>
                <w:rFonts w:ascii="Arial" w:hAnsi="Arial"/>
                <w:noProof/>
                <w:sz w:val="20"/>
              </w:rPr>
              <w:t xml:space="preserve">Možnost 4 představuje nástroj pro zjišťování informací o jednotném trhu (SMIT, Single Market Information Tool) na úrovni EU, který se použije případ od případu. Bude omezen na případy, ve kterých existuje podezření, že překážky brání fungování jednotného trhu, a ve kterých jsou požadované informace potřebné pro rychlé a účinné rozhodování a pomocí jiných prostředků je nelze dostatečně rychle získat. Informace by se požadovaly pouze od účastníků trhu, kteří je mohou snadno poskytnout. </w:t>
            </w:r>
          </w:p>
          <w:p>
            <w:pPr>
              <w:pStyle w:val="ListParagraph"/>
              <w:numPr>
                <w:ilvl w:val="0"/>
                <w:numId w:val="2"/>
              </w:numPr>
              <w:jc w:val="both"/>
              <w:rPr>
                <w:rFonts w:ascii="Arial" w:hAnsi="Arial" w:cs="Arial"/>
                <w:noProof/>
                <w:sz w:val="20"/>
                <w:szCs w:val="20"/>
              </w:rPr>
            </w:pPr>
            <w:r>
              <w:rPr>
                <w:rFonts w:ascii="Arial" w:hAnsi="Arial"/>
                <w:noProof/>
                <w:sz w:val="20"/>
              </w:rPr>
              <w:t xml:space="preserve">Možnost 5 je smíšená možnost kombinující možnosti 2 a 4. </w:t>
            </w:r>
          </w:p>
          <w:p>
            <w:pPr>
              <w:jc w:val="both"/>
              <w:rPr>
                <w:rFonts w:ascii="Arial" w:hAnsi="Arial" w:cs="Arial"/>
                <w:noProof/>
                <w:sz w:val="20"/>
                <w:szCs w:val="20"/>
              </w:rPr>
            </w:pPr>
            <w:r>
              <w:rPr>
                <w:rFonts w:ascii="Arial" w:hAnsi="Arial"/>
                <w:noProof/>
                <w:sz w:val="20"/>
              </w:rPr>
              <w:t>Mezi vyloučené možnosti patří rozšíření rozsahu evropských statistik a zavedení povinností pravidelně podávat zprávy podle směrnice o účetnictví. Upřednostňovanou možností je nástroj pro zjišťování informací o jednotném trhu (možnost 4). Získala nejvyšší bodové ohodnocení, pokud jde o subsidiaritu a proporcionalitu, a je nejúčinnější a nákladově nejefektivnější možností. Pomůže jednotlivým členským státům překonat problémy týkající se koordinace a právní příslušnosti v případech s přeshraničním rozměrem.</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Kdo podporuje kterou možnost?</w:t>
            </w:r>
            <w:r>
              <w:rPr>
                <w:rFonts w:ascii="Tahoma" w:hAnsi="Tahoma"/>
                <w:noProof/>
                <w:sz w:val="20"/>
              </w:rPr>
              <w:t xml:space="preserve"> </w:t>
            </w:r>
          </w:p>
        </w:tc>
      </w:tr>
      <w:tr>
        <w:tc>
          <w:tcPr>
            <w:tcW w:w="10188" w:type="dxa"/>
            <w:shd w:val="clear" w:color="auto" w:fill="auto"/>
          </w:tcPr>
          <w:p>
            <w:pPr>
              <w:rPr>
                <w:rFonts w:ascii="Arial" w:hAnsi="Arial" w:cs="Arial"/>
                <w:noProof/>
                <w:sz w:val="20"/>
                <w:szCs w:val="20"/>
              </w:rPr>
            </w:pPr>
            <w:r>
              <w:rPr>
                <w:rFonts w:ascii="Arial" w:hAnsi="Arial"/>
                <w:noProof/>
                <w:sz w:val="20"/>
              </w:rPr>
              <w:t>Veřejná konzultace ukázala, že většina podniků upřednostňuje možnost sdílet informace dobrovolně, a upřednostňuje tedy nelegislativní možnost. Uvádějí, že bude-li nástroj pro zjišťování informací o jednotném trhu proveden, měl by zajišťovat důvěrnost údajů a měl by se používat pouze jako krajní opatření. Měly by být požadovány pouze snadno dostupné informace. Z deseti členských států, které odpověděly, čtyři nástroj pro zjišťování informací o jednotném trhu podporují a dva nikoliv. Orgány dvou členských států by upřednostnily, aby žádosti o informace koordinovala Komise, zatímco dva členské státy by byly raději, kdyby jim pravomoc požadovat informace od podniků v jakémkoliv členském státě byla dána přímo, bez zapojení Komise. Všechny spotřebitelské organizace podporují používání nástroje pro zjišťování informací o jednotném trhu, jsou-li tyto informace nezbytné pro vyřešení porušení práv spotřebitelů nebo podniků. Polovina spotřebitelských organizací podporuje používání nástroje pro zjišťování informací o jednotném trhu k přípravě nových pravidel EU.</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Dopady upřednostňované možnosti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Jaké jsou výhody upřednostňované možnosti (je-li nějaká doporučena, jinak uveďte výhody hlavních možností)?</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Výpočet nákladů a přínosů nástroje pro zjišťování informací o jednotném trhu (možnost 4) je založen na předpokladu, že bude ročně použit pro čtyři malé žádosti zahrnující maximálně pět podniků a pro jednu velkou žádost zahrnující maximálně 50 podniků. Větší množství informací o špatném fungování jednotného trhu by Komisi a vnitrostátním orgánům umožnilo zajistit větší soulad s právem týkajícím se jednotného trhu a lépe navrhovat politiky EU. To by posílilo důvěru spotřebitelů v jednotný trh a přispělo k naplnění jeho potenciálu. Lepší přístup k informacím by měl vést k cílenějšímu prosazování jednotného trhu na vnitrostátní úrovni a k omezení počtu řízení o nesplnění povinnosti proti členským státům. Ve dvou nedávných řízeních bylo vymoženo až 50 milionů EUR nezaplacených daní poté, co vyšetřovací orgány v oblasti státní podpory Komisi umožnily přístup ke klíčovým informacím na úrovni podniků. V oblasti jednotného trhu možné úspory z jednoho případu zadávání zakázek v oblasti infrastruktury překročily 3 miliardy EUR. Použije-li se nástroj pro získávání informací o jednotném trhu k řešení případů špatného fungování jednotného trhu v těchto oblastech, může to přinést nepřímé sociální přínosy a přínosy pro životní prostředí.</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Jaké jsou náklady na upřednostňovanou možnost (je-li nějaká doporučena, jinak uveďte náklady na hlavní možnosti)?</w:t>
            </w:r>
          </w:p>
        </w:tc>
      </w:tr>
      <w:tr>
        <w:tc>
          <w:tcPr>
            <w:tcW w:w="10188" w:type="dxa"/>
            <w:tcBorders>
              <w:bottom w:val="single" w:sz="4" w:space="0" w:color="auto"/>
            </w:tcBorders>
            <w:shd w:val="clear" w:color="auto" w:fill="auto"/>
          </w:tcPr>
          <w:p>
            <w:pPr>
              <w:jc w:val="both"/>
              <w:rPr>
                <w:rFonts w:ascii="Arial" w:hAnsi="Arial" w:cs="Arial"/>
                <w:i/>
                <w:noProof/>
                <w:sz w:val="20"/>
                <w:szCs w:val="20"/>
              </w:rPr>
            </w:pPr>
            <w:r>
              <w:rPr>
                <w:rFonts w:ascii="Arial" w:hAnsi="Arial"/>
                <w:noProof/>
                <w:sz w:val="20"/>
              </w:rPr>
              <w:t>Odpověď na žádost v rámci nástroje pro zjišťování informací o jednotném trhu by pro podniky, na které je žádost zacílena, představovala náklady. V případě velkých podniků by se náklady pohybovaly v rozmezí od 1 200 EUR do 4 400 EUR. V případě malých a středních podniků by se pohybovaly v rozmezí od 300 EUR do 1 000 EUR. Pokud by podniky za účelem vyhovění žádosti o informace vyhledaly právní poradenství, vznikly by jim dodatečné náklady ve výši 1 000 EUR až 4 000 EUR. Celkové roční náklady na přípravu odpovědí a právní poradenství pro odhadovaných pět žádostí ročně by se pohybovaly v rozmezí od 370 000 EUR do 610 000 EUR. Podniky by rovněž mohly předložit odpověď nedůvěrné povahy určenou ke sdílení s členskými státy. To by za nepatrných dodatečných nákladů mohlo zmírnit obavy o zachování důvěrnosti informací. Konzervativní odhad celkových nákladů na nástroj pro zjišťování informací o jednotném trhu, včetně nákladů Komise, se pohybuje v rozmezí od 0,49 milionu EUR do 1,04 milionu EUR. Nevzniknou žádné přímé sociální náklady nebo náklady na životní prostředí.</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Jaký bude dopad na podniky, malé a střední podniky a mikropodniky?</w:t>
            </w:r>
          </w:p>
        </w:tc>
      </w:tr>
      <w:tr>
        <w:tc>
          <w:tcPr>
            <w:tcW w:w="10188" w:type="dxa"/>
            <w:tcBorders>
              <w:bottom w:val="single" w:sz="4" w:space="0" w:color="auto"/>
            </w:tcBorders>
            <w:shd w:val="clear" w:color="auto" w:fill="auto"/>
          </w:tcPr>
          <w:p>
            <w:pPr>
              <w:jc w:val="both"/>
              <w:rPr>
                <w:rFonts w:ascii="Arial" w:hAnsi="Arial" w:cs="Arial"/>
                <w:i/>
                <w:noProof/>
                <w:sz w:val="20"/>
                <w:szCs w:val="20"/>
              </w:rPr>
            </w:pPr>
            <w:r>
              <w:rPr>
                <w:rFonts w:ascii="Arial" w:hAnsi="Arial"/>
                <w:noProof/>
                <w:sz w:val="20"/>
              </w:rPr>
              <w:t xml:space="preserve">Nástroj pro získávání informací o jednotném trhu je zacílen především na velké podniky s vysokým podílem na trhu a na nich bude spočívat hlavní administrativní zátěž. Mikropodniky budou vyjmuty. Malé a střední podniky mohou být někdy požádány o účast. Odhadované náklady na odpověď se pro jednotlivé malé a střední podniky pohybují v rozmezí od 300 EUR do 1 000 EUR na žádost s případnými dodatečnými náklady na právní poradenství ve výši 1 000 EUR (přibližně 25 % nákladů na odpověď v případě velkých podniků). Z lépe fungujícího vnitřního trhu budou mít prospěch podniky všech velikostí, a to díky cílenějším donucovacím opatřením ze strany Komise a členských států. Budou mít prospěch také z lépe navržených pravidel EU a z účinnějšího právního prostředí. Mimo to lepší důkazy by mohly zamezit vypracovávání zbytečných pravidel.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Očekávají se významné dopady na vnitrostátní rozpočty a správní orgány?</w:t>
            </w:r>
          </w:p>
        </w:tc>
      </w:tr>
      <w:tr>
        <w:tc>
          <w:tcPr>
            <w:tcW w:w="10188" w:type="dxa"/>
            <w:shd w:val="clear" w:color="auto" w:fill="auto"/>
          </w:tcPr>
          <w:p>
            <w:pPr>
              <w:rPr>
                <w:rFonts w:ascii="Arial" w:hAnsi="Arial" w:cs="Arial"/>
                <w:noProof/>
                <w:sz w:val="20"/>
                <w:szCs w:val="20"/>
              </w:rPr>
            </w:pPr>
            <w:r>
              <w:rPr>
                <w:rFonts w:ascii="Arial" w:hAnsi="Arial"/>
                <w:noProof/>
                <w:sz w:val="20"/>
              </w:rPr>
              <w:t>Provedení nástroje pro zjišťování informací o jednotném trhu nepředstavuje pro vnitrostátní orgány žádné náklady. Komisi pro odhadovaných pět žádostí ročně vzniknou dodatečné náklady na shromažďování údajů a jejich analýzu v rozmezí 120 000 EUR až 430 000 EUR. Náklady Komise nebudou vyžadovat žádné nové rozpočtové závazky, pouze přerozdělení stávajících zaměstnanců a infrastruktury. Komise by mohla ušetřit mezi 0,7 milionu EUR a 1,6 milionu EUR na externích zprávách. Ušetřit by v tomto případě mohly i vnitrostátní orgány.</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Očekávají se jiné významné dopady?</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Podniky/spotřebitelé by měli z lepšího fungování jednotného trhu prospěch, a to díky snížení překážek vstupu, větší konkurenci, větší konkurenceschopnosti a snazšímu/levnějšímu přeshraničnímu (a případně mezinárodnímu) rozšiřování. Tato iniciativa plně respektuje oprávněný zájem podniků chránit svá obchodní tajemství. Nemá vliv na práva týkající se ochrany osobních údajů. Respektuje rovněž právo na řádnou správu, právo na obhajobu, zásadu proporcionality sankcí, právo na účinné řešení a právo na spravedlivý proces.</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Návazná opatření</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Kdy bude tato politika přezkoumána?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Arial" w:hAnsi="Arial"/>
                <w:noProof/>
                <w:sz w:val="20"/>
              </w:rPr>
              <w:t xml:space="preserve">Politika bude přezkoumána pět let po přijetí návrhu. </w:t>
            </w: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E6375"/>
    <w:multiLevelType w:val="hybridMultilevel"/>
    <w:tmpl w:val="ADF4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9D0FC1"/>
    <w:multiLevelType w:val="hybridMultilevel"/>
    <w:tmpl w:val="8816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9C5802"/>
    <w:multiLevelType w:val="hybridMultilevel"/>
    <w:tmpl w:val="0B2CDA2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r\u367?vodní dokument k"/>
    <w:docVar w:name="LW_CONFIDENCE" w:val=" "/>
    <w:docVar w:name="LW_CONST_RESTREINT_UE" w:val="RESTREINT UE"/>
    <w:docVar w:name="LW_CORRIGENDUM" w:val="&lt;UNUSED&gt;"/>
    <w:docVar w:name="LW_COVERPAGE_GUID" w:val="D1E8C048370143ECB31952ABA1405BDA"/>
    <w:docVar w:name="LW_CROSSREFERENCE" w:val="{COM(2017) 257 final}_x000b_{SWD(2017) 215 final}_x000b_{SWD(2017) 216 final}"/>
    <w:docVar w:name="LW_DocType" w:val="NORMAL"/>
    <w:docVar w:name="LW_EMISSION" w:val="2.5.2017"/>
    <w:docVar w:name="LW_EMISSION_ISODATE" w:val="2017-05-02"/>
    <w:docVar w:name="LW_EMISSION_LOCATION" w:val="BRX"/>
    <w:docVar w:name="LW_EMISSION_PREFIX" w:val="V Bruselu dne "/>
    <w:docVar w:name="LW_EMISSION_SUFFIX" w:val=" "/>
    <w:docVar w:name="LW_ID_DOCTYPE_NONLW" w:val="CP-027"/>
    <w:docVar w:name="LW_LANGUE" w:val="CS"/>
    <w:docVar w:name="LW_MARKING" w:val="&lt;UNUSED&gt;"/>
    <w:docVar w:name="LW_NOM.INST" w:val="EVROPSKÁ KOMISE"/>
    <w:docVar w:name="LW_NOM.INST_JOINTDOC" w:val="&lt;EMPTY&gt;"/>
    <w:docVar w:name="LW_OBJETACTEPRINCIPAL.CP" w:val="kterým se stanoví podmínky a postup, jím\u382? m\u367?\u382?e Komise po\u382?adovat, aby jí podniky a sdru\u382?ení podnik\u367? poskytly informace týkající se vnit\u345?ního trhu a souvisejících oblastí"/>
    <w:docVar w:name="LW_PART_NBR" w:val="1"/>
    <w:docVar w:name="LW_PART_NBR_TOTAL" w:val="1"/>
    <w:docVar w:name="LW_REF.INST.NEW" w:val="SWD"/>
    <w:docVar w:name="LW_REF.INST.NEW_ADOPTED" w:val="final"/>
    <w:docVar w:name="LW_REF.INST.NEW_TEXT" w:val="(2017) 217"/>
    <w:docVar w:name="LW_REF.INTERNE" w:val="&lt;UNUSED&gt;"/>
    <w:docVar w:name="LW_SUPERTITRE" w:val="Balí\u269?ek týkající se dodr\u382?ování p\u345?edpis\u367?"/>
    <w:docVar w:name="LW_TITRE.OBJ.CP" w:val="&lt;UNUSED&gt;"/>
    <w:docVar w:name="LW_TYPE.DOC.CP" w:val="PRACOVNÍ DOKUMENT ÚTVAR\u366? KOMISE_x000b__x000b_SOUHRN POSOUZENÍ DOPAD\u366?_x000b_"/>
    <w:docVar w:name="LW_TYPEACTEPRINCIPAL.CP" w:val="návrhu_x000b__x000b_NA\u344?ÍZENÍ EVROPSKÉHO PARLAMENTU A RADY,"/>
    <w:docVar w:name="Stamp" w:val="\\dossiers.dgt.cec.eu.int\dossiers\GROW\GROW-2017-00571\GROW-2017-00571-00-01-EN-REV-00.201704041549289737116.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cs-CZ"/>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o,f"/>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ind w:left="284" w:hanging="284"/>
      <w:jc w:val="both"/>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jc w:val="both"/>
    </w:pPr>
    <w:rPr>
      <w:rFonts w:asciiTheme="minorHAnsi" w:eastAsia="Batang" w:hAnsiTheme="minorHAnsi" w:cstheme="minorBidi"/>
      <w:sz w:val="20"/>
      <w:szCs w:val="20"/>
    </w:rPr>
  </w:style>
  <w:style w:type="character" w:customStyle="1" w:styleId="CommentTextChar">
    <w:name w:val="Comment Text Char"/>
    <w:basedOn w:val="DefaultParagraphFont"/>
    <w:link w:val="CommentText"/>
    <w:uiPriority w:val="99"/>
    <w:rPr>
      <w:rFonts w:eastAsia="Batang"/>
      <w:sz w:val="20"/>
      <w:szCs w:val="20"/>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jc w:val="both"/>
    </w:pPr>
    <w:rPr>
      <w:rFonts w:asciiTheme="minorHAnsi" w:eastAsia="Batang" w:hAnsiTheme="minorHAnsi" w:cstheme="minorBidi"/>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Batang"/>
      <w:sz w:val="20"/>
      <w:szCs w:val="20"/>
    </w:rPr>
  </w:style>
  <w:style w:type="paragraph" w:styleId="CommentSubject">
    <w:name w:val="annotation subject"/>
    <w:basedOn w:val="CommentText"/>
    <w:next w:val="CommentText"/>
    <w:link w:val="CommentSubjectChar"/>
    <w:uiPriority w:val="99"/>
    <w:semiHidden/>
    <w:unhideWhenUsed/>
    <w:pPr>
      <w:spacing w:after="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cs-CZ"/>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cs-CZ"/>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o,f"/>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ind w:left="284" w:hanging="284"/>
      <w:jc w:val="both"/>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jc w:val="both"/>
    </w:pPr>
    <w:rPr>
      <w:rFonts w:asciiTheme="minorHAnsi" w:eastAsia="Batang" w:hAnsiTheme="minorHAnsi" w:cstheme="minorBidi"/>
      <w:sz w:val="20"/>
      <w:szCs w:val="20"/>
    </w:rPr>
  </w:style>
  <w:style w:type="character" w:customStyle="1" w:styleId="CommentTextChar">
    <w:name w:val="Comment Text Char"/>
    <w:basedOn w:val="DefaultParagraphFont"/>
    <w:link w:val="CommentText"/>
    <w:uiPriority w:val="99"/>
    <w:rPr>
      <w:rFonts w:eastAsia="Batang"/>
      <w:sz w:val="20"/>
      <w:szCs w:val="20"/>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jc w:val="both"/>
    </w:pPr>
    <w:rPr>
      <w:rFonts w:asciiTheme="minorHAnsi" w:eastAsia="Batang" w:hAnsiTheme="minorHAnsi" w:cstheme="minorBidi"/>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Batang"/>
      <w:sz w:val="20"/>
      <w:szCs w:val="20"/>
    </w:rPr>
  </w:style>
  <w:style w:type="paragraph" w:styleId="CommentSubject">
    <w:name w:val="annotation subject"/>
    <w:basedOn w:val="CommentText"/>
    <w:next w:val="CommentText"/>
    <w:link w:val="CommentSubjectChar"/>
    <w:uiPriority w:val="99"/>
    <w:semiHidden/>
    <w:unhideWhenUsed/>
    <w:pPr>
      <w:spacing w:after="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cs-CZ"/>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0108">
      <w:bodyDiv w:val="1"/>
      <w:marLeft w:val="0"/>
      <w:marRight w:val="0"/>
      <w:marTop w:val="0"/>
      <w:marBottom w:val="0"/>
      <w:divBdr>
        <w:top w:val="none" w:sz="0" w:space="0" w:color="auto"/>
        <w:left w:val="none" w:sz="0" w:space="0" w:color="auto"/>
        <w:bottom w:val="none" w:sz="0" w:space="0" w:color="auto"/>
        <w:right w:val="none" w:sz="0" w:space="0" w:color="auto"/>
      </w:divBdr>
    </w:div>
    <w:div w:id="750002446">
      <w:bodyDiv w:val="1"/>
      <w:marLeft w:val="0"/>
      <w:marRight w:val="0"/>
      <w:marTop w:val="0"/>
      <w:marBottom w:val="0"/>
      <w:divBdr>
        <w:top w:val="none" w:sz="0" w:space="0" w:color="auto"/>
        <w:left w:val="none" w:sz="0" w:space="0" w:color="auto"/>
        <w:bottom w:val="none" w:sz="0" w:space="0" w:color="auto"/>
        <w:right w:val="none" w:sz="0" w:space="0" w:color="auto"/>
      </w:divBdr>
    </w:div>
    <w:div w:id="16699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65CD-0E13-453E-92C1-3739B0A8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8662</Characters>
  <Application>Microsoft Office Word</Application>
  <DocSecurity>0</DocSecurity>
  <Lines>123</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2017-05-19T07:35:00Z</dcterms:created>
  <dcterms:modified xsi:type="dcterms:W3CDTF">2017-05-22T10:37:00Z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Classification">
    <vt:lpwstr> </vt:lpwstr>
  </property>
</Properties>
</file>