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9EC32AB463C40AC998C83E07FEF8862" style="width:450.35pt;height:450.3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26"/>
        </w:sectPr>
      </w:pPr>
    </w:p>
    <w:p>
      <w:pPr>
        <w:spacing w:after="0"/>
        <w:rPr>
          <w:noProof/>
          <w:sz w:val="2"/>
        </w:rPr>
      </w:pPr>
      <w:bookmarkStart w:id="1" w:name="_GoBack"/>
      <w:bookmarkEnd w:id="1"/>
    </w:p>
    <w:tbl>
      <w:tblPr>
        <w:tblW w:w="1018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after="0"/>
              <w:jc w:val="center"/>
              <w:rPr>
                <w:rFonts w:ascii="Tahoma" w:hAnsi="Tahoma" w:cs="Tahoma"/>
                <w:b/>
                <w:noProof/>
              </w:rPr>
            </w:pP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noProof/>
              </w:rPr>
              <w:br w:type="page"/>
            </w:r>
            <w:r>
              <w:rPr>
                <w:rFonts w:ascii="Tahoma" w:hAnsi="Tahoma"/>
                <w:b/>
                <w:noProof/>
              </w:rPr>
              <w:t>Súhrnný prehľad</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cPr>
          <w:p>
            <w:pPr>
              <w:spacing w:after="0"/>
              <w:rPr>
                <w:rFonts w:ascii="Tahoma" w:hAnsi="Tahoma" w:cs="Tahoma"/>
                <w:noProof/>
                <w:sz w:val="20"/>
              </w:rPr>
            </w:pPr>
            <w:r>
              <w:rPr>
                <w:rFonts w:ascii="Tahoma" w:hAnsi="Tahoma"/>
                <w:noProof/>
                <w:color w:val="FFFFFF"/>
                <w:sz w:val="20"/>
              </w:rPr>
              <w:t>Posúdenie vplyvu týkajúce sa možných zmien nariadenia Európskeho parlamentu a Rady (EÚ) č. 648/2012 zo 4. júla 2012 o mimoburzových derivátoch, centrálnych protistranách a archívoch obchodných údajov</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A. Potreba konať</w:t>
            </w:r>
          </w:p>
        </w:tc>
      </w:tr>
      <w:tr>
        <w:tc>
          <w:tcPr>
            <w:tcW w:w="10188" w:type="dxa"/>
            <w:tcBorders>
              <w:bottom w:val="single" w:sz="4" w:space="0" w:color="auto"/>
            </w:tcBorders>
            <w:shd w:val="clear" w:color="auto" w:fill="E0E0E0"/>
          </w:tcPr>
          <w:p>
            <w:pPr>
              <w:spacing w:after="0"/>
              <w:rPr>
                <w:rFonts w:ascii="Tahoma" w:hAnsi="Tahoma" w:cs="Tahoma"/>
                <w:noProof/>
                <w:sz w:val="20"/>
              </w:rPr>
            </w:pPr>
            <w:r>
              <w:rPr>
                <w:rFonts w:ascii="Tahoma" w:hAnsi="Tahoma"/>
                <w:b/>
                <w:noProof/>
                <w:sz w:val="20"/>
              </w:rPr>
              <w:t xml:space="preserve">Prečo? Aký problém sa rieši? </w:t>
            </w:r>
          </w:p>
        </w:tc>
      </w:tr>
      <w:tr>
        <w:tc>
          <w:tcPr>
            <w:tcW w:w="10188" w:type="dxa"/>
            <w:tcBorders>
              <w:bottom w:val="single" w:sz="4" w:space="0" w:color="auto"/>
            </w:tcBorders>
            <w:shd w:val="clear" w:color="auto" w:fill="auto"/>
          </w:tcPr>
          <w:p>
            <w:pPr>
              <w:spacing w:after="120"/>
              <w:rPr>
                <w:rFonts w:asciiTheme="minorBidi" w:hAnsiTheme="minorBidi" w:cstheme="minorBidi"/>
                <w:noProof/>
                <w:sz w:val="20"/>
                <w:highlight w:val="yellow"/>
              </w:rPr>
            </w:pPr>
            <w:r>
              <w:rPr>
                <w:rFonts w:asciiTheme="minorBidi" w:hAnsiTheme="minorBidi" w:cstheme="minorBidi"/>
                <w:noProof/>
                <w:sz w:val="20"/>
              </w:rPr>
              <w:t>Nariadenie Európskeho parlamentu a Rady (EÚ) č. 648/2012 zo 4. júla 2012 o mimoburzových derivátoch, centrálnych protistranách a archívoch obchodných údajov („nariadenie EMIR“) reagovalo na záväzok, ktorý vedúci predstavitelia G20 prijali v septembri 2009, a to zaviesť na globálnom základe určité požiadavky na zmluvy o mimoburzových derivátoch. Nariadením EMIR sa sleduje cieľ spočívajúci v znížení systémového rizika prostredníctvom zvýšenia transparentnosti trhu s mimoburzovými derivátmi a zníženia kreditného rizika protistrany a prevádzkového rizika súvisiacich s mimoburzovými derivátmi. Niektoré požiadavky, ktoré sa na tento účel zaviedli, sa začali uplatňovať, zatiaľ čo iné ešte nenadobudli účinnosť. Z monitorovania trhu, ktoré vykonala Komisia, a informácií získaných od zainteresovaných strán a orgánov a úradov EÚ vyplynula široká podpora celkových cieľov nariadenia EMIR, zároveň sa ale ukázali aj viaceré záležitosti, ktoré neviedli k najúčinnejšiemu a najefektívnejšiemu plneniu cieľov nariadenia EMIR. Tieto záležitosti sa týkajú najmä i) neprimeraných nákladov na dodržiavanie predpisov, ktoré v mnohých prípadoch prevažujú nad prudenciálnymi prínosmi, ii) nedostatočnej transparentnosti pozícií a expozícií súvisiacich s mimoburzovými derivátmi a iii) nedostatočného prístupu niektorých protistrán k zúčtovaniu.</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Čo sa od tejto iniciatívy očakáva?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Predpokladané možnosti sa pri súčasnom zachovaní rámca stanoveného nariadením EMIR zameriavajú na to, aby bolo uplatňovanie nariadenia EMIR účinnejšie a efektívnejšie na základe zvýšenia primeranosti pravidiel, zvýšenia transparentnosti pozícií a expozícií súvisiacich s mimoburzovými derivátmi a zníženia prekážok prístupu k zúčtovaniu. Na tento účel sa zvažuje a posudzuje niekoľko cielených úprav nariadenia EMIR s ohľadom na hlavný cieľ nariadenia EMIR, ktorým je ochrana finančnej stability.</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Aká je pridaná hodnota opatrení na úrovni EÚ?</w:t>
            </w:r>
            <w:r>
              <w:rPr>
                <w:rFonts w:ascii="Tahoma" w:hAnsi="Tahoma"/>
                <w:noProof/>
                <w:sz w:val="20"/>
              </w:rPr>
              <w:t xml:space="preserve">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Nariadenie EMIR je záväzné v celom rozsahu a priamo uplatniteľné vo všetkých členských štátoch. Cielené úpravy existujúcich ustanovení nariadenia EMIR, ktoré predpokladá táto iniciatíva, možno vykonať len na úrovni EÚ na základe článku 114 Zmluvy o fungovaní Európskej únie.</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t>B. Riešenia</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Aké legislatívne a nelegislatívne možnosti politiky sa zvažovali?</w:t>
            </w:r>
            <w:r>
              <w:rPr>
                <w:rFonts w:ascii="Tahoma" w:hAnsi="Tahoma"/>
                <w:noProof/>
                <w:sz w:val="20"/>
              </w:rPr>
              <w:t xml:space="preserve"> </w:t>
            </w:r>
            <w:r>
              <w:rPr>
                <w:rFonts w:ascii="Tahoma" w:hAnsi="Tahoma"/>
                <w:b/>
                <w:noProof/>
                <w:sz w:val="20"/>
              </w:rPr>
              <w:t xml:space="preserve">Je niektorá z možností uprednostňovaná? Prečo? </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Táto iniciatíva pozostáva z preskúmania existujúceho nariadenia EMIR. Z tohto dôvodu sa zvažované možnosti týkajú cielených úprav konkrétnych (legislatívnych) ustanovení. Na dosiahnutie želaných cieľov sa identifikovalo niekoľko uprednostňovaných možností politiky:</w:t>
            </w:r>
          </w:p>
          <w:p>
            <w:pPr>
              <w:pStyle w:val="ListBullet"/>
              <w:numPr>
                <w:ilvl w:val="0"/>
                <w:numId w:val="91"/>
              </w:numPr>
              <w:spacing w:after="0"/>
              <w:rPr>
                <w:rFonts w:ascii="Arial" w:hAnsi="Arial" w:cs="Arial"/>
                <w:noProof/>
                <w:sz w:val="20"/>
              </w:rPr>
            </w:pPr>
            <w:r>
              <w:rPr>
                <w:rFonts w:ascii="Arial" w:hAnsi="Arial"/>
                <w:noProof/>
                <w:sz w:val="20"/>
              </w:rPr>
              <w:t>stanoviť pre systémy dôchodkového zabezpečenia novú prechodnú výnimku zo zúčtovacej povinnosti;</w:t>
            </w:r>
          </w:p>
          <w:p>
            <w:pPr>
              <w:numPr>
                <w:ilvl w:val="0"/>
                <w:numId w:val="91"/>
              </w:numPr>
              <w:spacing w:after="0"/>
              <w:rPr>
                <w:rFonts w:ascii="Arial" w:hAnsi="Arial" w:cs="Arial"/>
                <w:noProof/>
                <w:sz w:val="20"/>
              </w:rPr>
            </w:pPr>
            <w:r>
              <w:rPr>
                <w:rFonts w:ascii="Arial" w:hAnsi="Arial"/>
                <w:noProof/>
                <w:sz w:val="20"/>
              </w:rPr>
              <w:t>obmedziť rozsah zúčtovacej povinnosti pre nefinančné protistrany;</w:t>
            </w:r>
          </w:p>
          <w:p>
            <w:pPr>
              <w:numPr>
                <w:ilvl w:val="0"/>
                <w:numId w:val="91"/>
              </w:numPr>
              <w:spacing w:after="0"/>
              <w:rPr>
                <w:rFonts w:ascii="Arial" w:hAnsi="Arial" w:cs="Arial"/>
                <w:noProof/>
                <w:sz w:val="20"/>
              </w:rPr>
            </w:pPr>
            <w:r>
              <w:rPr>
                <w:rFonts w:ascii="Arial" w:hAnsi="Arial"/>
                <w:noProof/>
                <w:sz w:val="20"/>
              </w:rPr>
              <w:t>vyňať veľmi malé finančné protistrany z pôsobnosti zúčtovacej povinnosti;</w:t>
            </w:r>
          </w:p>
          <w:p>
            <w:pPr>
              <w:numPr>
                <w:ilvl w:val="0"/>
                <w:numId w:val="91"/>
              </w:numPr>
              <w:spacing w:after="0"/>
              <w:rPr>
                <w:rFonts w:ascii="Arial" w:hAnsi="Arial" w:cs="Arial"/>
                <w:noProof/>
                <w:sz w:val="20"/>
              </w:rPr>
            </w:pPr>
            <w:r>
              <w:rPr>
                <w:rFonts w:ascii="Arial" w:hAnsi="Arial"/>
                <w:noProof/>
                <w:sz w:val="20"/>
              </w:rPr>
              <w:t>zrušiť povinnosť ohlasovať historické údaje (</w:t>
            </w:r>
            <w:r>
              <w:rPr>
                <w:rFonts w:ascii="Arial" w:hAnsi="Arial"/>
                <w:i/>
                <w:noProof/>
                <w:sz w:val="20"/>
              </w:rPr>
              <w:t>backloading</w:t>
            </w:r>
            <w:r>
              <w:rPr>
                <w:rFonts w:ascii="Arial" w:hAnsi="Arial"/>
                <w:noProof/>
                <w:sz w:val="20"/>
              </w:rPr>
              <w:t>);</w:t>
            </w:r>
          </w:p>
          <w:p>
            <w:pPr>
              <w:numPr>
                <w:ilvl w:val="0"/>
                <w:numId w:val="91"/>
              </w:numPr>
              <w:spacing w:after="0"/>
              <w:rPr>
                <w:rFonts w:ascii="Arial" w:hAnsi="Arial" w:cs="Arial"/>
                <w:noProof/>
                <w:sz w:val="20"/>
              </w:rPr>
            </w:pPr>
            <w:r>
              <w:rPr>
                <w:rFonts w:ascii="Arial" w:hAnsi="Arial"/>
                <w:noProof/>
                <w:sz w:val="20"/>
              </w:rPr>
              <w:t>oslobodiť nefinančné protistrany od povinnosti ohlasovať vnútroskupinové transakcie;</w:t>
            </w:r>
          </w:p>
          <w:p>
            <w:pPr>
              <w:numPr>
                <w:ilvl w:val="0"/>
                <w:numId w:val="91"/>
              </w:numPr>
              <w:spacing w:after="0"/>
              <w:rPr>
                <w:rFonts w:ascii="Arial" w:hAnsi="Arial" w:cs="Arial"/>
                <w:noProof/>
                <w:sz w:val="20"/>
              </w:rPr>
            </w:pPr>
            <w:r>
              <w:rPr>
                <w:rFonts w:ascii="Arial" w:hAnsi="Arial"/>
                <w:noProof/>
                <w:sz w:val="20"/>
              </w:rPr>
              <w:t>zaviesť pri transakciách s derivátmi obchodovanými na burze jednostranné ohlasovanie zo strany centrálnych protistrán;</w:t>
            </w:r>
          </w:p>
          <w:p>
            <w:pPr>
              <w:numPr>
                <w:ilvl w:val="0"/>
                <w:numId w:val="91"/>
              </w:numPr>
              <w:spacing w:after="0"/>
              <w:rPr>
                <w:rFonts w:ascii="Arial" w:hAnsi="Arial" w:cs="Arial"/>
                <w:noProof/>
                <w:sz w:val="20"/>
              </w:rPr>
            </w:pPr>
            <w:r>
              <w:rPr>
                <w:rFonts w:ascii="Arial" w:hAnsi="Arial"/>
                <w:noProof/>
                <w:sz w:val="20"/>
              </w:rPr>
              <w:t>ustanoviť v prípade iných transakcií, ako sú transakcie s derivátmi obchodovanými na burze, aby ohlasovanie obchodu, ktorý bol uzavretý s malou nefinančnou protistranou, vykonala finančná protistrana;</w:t>
            </w:r>
          </w:p>
          <w:p>
            <w:pPr>
              <w:numPr>
                <w:ilvl w:val="0"/>
                <w:numId w:val="91"/>
              </w:numPr>
              <w:spacing w:after="0"/>
              <w:rPr>
                <w:rFonts w:ascii="Arial" w:hAnsi="Arial" w:cs="Arial"/>
                <w:noProof/>
                <w:sz w:val="20"/>
              </w:rPr>
            </w:pPr>
            <w:r>
              <w:rPr>
                <w:rFonts w:ascii="Arial" w:hAnsi="Arial"/>
                <w:noProof/>
                <w:sz w:val="20"/>
              </w:rPr>
              <w:t>ďalej harmonizovať pravidlá a postupy ohlasovania a požadovať od archívov obchodných údajov, aby zabezpečili kvalitu údajov;</w:t>
            </w:r>
          </w:p>
          <w:p>
            <w:pPr>
              <w:numPr>
                <w:ilvl w:val="0"/>
                <w:numId w:val="91"/>
              </w:numPr>
              <w:spacing w:after="0"/>
              <w:rPr>
                <w:rFonts w:ascii="Arial" w:hAnsi="Arial" w:cs="Arial"/>
                <w:noProof/>
                <w:sz w:val="20"/>
              </w:rPr>
            </w:pPr>
            <w:r>
              <w:rPr>
                <w:rFonts w:ascii="Arial" w:hAnsi="Arial"/>
                <w:noProof/>
                <w:sz w:val="20"/>
              </w:rPr>
              <w:t>zvýšiť horné limity základných súm pokút za porušenia požiadaviek, ktoré sú ustanovené v nariadení EMIR, spôsobené archívmi obchodných údajov;</w:t>
            </w:r>
          </w:p>
          <w:p>
            <w:pPr>
              <w:numPr>
                <w:ilvl w:val="0"/>
                <w:numId w:val="91"/>
              </w:numPr>
              <w:spacing w:after="0"/>
              <w:rPr>
                <w:rFonts w:ascii="Arial" w:hAnsi="Arial" w:cs="Arial"/>
                <w:noProof/>
                <w:sz w:val="20"/>
              </w:rPr>
            </w:pPr>
            <w:r>
              <w:rPr>
                <w:rFonts w:ascii="Arial" w:hAnsi="Arial"/>
                <w:noProof/>
                <w:sz w:val="20"/>
              </w:rPr>
              <w:t>objasniť vzájomný vzťah medzi nástrojmi nariadenia EMIR na riadenie zlyhania a vnútroštátnymi právnymi predpismi o konkurznom konaní a zaviesť zásadu poskytovať zúčtovacie služby za spravodlivých, primeraných a nediskriminačných obchodných podmienok („FRAND“) v nariadení EMIR.</w:t>
            </w:r>
          </w:p>
        </w:tc>
      </w:tr>
      <w:tr>
        <w:tc>
          <w:tcPr>
            <w:tcW w:w="10188" w:type="dxa"/>
            <w:shd w:val="clear" w:color="auto" w:fill="CCCCCC"/>
          </w:tcPr>
          <w:p>
            <w:pPr>
              <w:spacing w:after="0"/>
              <w:rPr>
                <w:rFonts w:ascii="Tahoma" w:hAnsi="Tahoma" w:cs="Tahoma"/>
                <w:noProof/>
                <w:sz w:val="20"/>
              </w:rPr>
            </w:pPr>
            <w:r>
              <w:rPr>
                <w:rFonts w:ascii="Tahoma" w:hAnsi="Tahoma"/>
                <w:b/>
                <w:noProof/>
                <w:sz w:val="20"/>
              </w:rPr>
              <w:t xml:space="preserve">Kto podporuje ktorú možnosť? </w:t>
            </w:r>
          </w:p>
        </w:tc>
      </w:tr>
      <w:tr>
        <w:tc>
          <w:tcPr>
            <w:tcW w:w="10188" w:type="dxa"/>
            <w:shd w:val="clear" w:color="auto" w:fill="auto"/>
          </w:tcPr>
          <w:p>
            <w:pPr>
              <w:spacing w:after="0"/>
              <w:rPr>
                <w:rFonts w:ascii="Arial" w:hAnsi="Arial" w:cs="Arial"/>
                <w:noProof/>
                <w:sz w:val="20"/>
              </w:rPr>
            </w:pPr>
            <w:r>
              <w:rPr>
                <w:rFonts w:ascii="Arial" w:hAnsi="Arial"/>
                <w:noProof/>
                <w:sz w:val="20"/>
              </w:rPr>
              <w:t xml:space="preserve">Spätná väzba od zainteresovaných strán o fungovaní nariadenia EMIR bola získaná prostredníctvom dvoch verejných konzultácií, ktoré vykonala Komisia. V rámci konzultácie bolo vznesených niekoľko konkrétnych otázok, ale nezdôraznili sa žiadne konkrétne možnosti politiky, ktoré by sa mohli zvážiť. Všetky skupiny zainteresovaných strán vyjadrili zvýšeniu primeranosti pravidiel širokú podporu. Veľa pozornosti bolo venovanej ohlasovaniu obchodov. Respondenti, najmä podniky a odvetvové združenia, žiadali o zníženie požiadaviek na ohlasovanie v prípade nefinančných protistrán. Veľký počet respondentov z rôznych kategórií </w:t>
            </w:r>
            <w:r>
              <w:rPr>
                <w:rFonts w:ascii="Arial" w:hAnsi="Arial"/>
                <w:noProof/>
                <w:sz w:val="20"/>
              </w:rPr>
              <w:lastRenderedPageBreak/>
              <w:t>zainteresovaných strán sa tiež domnieva, že obojstranné ohlasovanie by sa malo nahradiť jednostranným ohlasovaním – táto možnosť sa posúdila, ale zamietla v tomto posúdení vplyvu. Respondenti takisto poukázali na potrebu zaviesť výnimky zo zúčtovacích a maržových požiadaviek pre protistrany, ktoré nie sú systémovo dôležité.</w:t>
            </w:r>
          </w:p>
          <w:p>
            <w:pPr>
              <w:spacing w:after="0"/>
              <w:rPr>
                <w:rFonts w:ascii="Arial" w:hAnsi="Arial" w:cs="Arial"/>
                <w:noProof/>
                <w:sz w:val="20"/>
                <w:highlight w:val="yellow"/>
              </w:rPr>
            </w:pPr>
            <w:r>
              <w:rPr>
                <w:rFonts w:ascii="Arial" w:hAnsi="Arial"/>
                <w:noProof/>
                <w:sz w:val="20"/>
              </w:rPr>
              <w:t>Diskusie s odborníkmi z členských štátov, ktoré sa konali v neskoršom štádiu, zahŕňali konkrétne zvažované možnosti politiky. Väčšina odborníkov z členských štátov sa vyjadrila v prospech uprednostňovaných možností ponechaných v tomto posúdení vplyvu.</w:t>
            </w:r>
          </w:p>
        </w:tc>
      </w:tr>
      <w:tr>
        <w:tc>
          <w:tcPr>
            <w:tcW w:w="10188" w:type="dxa"/>
            <w:tcBorders>
              <w:bottom w:val="single" w:sz="4" w:space="0" w:color="auto"/>
            </w:tcBorders>
            <w:shd w:val="clear" w:color="auto" w:fill="CCCCCC"/>
          </w:tcPr>
          <w:p>
            <w:pPr>
              <w:spacing w:after="0"/>
              <w:jc w:val="center"/>
              <w:rPr>
                <w:rFonts w:ascii="Tahoma" w:hAnsi="Tahoma" w:cs="Tahoma"/>
                <w:b/>
                <w:noProof/>
              </w:rPr>
            </w:pPr>
            <w:r>
              <w:rPr>
                <w:rFonts w:ascii="Tahoma" w:hAnsi="Tahoma"/>
                <w:b/>
                <w:noProof/>
              </w:rPr>
              <w:lastRenderedPageBreak/>
              <w:t>C. Vplyvy uprednostňovanej možnosti</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Aké sú prínosy</w:t>
            </w:r>
            <w:r>
              <w:rPr>
                <w:rFonts w:ascii="Tahoma" w:hAnsi="Tahoma"/>
                <w:noProof/>
                <w:sz w:val="20"/>
              </w:rPr>
              <w:t xml:space="preserve"> </w:t>
            </w:r>
            <w:r>
              <w:rPr>
                <w:rFonts w:ascii="Tahoma" w:hAnsi="Tahoma"/>
                <w:b/>
                <w:noProof/>
                <w:sz w:val="20"/>
              </w:rPr>
              <w:t>uprednostňovanej možnosti (ak nejaké existujú, inak hlavné)?</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Po prvé, navrhované úpravy povedú k zníženiu nákladov na dodržiavanie predpisov a k zníženiu zaťaženia pre účastníkov trhu, a to bez nepriaznivého vplyvu na finančnú stabilitu. Z väčšej primeranosti pri uplatňovaní zúčtovacích pravidiel budú mať prospech nefinančné protistrany, pretože plánovanými opatreniami sa zabezpečí lepšia úroveň rovnakých podmienok, keďže v dôsledku vyššieho prahu sa budú požiadavky na zúčtovanie vzťahovať len na najväčšie nefinančné protistrany. Nové nastavenie kritérií na určenie subjektov ako malých finančných protistrán, na ktoré by sa vzťahovala zúčtovacia povinnosť, umožní znížiť zaťaženie týchto (veľmi) malých finančných protistrán, v prípade ktorých centrálne zúčtovanie nie je ekonomicky prijateľné.</w:t>
            </w:r>
            <w:r>
              <w:rPr>
                <w:noProof/>
              </w:rPr>
              <w:t xml:space="preserve"> </w:t>
            </w:r>
            <w:r>
              <w:rPr>
                <w:rFonts w:ascii="Arial" w:hAnsi="Arial"/>
                <w:noProof/>
                <w:sz w:val="20"/>
              </w:rPr>
              <w:t>Systémy dôchodkového zabezpečenia budú mať prospech z novej prechodnej výnimky zo zúčtovacej povinnosti z toho dôvodu, že sa doteraz nedospelo k žiadnemu uskutočniteľnému technickému riešeniu zúčtovania. Všetky protistrany budú mať prospech zo zníženia určitých požiadaviek na ohlasovanie, ako je napríklad zrušenie povinnosti ohlasovať historické údaje (</w:t>
            </w:r>
            <w:r>
              <w:rPr>
                <w:rFonts w:ascii="Arial" w:hAnsi="Arial"/>
                <w:i/>
                <w:noProof/>
                <w:sz w:val="20"/>
              </w:rPr>
              <w:t>backloading</w:t>
            </w:r>
            <w:r>
              <w:rPr>
                <w:rFonts w:ascii="Arial" w:hAnsi="Arial"/>
                <w:noProof/>
                <w:sz w:val="20"/>
              </w:rPr>
              <w:t xml:space="preserve">). Po druhé, väčšia transparentnosť pozícií a expozícií súvisiacich s mimoburzovými derivátmi umožní orgánom identifikovať akékoľvek potenciálne problémy už v skoršej fáze a prijať včasné opatrenia na riešenie akýchkoľvek rizík, čím sa podporí odolnosť finančných trhov. Po tretie, zlepšený prístup k zúčtovaniu umožní ďalším účastníkom trhu riadenie a hedžing ich rizík a znížením pravdepodobnosti výskytu náhlych šokov a narušení činnosti prispeje k stálejšiemu rozvoju podnikania a k istote zamestnania ich zamestnancov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Aké sú náklady uprednostňovanej možnosti (ak nejaké existujú, inak hlavné)?</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Celkovo by nemali existovať žiadne podstatné sociálne a hospodárske náklady. Plánované zjednodušenie a zvýšená primeranosť pravidiel ohlasovania umožnia dosiahnuť ciele nariadenia EMIR a výrazne znížiť celkové administratívne zaťaženie, ktoré znášajú protistrany podliehajúce požiadavkám na ohlasovanie podľa nariadenia EMIR. V prípadoch, pre ktoré sa uvažuje o prenose ohlasovacej povinnosti, sú subjekty, ktoré by mali v budúcnosti na seba prevziať ohlasovaciu povinnosť, lepšie vybavené na plnenie tejto úlohy, pričom relevantné celkové agregované náklady by sa mali z dôvodu úspor z rozsahu znížiť. Ďalšie zosúladenie pravidiel a postupov ohlasovania môže zahŕňať nanajvýš určité obmedzené dodatočné administratívne náklady v počiatočných štádiách implementácie, pričom takéto zosúladenie by ale malo v strednodobom horizonte viesť k väčšej efektívnosti a zníženiu celkového zaťaženia. Podobne sa v súvislosti s požiadavkou na dodržiavanie spravodlivých, primeraných a nediskriminačných obchodných podmienok poskytovania zúčtovacích služieb, ktoré sú prínosné pre mnohé protistrany, očakávajú len obmedzené dodatočné administratívne náklady.</w:t>
            </w:r>
          </w:p>
          <w:p>
            <w:pPr>
              <w:spacing w:after="0"/>
              <w:rPr>
                <w:rFonts w:ascii="Arial" w:hAnsi="Arial" w:cs="Arial"/>
                <w:noProof/>
                <w:sz w:val="20"/>
              </w:rPr>
            </w:pPr>
            <w:r>
              <w:rPr>
                <w:rFonts w:ascii="Arial" w:hAnsi="Arial"/>
                <w:noProof/>
                <w:sz w:val="20"/>
              </w:rPr>
              <w:t xml:space="preserve">Kombinovaným výsledkom všetkých uprednostňovaných možností je výrazné zníženie nákladov. Odhady potenciálnych úspor vypočítaných výlučne na účely tohto posúdenia vplyvu a s prihliadnutím na všetky základné predpoklady uvedené v prílohe 8 sa pohybujú v rozmedzí od 2,3 miliardy EUR do 6,9 miliardy EUR vo fixných (jednorazových) nákladoch a od 1,1 miliardy EUR do 2,66 miliardy EUR v prevádzkových nákladoch. Spoľahlivosť týchto odhadovaných znížení nákladov ovplyvňujú viaceré obmedzenia. Po prvé, tieto odhady sú platné iba teraz. Požiadavky, ktoré sa budú uplatňovať v neskoršom štádiu, ako napríklad postupné uplatňovanie maržových požiadaviek, neboli v týchto výpočtoch zohľadnené. Po druhé, výpočty vychádzajú z obmedzeného množstva údajov, ktoré sú verejne dostupné, ako aj z nepodložených trhových informácií, ktoré nemusia presne zachytávať rôznorodosť a osobitosť dotknutých protistrán. Po tretie, výpočty vychádzajú z predpokladu, že zníženie nákladov sa úplne prenesie na konečných používateľov. Po štvrté, náklady na minimálnu úpravu vyplývajúce napríklad zo zavedenia podmienok FRAND (očakávaný vplyv na zúčtovacích členov) a z opatrení na zvýšenie kvality údajov (očakávaný vplyv na archívy obchodných údajov) neboli do tohto výpočtu zahrnuté. </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 xml:space="preserve">Ako to bude vplývať na podniky, MSP a mikropodniky? </w:t>
            </w:r>
          </w:p>
        </w:tc>
      </w:tr>
      <w:tr>
        <w:tc>
          <w:tcPr>
            <w:tcW w:w="10188" w:type="dxa"/>
            <w:tcBorders>
              <w:bottom w:val="single" w:sz="4" w:space="0" w:color="auto"/>
            </w:tcBorders>
            <w:shd w:val="clear" w:color="auto" w:fill="auto"/>
          </w:tcPr>
          <w:p>
            <w:pPr>
              <w:spacing w:after="0"/>
              <w:rPr>
                <w:rFonts w:ascii="Arial" w:hAnsi="Arial" w:cs="Arial"/>
                <w:i/>
                <w:noProof/>
                <w:sz w:val="20"/>
              </w:rPr>
            </w:pPr>
            <w:r>
              <w:rPr>
                <w:rFonts w:ascii="Arial" w:hAnsi="Arial"/>
                <w:noProof/>
                <w:sz w:val="20"/>
              </w:rPr>
              <w:t xml:space="preserve">Podniky, MSP a mikropodniky budú mať predovšetkým prospech z možností zameraných na i) zníženie regulačných požiadaviek v prípadoch, v ktorých sa neprimerané náklady na dodržiavanie predpisov javia ako prevažujúce nad prudenciálnymi prínosmi a ii) zlepšenie prístupu k zúčtovaniu. Nefinančné protistrany budú mať prospech z úpravy rozsahu pôsobnosti zúčtovacej povinnosti. Zjednodušenie požiadaviek na ohlasovanie bude prínosom pre všetky protistrany vrátane MSP. A napokon, zavedením nových zásad FRAND sa pre mnohé protistrany uľahčí získanie prístupu k zúčtovaniu. </w:t>
            </w:r>
          </w:p>
        </w:tc>
      </w:tr>
      <w:tr>
        <w:tc>
          <w:tcPr>
            <w:tcW w:w="10188" w:type="dxa"/>
            <w:tcBorders>
              <w:bottom w:val="single" w:sz="4" w:space="0" w:color="auto"/>
            </w:tcBorders>
            <w:shd w:val="clear" w:color="auto" w:fill="E6E6E6"/>
          </w:tcPr>
          <w:p>
            <w:pPr>
              <w:spacing w:after="0"/>
              <w:rPr>
                <w:rFonts w:ascii="Tahoma" w:hAnsi="Tahoma" w:cs="Tahoma"/>
                <w:b/>
                <w:i/>
                <w:noProof/>
                <w:sz w:val="20"/>
              </w:rPr>
            </w:pPr>
            <w:r>
              <w:rPr>
                <w:rFonts w:ascii="Tahoma" w:hAnsi="Tahoma"/>
                <w:b/>
                <w:noProof/>
                <w:sz w:val="20"/>
              </w:rPr>
              <w:t>Očakáva sa významný vplyv</w:t>
            </w:r>
            <w:r>
              <w:rPr>
                <w:rFonts w:ascii="Tahoma" w:hAnsi="Tahoma"/>
                <w:noProof/>
                <w:sz w:val="20"/>
              </w:rPr>
              <w:t xml:space="preserve"> </w:t>
            </w:r>
            <w:r>
              <w:rPr>
                <w:rFonts w:ascii="Tahoma" w:hAnsi="Tahoma"/>
                <w:b/>
                <w:noProof/>
                <w:sz w:val="20"/>
              </w:rPr>
              <w:t>na štátne rozpočty a verejnú správu?</w:t>
            </w:r>
            <w:r>
              <w:rPr>
                <w:rFonts w:ascii="Tahoma" w:hAnsi="Tahoma"/>
                <w:noProof/>
                <w:sz w:val="20"/>
              </w:rPr>
              <w:t xml:space="preserve"> </w:t>
            </w:r>
          </w:p>
        </w:tc>
      </w:tr>
      <w:tr>
        <w:tc>
          <w:tcPr>
            <w:tcW w:w="10188" w:type="dxa"/>
            <w:shd w:val="clear" w:color="auto" w:fill="auto"/>
          </w:tcPr>
          <w:p>
            <w:pPr>
              <w:spacing w:after="0"/>
              <w:rPr>
                <w:rFonts w:ascii="Arial" w:hAnsi="Arial" w:cs="Arial"/>
                <w:noProof/>
                <w:sz w:val="20"/>
              </w:rPr>
            </w:pPr>
            <w:r>
              <w:rPr>
                <w:rFonts w:ascii="Arial" w:hAnsi="Arial"/>
                <w:noProof/>
                <w:sz w:val="20"/>
              </w:rPr>
              <w:t>Nie. Zvažované zmeny by nemali viesť k relevantným nákladom pre štátne rozpočty a verejnú správu.</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Očakávajú sa iné významné vplyvy?</w:t>
            </w:r>
          </w:p>
        </w:tc>
      </w:tr>
      <w:tr>
        <w:tc>
          <w:tcPr>
            <w:tcW w:w="10188" w:type="dxa"/>
            <w:tcBorders>
              <w:bottom w:val="single" w:sz="4" w:space="0" w:color="auto"/>
            </w:tcBorders>
            <w:shd w:val="clear" w:color="auto" w:fill="auto"/>
          </w:tcPr>
          <w:p>
            <w:pPr>
              <w:spacing w:after="0"/>
              <w:rPr>
                <w:rFonts w:ascii="Arial" w:hAnsi="Arial" w:cs="Arial"/>
                <w:noProof/>
                <w:sz w:val="20"/>
              </w:rPr>
            </w:pPr>
            <w:r>
              <w:rPr>
                <w:rFonts w:ascii="Arial" w:hAnsi="Arial"/>
                <w:noProof/>
                <w:sz w:val="20"/>
              </w:rPr>
              <w:t>Nie.</w:t>
            </w:r>
          </w:p>
        </w:tc>
      </w:tr>
      <w:tr>
        <w:tc>
          <w:tcPr>
            <w:tcW w:w="10188" w:type="dxa"/>
            <w:tcBorders>
              <w:bottom w:val="single" w:sz="4" w:space="0" w:color="auto"/>
            </w:tcBorders>
            <w:shd w:val="clear" w:color="auto" w:fill="C0C0C0"/>
          </w:tcPr>
          <w:p>
            <w:pPr>
              <w:spacing w:after="0"/>
              <w:jc w:val="center"/>
              <w:rPr>
                <w:rFonts w:ascii="Tahoma" w:hAnsi="Tahoma" w:cs="Tahoma"/>
                <w:b/>
                <w:noProof/>
              </w:rPr>
            </w:pPr>
            <w:r>
              <w:rPr>
                <w:rFonts w:ascii="Tahoma" w:hAnsi="Tahoma"/>
                <w:b/>
                <w:noProof/>
              </w:rPr>
              <w:lastRenderedPageBreak/>
              <w:t>D. Nadväzné opatrenia</w:t>
            </w:r>
          </w:p>
        </w:tc>
      </w:tr>
      <w:tr>
        <w:tc>
          <w:tcPr>
            <w:tcW w:w="10188" w:type="dxa"/>
            <w:tcBorders>
              <w:bottom w:val="single" w:sz="4" w:space="0" w:color="auto"/>
            </w:tcBorders>
            <w:shd w:val="clear" w:color="auto" w:fill="E6E6E6"/>
          </w:tcPr>
          <w:p>
            <w:pPr>
              <w:spacing w:after="0"/>
              <w:rPr>
                <w:rFonts w:ascii="Tahoma" w:hAnsi="Tahoma" w:cs="Tahoma"/>
                <w:noProof/>
                <w:sz w:val="20"/>
              </w:rPr>
            </w:pPr>
            <w:r>
              <w:rPr>
                <w:rFonts w:ascii="Tahoma" w:hAnsi="Tahoma"/>
                <w:b/>
                <w:noProof/>
                <w:sz w:val="20"/>
              </w:rPr>
              <w:t>Kedy sa táto politika preskúma?</w:t>
            </w:r>
          </w:p>
        </w:tc>
      </w:tr>
      <w:tr>
        <w:tc>
          <w:tcPr>
            <w:tcW w:w="10188" w:type="dxa"/>
            <w:tcBorders>
              <w:bottom w:val="single" w:sz="4" w:space="0" w:color="auto"/>
            </w:tcBorders>
            <w:shd w:val="clear" w:color="auto" w:fill="auto"/>
          </w:tcPr>
          <w:p>
            <w:pPr>
              <w:spacing w:after="0"/>
              <w:rPr>
                <w:rFonts w:ascii="Arial" w:hAnsi="Arial" w:cs="Arial"/>
                <w:b/>
                <w:noProof/>
                <w:sz w:val="20"/>
              </w:rPr>
            </w:pPr>
            <w:r>
              <w:rPr>
                <w:rFonts w:ascii="Arial" w:hAnsi="Arial"/>
                <w:noProof/>
                <w:sz w:val="20"/>
              </w:rPr>
              <w:t>Vzhľadom na to, že požiadavky ustanovené v nariadení EMIR nadobudli účinnosť v rôznom čase a že niektoré z nich účinnosť ešte nenadobudli, malo by sa vykonať hodnotenie nariadenia EMIR v celom jeho rozsahu s osobitným dôrazom na jeho účinnosť a efektívnosť pri plnení jeho pôvodných cieľov. Toto hodnotenie by malo zahŕňať cielené zmeny, s ktorými sa uvažuje v tejto iniciatíve, a malo by sa uskutočniť najmenej 3 roky po začatí uplatňovania týchto zmien. V určitých prípadoch, najmä pokiaľ ide o systémy dôchodkového zabezpečenia, je dôležité priebežne monitorovať pokrok v dostupnosti riešení pre zúčtovanie týkajúce sa systémov dôchodkového zabezpečenia.</w:t>
            </w:r>
          </w:p>
        </w:tc>
      </w:tr>
    </w:tbl>
    <w:p>
      <w:pPr>
        <w:rPr>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MS Mincho"/>
    <w:charset w:val="8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06744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D72132"/>
    <w:multiLevelType w:val="hybridMultilevel"/>
    <w:tmpl w:val="FD0417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9094C"/>
    <w:multiLevelType w:val="hybridMultilevel"/>
    <w:tmpl w:val="C7A69FB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648C0"/>
    <w:multiLevelType w:val="hybridMultilevel"/>
    <w:tmpl w:val="727A40EE"/>
    <w:lvl w:ilvl="0" w:tplc="492A33A0">
      <w:start w:val="1"/>
      <w:numFmt w:val="decimal"/>
      <w:lvlText w:val="%1."/>
      <w:lvlJc w:val="left"/>
      <w:pPr>
        <w:ind w:left="360" w:hanging="360"/>
      </w:pPr>
    </w:lvl>
    <w:lvl w:ilvl="1" w:tplc="38FA3DF4">
      <w:start w:val="1"/>
      <w:numFmt w:val="decimal"/>
      <w:lvlText w:val="%2)"/>
      <w:lvlJc w:val="left"/>
      <w:pPr>
        <w:ind w:left="1080" w:hanging="360"/>
      </w:pPr>
      <w:rPr>
        <w:rFonts w:hint="default"/>
      </w:rPr>
    </w:lvl>
    <w:lvl w:ilvl="2" w:tplc="078A8612">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5841EF"/>
    <w:multiLevelType w:val="hybridMultilevel"/>
    <w:tmpl w:val="57F0039E"/>
    <w:lvl w:ilvl="0" w:tplc="7D4099A8">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05900B49"/>
    <w:multiLevelType w:val="hybridMultilevel"/>
    <w:tmpl w:val="540A6EAA"/>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7C7126"/>
    <w:multiLevelType w:val="hybridMultilevel"/>
    <w:tmpl w:val="2414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A01F5C"/>
    <w:multiLevelType w:val="hybridMultilevel"/>
    <w:tmpl w:val="904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580DF7"/>
    <w:multiLevelType w:val="hybridMultilevel"/>
    <w:tmpl w:val="BD4CC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B10491"/>
    <w:multiLevelType w:val="multilevel"/>
    <w:tmpl w:val="0809001F"/>
    <w:name w:val="0,109167"/>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129041EA"/>
    <w:multiLevelType w:val="hybridMultilevel"/>
    <w:tmpl w:val="2656171A"/>
    <w:lvl w:ilvl="0" w:tplc="AEF68F90">
      <w:start w:val="1"/>
      <w:numFmt w:val="bullet"/>
      <w:pStyle w:val="Bullet"/>
      <w:lvlText w:val=""/>
      <w:lvlJc w:val="left"/>
      <w:pPr>
        <w:tabs>
          <w:tab w:val="num" w:pos="1134"/>
        </w:tabs>
        <w:ind w:left="1134" w:hanging="283"/>
      </w:pPr>
      <w:rPr>
        <w:rFonts w:ascii="Symbol" w:hAnsi="Symbol" w:hint="default"/>
        <w:sz w:val="22"/>
      </w:rPr>
    </w:lvl>
    <w:lvl w:ilvl="1" w:tplc="04090003">
      <w:start w:val="1"/>
      <w:numFmt w:val="bullet"/>
      <w:pStyle w:val="IndentedHeading2"/>
      <w:lvlText w:val="o"/>
      <w:lvlJc w:val="left"/>
      <w:pPr>
        <w:tabs>
          <w:tab w:val="num" w:pos="2007"/>
        </w:tabs>
        <w:ind w:left="2007" w:hanging="360"/>
      </w:pPr>
      <w:rPr>
        <w:rFonts w:ascii="Courier New" w:hAnsi="Courier New" w:cs="Times New Roman" w:hint="default"/>
      </w:rPr>
    </w:lvl>
    <w:lvl w:ilvl="2" w:tplc="04090005">
      <w:start w:val="1"/>
      <w:numFmt w:val="bullet"/>
      <w:pStyle w:val="IndentedHeading3"/>
      <w:lvlText w:val=""/>
      <w:lvlJc w:val="left"/>
      <w:pPr>
        <w:tabs>
          <w:tab w:val="num" w:pos="2727"/>
        </w:tabs>
        <w:ind w:left="2727" w:hanging="360"/>
      </w:pPr>
      <w:rPr>
        <w:rFonts w:ascii="Wingdings" w:hAnsi="Wingdings" w:hint="default"/>
      </w:rPr>
    </w:lvl>
    <w:lvl w:ilvl="3" w:tplc="04090001">
      <w:start w:val="1"/>
      <w:numFmt w:val="bullet"/>
      <w:pStyle w:val="IndentedHeading4"/>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547533"/>
    <w:multiLevelType w:val="hybridMultilevel"/>
    <w:tmpl w:val="F05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3197E"/>
    <w:multiLevelType w:val="hybridMultilevel"/>
    <w:tmpl w:val="6B5870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734306"/>
    <w:multiLevelType w:val="multilevel"/>
    <w:tmpl w:val="20D27972"/>
    <w:lvl w:ilvl="0">
      <w:start w:val="1"/>
      <w:numFmt w:val="decimal"/>
      <w:pStyle w:val="Heading1"/>
      <w:lvlText w:val="%1."/>
      <w:lvlJc w:val="left"/>
      <w:pPr>
        <w:tabs>
          <w:tab w:val="num" w:pos="480"/>
        </w:tabs>
        <w:ind w:left="480" w:hanging="480"/>
      </w:pPr>
      <w:rPr>
        <w:rFonts w:ascii="Times New Roman Bold" w:hAnsi="Times New Roman Bold" w:hint="default"/>
        <w:b/>
        <w:i w:val="0"/>
        <w:sz w:val="24"/>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Heading3"/>
      <w:lvlText w:val=""/>
      <w:lvlJc w:val="left"/>
      <w:pPr>
        <w:tabs>
          <w:tab w:val="num" w:pos="360"/>
        </w:tabs>
        <w:ind w:left="0" w:firstLine="0"/>
      </w:pPr>
      <w:rPr>
        <w:rFonts w:hint="default"/>
      </w:rPr>
    </w:lvl>
    <w:lvl w:ilvl="3">
      <w:numFmt w:val="none"/>
      <w:pStyle w:val="Heading4"/>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C46615"/>
    <w:multiLevelType w:val="hybridMultilevel"/>
    <w:tmpl w:val="4786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A50438"/>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50111"/>
    <w:multiLevelType w:val="hybridMultilevel"/>
    <w:tmpl w:val="7A06CBF2"/>
    <w:lvl w:ilvl="0" w:tplc="0809000F">
      <w:start w:val="1"/>
      <w:numFmt w:val="decimal"/>
      <w:lvlText w:val="%1."/>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nsid w:val="21FA2835"/>
    <w:multiLevelType w:val="hybridMultilevel"/>
    <w:tmpl w:val="6CEAAE8C"/>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nsid w:val="22DD3599"/>
    <w:multiLevelType w:val="multilevel"/>
    <w:tmpl w:val="4EAA5BA6"/>
    <w:lvl w:ilvl="0">
      <w:numFmt w:val="decimal"/>
      <w:pStyle w:val="ListNumber"/>
      <w:lvlText w:val=""/>
      <w:lvlJc w:val="left"/>
    </w:lvl>
    <w:lvl w:ilvl="1">
      <w:numFmt w:val="decimal"/>
      <w:pStyle w:val="ListNumberLevel2"/>
      <w:lvlText w:val=""/>
      <w:lvlJc w:val="left"/>
    </w:lvl>
    <w:lvl w:ilvl="2">
      <w:numFmt w:val="decimal"/>
      <w:pStyle w:val="ListNumberLevel3"/>
      <w:lvlText w:val=""/>
      <w:lvlJc w:val="left"/>
    </w:lvl>
    <w:lvl w:ilvl="3">
      <w:numFmt w:val="decimal"/>
      <w:pStyle w:val="ListNumber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0D6688"/>
    <w:multiLevelType w:val="hybridMultilevel"/>
    <w:tmpl w:val="5F3E5A70"/>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282C4A6E"/>
    <w:multiLevelType w:val="hybridMultilevel"/>
    <w:tmpl w:val="31B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F76E7A"/>
    <w:multiLevelType w:val="singleLevel"/>
    <w:tmpl w:val="C74C5A32"/>
    <w:lvl w:ilvl="0">
      <w:numFmt w:val="decimal"/>
      <w:pStyle w:val="Bullet1"/>
      <w:lvlText w:val=""/>
      <w:lvlJc w:val="left"/>
    </w:lvl>
  </w:abstractNum>
  <w:abstractNum w:abstractNumId="24">
    <w:nsid w:val="2B75631B"/>
    <w:multiLevelType w:val="singleLevel"/>
    <w:tmpl w:val="A4DC141A"/>
    <w:lvl w:ilvl="0">
      <w:numFmt w:val="decimal"/>
      <w:pStyle w:val="ListBullet1"/>
      <w:lvlText w:val=""/>
      <w:lvlJc w:val="left"/>
    </w:lvl>
  </w:abstractNum>
  <w:abstractNum w:abstractNumId="25">
    <w:nsid w:val="2CAB4527"/>
    <w:multiLevelType w:val="multilevel"/>
    <w:tmpl w:val="26C24C12"/>
    <w:lvl w:ilvl="0">
      <w:numFmt w:val="decimal"/>
      <w:pStyle w:val="ListNumber3"/>
      <w:lvlText w:val=""/>
      <w:lvlJc w:val="left"/>
    </w:lvl>
    <w:lvl w:ilvl="1">
      <w:numFmt w:val="decimal"/>
      <w:pStyle w:val="ListNumber3Level2"/>
      <w:lvlText w:val=""/>
      <w:lvlJc w:val="left"/>
    </w:lvl>
    <w:lvl w:ilvl="2">
      <w:numFmt w:val="decimal"/>
      <w:pStyle w:val="ListNumber3Level3"/>
      <w:lvlText w:val=""/>
      <w:lvlJc w:val="left"/>
    </w:lvl>
    <w:lvl w:ilvl="3">
      <w:numFmt w:val="decimal"/>
      <w:pStyle w:val="ListNumber3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D84BD9"/>
    <w:multiLevelType w:val="hybridMultilevel"/>
    <w:tmpl w:val="0C9C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7567BD"/>
    <w:multiLevelType w:val="hybridMultilevel"/>
    <w:tmpl w:val="F236C958"/>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9F7BBE"/>
    <w:multiLevelType w:val="hybridMultilevel"/>
    <w:tmpl w:val="027A660A"/>
    <w:lvl w:ilvl="0" w:tplc="217E480C">
      <w:start w:val="1"/>
      <w:numFmt w:val="bullet"/>
      <w:lvlText w:val="•"/>
      <w:lvlJc w:val="left"/>
      <w:pPr>
        <w:tabs>
          <w:tab w:val="num" w:pos="720"/>
        </w:tabs>
        <w:ind w:left="720" w:hanging="360"/>
      </w:pPr>
      <w:rPr>
        <w:rFonts w:ascii="Times New Roman" w:hAnsi="Times New Roman" w:hint="default"/>
      </w:rPr>
    </w:lvl>
    <w:lvl w:ilvl="1" w:tplc="61124670" w:tentative="1">
      <w:start w:val="1"/>
      <w:numFmt w:val="bullet"/>
      <w:lvlText w:val="•"/>
      <w:lvlJc w:val="left"/>
      <w:pPr>
        <w:tabs>
          <w:tab w:val="num" w:pos="1440"/>
        </w:tabs>
        <w:ind w:left="1440" w:hanging="360"/>
      </w:pPr>
      <w:rPr>
        <w:rFonts w:ascii="Times New Roman" w:hAnsi="Times New Roman" w:hint="default"/>
      </w:rPr>
    </w:lvl>
    <w:lvl w:ilvl="2" w:tplc="AE66FFA4" w:tentative="1">
      <w:start w:val="1"/>
      <w:numFmt w:val="bullet"/>
      <w:lvlText w:val="•"/>
      <w:lvlJc w:val="left"/>
      <w:pPr>
        <w:tabs>
          <w:tab w:val="num" w:pos="2160"/>
        </w:tabs>
        <w:ind w:left="2160" w:hanging="360"/>
      </w:pPr>
      <w:rPr>
        <w:rFonts w:ascii="Times New Roman" w:hAnsi="Times New Roman" w:hint="default"/>
      </w:rPr>
    </w:lvl>
    <w:lvl w:ilvl="3" w:tplc="0382E67C" w:tentative="1">
      <w:start w:val="1"/>
      <w:numFmt w:val="bullet"/>
      <w:lvlText w:val="•"/>
      <w:lvlJc w:val="left"/>
      <w:pPr>
        <w:tabs>
          <w:tab w:val="num" w:pos="2880"/>
        </w:tabs>
        <w:ind w:left="2880" w:hanging="360"/>
      </w:pPr>
      <w:rPr>
        <w:rFonts w:ascii="Times New Roman" w:hAnsi="Times New Roman" w:hint="default"/>
      </w:rPr>
    </w:lvl>
    <w:lvl w:ilvl="4" w:tplc="CBBEDCD2" w:tentative="1">
      <w:start w:val="1"/>
      <w:numFmt w:val="bullet"/>
      <w:lvlText w:val="•"/>
      <w:lvlJc w:val="left"/>
      <w:pPr>
        <w:tabs>
          <w:tab w:val="num" w:pos="3600"/>
        </w:tabs>
        <w:ind w:left="3600" w:hanging="360"/>
      </w:pPr>
      <w:rPr>
        <w:rFonts w:ascii="Times New Roman" w:hAnsi="Times New Roman" w:hint="default"/>
      </w:rPr>
    </w:lvl>
    <w:lvl w:ilvl="5" w:tplc="1BE2FBEA" w:tentative="1">
      <w:start w:val="1"/>
      <w:numFmt w:val="bullet"/>
      <w:lvlText w:val="•"/>
      <w:lvlJc w:val="left"/>
      <w:pPr>
        <w:tabs>
          <w:tab w:val="num" w:pos="4320"/>
        </w:tabs>
        <w:ind w:left="4320" w:hanging="360"/>
      </w:pPr>
      <w:rPr>
        <w:rFonts w:ascii="Times New Roman" w:hAnsi="Times New Roman" w:hint="default"/>
      </w:rPr>
    </w:lvl>
    <w:lvl w:ilvl="6" w:tplc="EDBE42C0" w:tentative="1">
      <w:start w:val="1"/>
      <w:numFmt w:val="bullet"/>
      <w:lvlText w:val="•"/>
      <w:lvlJc w:val="left"/>
      <w:pPr>
        <w:tabs>
          <w:tab w:val="num" w:pos="5040"/>
        </w:tabs>
        <w:ind w:left="5040" w:hanging="360"/>
      </w:pPr>
      <w:rPr>
        <w:rFonts w:ascii="Times New Roman" w:hAnsi="Times New Roman" w:hint="default"/>
      </w:rPr>
    </w:lvl>
    <w:lvl w:ilvl="7" w:tplc="0DDE61CE" w:tentative="1">
      <w:start w:val="1"/>
      <w:numFmt w:val="bullet"/>
      <w:lvlText w:val="•"/>
      <w:lvlJc w:val="left"/>
      <w:pPr>
        <w:tabs>
          <w:tab w:val="num" w:pos="5760"/>
        </w:tabs>
        <w:ind w:left="5760" w:hanging="360"/>
      </w:pPr>
      <w:rPr>
        <w:rFonts w:ascii="Times New Roman" w:hAnsi="Times New Roman" w:hint="default"/>
      </w:rPr>
    </w:lvl>
    <w:lvl w:ilvl="8" w:tplc="A7A4B36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2897D54"/>
    <w:multiLevelType w:val="hybridMultilevel"/>
    <w:tmpl w:val="BB5C5C7E"/>
    <w:lvl w:ilvl="0" w:tplc="0809000F">
      <w:numFmt w:val="decimal"/>
      <w:lvlText w:val=""/>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293F3F"/>
    <w:multiLevelType w:val="singleLevel"/>
    <w:tmpl w:val="B074E4EC"/>
    <w:lvl w:ilvl="0">
      <w:numFmt w:val="decimal"/>
      <w:pStyle w:val="ListDash"/>
      <w:lvlText w:val=""/>
      <w:lvlJc w:val="left"/>
    </w:lvl>
  </w:abstractNum>
  <w:abstractNum w:abstractNumId="32">
    <w:nsid w:val="343E59FC"/>
    <w:multiLevelType w:val="hybridMultilevel"/>
    <w:tmpl w:val="CFFC80F8"/>
    <w:lvl w:ilvl="0" w:tplc="BE44C856">
      <w:start w:val="1"/>
      <w:numFmt w:val="lowerRoman"/>
      <w:lvlText w:val="(%1)"/>
      <w:lvlJc w:val="left"/>
      <w:pPr>
        <w:ind w:left="1353" w:hanging="360"/>
      </w:pPr>
      <w:rPr>
        <w:rFonts w:cs="Times New Roman"/>
      </w:rPr>
    </w:lvl>
    <w:lvl w:ilvl="1" w:tplc="08090019">
      <w:start w:val="1"/>
      <w:numFmt w:val="lowerLetter"/>
      <w:lvlText w:val="%2."/>
      <w:lvlJc w:val="left"/>
      <w:pPr>
        <w:ind w:left="1931" w:hanging="360"/>
      </w:pPr>
      <w:rPr>
        <w:rFonts w:cs="Times New Roman"/>
      </w:rPr>
    </w:lvl>
    <w:lvl w:ilvl="2" w:tplc="0809001B">
      <w:start w:val="1"/>
      <w:numFmt w:val="lowerRoman"/>
      <w:lvlText w:val="%3."/>
      <w:lvlJc w:val="right"/>
      <w:pPr>
        <w:ind w:left="2651" w:hanging="180"/>
      </w:pPr>
      <w:rPr>
        <w:rFonts w:cs="Times New Roman"/>
      </w:rPr>
    </w:lvl>
    <w:lvl w:ilvl="3" w:tplc="0809000F">
      <w:start w:val="1"/>
      <w:numFmt w:val="decimal"/>
      <w:lvlText w:val="%4."/>
      <w:lvlJc w:val="left"/>
      <w:pPr>
        <w:ind w:left="3371" w:hanging="360"/>
      </w:pPr>
      <w:rPr>
        <w:rFonts w:cs="Times New Roman"/>
      </w:rPr>
    </w:lvl>
    <w:lvl w:ilvl="4" w:tplc="08090019">
      <w:start w:val="1"/>
      <w:numFmt w:val="lowerLetter"/>
      <w:lvlText w:val="%5."/>
      <w:lvlJc w:val="left"/>
      <w:pPr>
        <w:ind w:left="4091" w:hanging="360"/>
      </w:pPr>
      <w:rPr>
        <w:rFonts w:cs="Times New Roman"/>
      </w:rPr>
    </w:lvl>
    <w:lvl w:ilvl="5" w:tplc="0809001B">
      <w:start w:val="1"/>
      <w:numFmt w:val="lowerRoman"/>
      <w:lvlText w:val="%6."/>
      <w:lvlJc w:val="right"/>
      <w:pPr>
        <w:ind w:left="4811" w:hanging="180"/>
      </w:pPr>
      <w:rPr>
        <w:rFonts w:cs="Times New Roman"/>
      </w:rPr>
    </w:lvl>
    <w:lvl w:ilvl="6" w:tplc="0809000F">
      <w:start w:val="1"/>
      <w:numFmt w:val="decimal"/>
      <w:lvlText w:val="%7."/>
      <w:lvlJc w:val="left"/>
      <w:pPr>
        <w:ind w:left="5531" w:hanging="360"/>
      </w:pPr>
      <w:rPr>
        <w:rFonts w:cs="Times New Roman"/>
      </w:rPr>
    </w:lvl>
    <w:lvl w:ilvl="7" w:tplc="08090019">
      <w:start w:val="1"/>
      <w:numFmt w:val="lowerLetter"/>
      <w:lvlText w:val="%8."/>
      <w:lvlJc w:val="left"/>
      <w:pPr>
        <w:ind w:left="6251" w:hanging="360"/>
      </w:pPr>
      <w:rPr>
        <w:rFonts w:cs="Times New Roman"/>
      </w:rPr>
    </w:lvl>
    <w:lvl w:ilvl="8" w:tplc="0809001B">
      <w:start w:val="1"/>
      <w:numFmt w:val="lowerRoman"/>
      <w:lvlText w:val="%9."/>
      <w:lvlJc w:val="right"/>
      <w:pPr>
        <w:ind w:left="6971" w:hanging="180"/>
      </w:pPr>
      <w:rPr>
        <w:rFonts w:cs="Times New Roman"/>
      </w:rPr>
    </w:lvl>
  </w:abstractNum>
  <w:abstractNum w:abstractNumId="33">
    <w:nsid w:val="358B6119"/>
    <w:multiLevelType w:val="multilevel"/>
    <w:tmpl w:val="A8BA546C"/>
    <w:lvl w:ilvl="0">
      <w:numFmt w:val="decimal"/>
      <w:pStyle w:val="ListNumber1"/>
      <w:lvlText w:val=""/>
      <w:lvlJc w:val="left"/>
    </w:lvl>
    <w:lvl w:ilvl="1">
      <w:numFmt w:val="decimal"/>
      <w:pStyle w:val="ListNumber1Level2"/>
      <w:lvlText w:val=""/>
      <w:lvlJc w:val="left"/>
    </w:lvl>
    <w:lvl w:ilvl="2">
      <w:numFmt w:val="decimal"/>
      <w:pStyle w:val="ListNumber1Level3"/>
      <w:lvlText w:val=""/>
      <w:lvlJc w:val="left"/>
    </w:lvl>
    <w:lvl w:ilvl="3">
      <w:numFmt w:val="decimal"/>
      <w:pStyle w:val="ListNumber1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8C6F57"/>
    <w:multiLevelType w:val="multilevel"/>
    <w:tmpl w:val="9822F168"/>
    <w:lvl w:ilvl="0">
      <w:start w:val="1"/>
      <w:numFmt w:val="decimal"/>
      <w:lvlText w:val="%1."/>
      <w:lvlJc w:val="left"/>
      <w:pPr>
        <w:tabs>
          <w:tab w:val="num" w:pos="851"/>
        </w:tabs>
        <w:ind w:left="851" w:hanging="851"/>
      </w:pPr>
      <w:rPr>
        <w:rFonts w:ascii="Times New Roman Bold" w:hAnsi="Times New Roman Bold" w:cs="Courier" w:hint="default"/>
        <w:b/>
        <w:bCs w:val="0"/>
        <w:i w:val="0"/>
        <w: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lvlText w:val="%1.%2"/>
      <w:lvlJc w:val="left"/>
      <w:pPr>
        <w:tabs>
          <w:tab w:val="num" w:pos="851"/>
        </w:tabs>
        <w:ind w:left="851" w:hanging="851"/>
      </w:pPr>
      <w:rPr>
        <w:rFonts w:ascii="Times New Roman Bold" w:hAnsi="Times New Roman Bold" w:cs="Courier" w:hint="default"/>
        <w:b/>
        <w:i w:val="0"/>
        <w:color w:val="auto"/>
        <w:sz w:val="24"/>
      </w:rPr>
    </w:lvl>
    <w:lvl w:ilvl="2">
      <w:start w:val="1"/>
      <w:numFmt w:val="decimal"/>
      <w:lvlText w:val="%1.%2.%3"/>
      <w:lvlJc w:val="left"/>
      <w:pPr>
        <w:tabs>
          <w:tab w:val="num" w:pos="851"/>
        </w:tabs>
        <w:ind w:left="851" w:hanging="851"/>
      </w:pPr>
      <w:rPr>
        <w:rFonts w:ascii="Times New Roman Bold" w:hAnsi="Times New Roman Bold" w:cs="Courier" w:hint="default"/>
        <w:b/>
        <w:i/>
        <w:sz w:val="24"/>
      </w:rPr>
    </w:lvl>
    <w:lvl w:ilvl="3">
      <w:start w:val="1"/>
      <w:numFmt w:val="decimal"/>
      <w:lvlText w:val="%1.%2.%3.%4"/>
      <w:lvlJc w:val="left"/>
      <w:pPr>
        <w:tabs>
          <w:tab w:val="num" w:pos="851"/>
        </w:tabs>
        <w:ind w:left="851" w:hanging="851"/>
      </w:pPr>
      <w:rPr>
        <w:rFonts w:ascii="Courier" w:hAnsi="Courier" w:cs="Courier" w:hint="default"/>
        <w:b w:val="0"/>
        <w:i/>
        <w:sz w:val="24"/>
      </w:rPr>
    </w:lvl>
    <w:lvl w:ilvl="4">
      <w:start w:val="1"/>
      <w:numFmt w:val="decimal"/>
      <w:lvlText w:val="%1.%2.%3.%4.%5"/>
      <w:lvlJc w:val="left"/>
      <w:pPr>
        <w:tabs>
          <w:tab w:val="num" w:pos="1008"/>
        </w:tabs>
        <w:ind w:left="1008" w:hanging="1008"/>
      </w:pPr>
      <w:rPr>
        <w:rFonts w:cs="Courier"/>
      </w:rPr>
    </w:lvl>
    <w:lvl w:ilvl="5">
      <w:start w:val="1"/>
      <w:numFmt w:val="decimal"/>
      <w:lvlText w:val="%1.%2.%3.%4.%5.%6"/>
      <w:lvlJc w:val="left"/>
      <w:pPr>
        <w:tabs>
          <w:tab w:val="num" w:pos="1152"/>
        </w:tabs>
        <w:ind w:left="1152" w:hanging="1152"/>
      </w:pPr>
      <w:rPr>
        <w:rFonts w:cs="Courier"/>
      </w:rPr>
    </w:lvl>
    <w:lvl w:ilvl="6">
      <w:start w:val="1"/>
      <w:numFmt w:val="decimal"/>
      <w:lvlText w:val="%1.%2.%3.%4.%5.%6.%7"/>
      <w:lvlJc w:val="left"/>
      <w:pPr>
        <w:tabs>
          <w:tab w:val="num" w:pos="1296"/>
        </w:tabs>
        <w:ind w:left="1296" w:hanging="1296"/>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584"/>
        </w:tabs>
        <w:ind w:left="1584" w:hanging="1584"/>
      </w:pPr>
      <w:rPr>
        <w:rFonts w:cs="Courier"/>
      </w:rPr>
    </w:lvl>
  </w:abstractNum>
  <w:abstractNum w:abstractNumId="35">
    <w:nsid w:val="3AFB6DC8"/>
    <w:multiLevelType w:val="singleLevel"/>
    <w:tmpl w:val="D97CFDF8"/>
    <w:lvl w:ilvl="0">
      <w:numFmt w:val="decimal"/>
      <w:pStyle w:val="ListBullet2"/>
      <w:lvlText w:val=""/>
      <w:lvlJc w:val="left"/>
    </w:lvl>
  </w:abstractNum>
  <w:abstractNum w:abstractNumId="36">
    <w:nsid w:val="3B4F780D"/>
    <w:multiLevelType w:val="multilevel"/>
    <w:tmpl w:val="B10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F00E18"/>
    <w:multiLevelType w:val="singleLevel"/>
    <w:tmpl w:val="4E1A982C"/>
    <w:lvl w:ilvl="0">
      <w:numFmt w:val="decimal"/>
      <w:pStyle w:val="ListBullet"/>
      <w:lvlText w:val=""/>
      <w:lvlJc w:val="left"/>
    </w:lvl>
  </w:abstractNum>
  <w:abstractNum w:abstractNumId="38">
    <w:nsid w:val="46113D4F"/>
    <w:multiLevelType w:val="singleLevel"/>
    <w:tmpl w:val="A3323CB8"/>
    <w:lvl w:ilvl="0">
      <w:numFmt w:val="decimal"/>
      <w:pStyle w:val="ListDash3"/>
      <w:lvlText w:val=""/>
      <w:lvlJc w:val="left"/>
    </w:lvl>
  </w:abstractNum>
  <w:abstractNum w:abstractNumId="39">
    <w:nsid w:val="46CC47E1"/>
    <w:multiLevelType w:val="hybridMultilevel"/>
    <w:tmpl w:val="A01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96207CF"/>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BD76B2"/>
    <w:multiLevelType w:val="multilevel"/>
    <w:tmpl w:val="601C6DB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593082"/>
    <w:multiLevelType w:val="singleLevel"/>
    <w:tmpl w:val="EDE069AC"/>
    <w:name w:val="Bullet 1"/>
    <w:lvl w:ilvl="0">
      <w:numFmt w:val="decimal"/>
      <w:pStyle w:val="Bullet0"/>
      <w:lvlText w:val=""/>
      <w:lvlJc w:val="left"/>
    </w:lvl>
  </w:abstractNum>
  <w:abstractNum w:abstractNumId="43">
    <w:nsid w:val="54D10AB0"/>
    <w:multiLevelType w:val="singleLevel"/>
    <w:tmpl w:val="5B50620E"/>
    <w:lvl w:ilvl="0">
      <w:numFmt w:val="decimal"/>
      <w:pStyle w:val="ListDash4"/>
      <w:lvlText w:val=""/>
      <w:lvlJc w:val="left"/>
    </w:lvl>
  </w:abstractNum>
  <w:abstractNum w:abstractNumId="44">
    <w:nsid w:val="55BF3D2E"/>
    <w:multiLevelType w:val="hybridMultilevel"/>
    <w:tmpl w:val="8A66D5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76B6C27"/>
    <w:multiLevelType w:val="hybridMultilevel"/>
    <w:tmpl w:val="D68EA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94B6127"/>
    <w:multiLevelType w:val="hybridMultilevel"/>
    <w:tmpl w:val="DD4420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7">
    <w:nsid w:val="5B2C6F90"/>
    <w:multiLevelType w:val="hybridMultilevel"/>
    <w:tmpl w:val="591ACF9E"/>
    <w:lvl w:ilvl="0" w:tplc="BE2E7CB2">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0D6286"/>
    <w:multiLevelType w:val="singleLevel"/>
    <w:tmpl w:val="B0567122"/>
    <w:lvl w:ilvl="0">
      <w:numFmt w:val="decimal"/>
      <w:pStyle w:val="ListDash2"/>
      <w:lvlText w:val=""/>
      <w:lvlJc w:val="left"/>
    </w:lvl>
  </w:abstractNum>
  <w:abstractNum w:abstractNumId="49">
    <w:nsid w:val="6057433F"/>
    <w:multiLevelType w:val="singleLevel"/>
    <w:tmpl w:val="3D5ECD48"/>
    <w:lvl w:ilvl="0">
      <w:numFmt w:val="decimal"/>
      <w:pStyle w:val="ListDash1"/>
      <w:lvlText w:val=""/>
      <w:lvlJc w:val="left"/>
    </w:lvl>
  </w:abstractNum>
  <w:abstractNum w:abstractNumId="50">
    <w:nsid w:val="620F2440"/>
    <w:multiLevelType w:val="singleLevel"/>
    <w:tmpl w:val="6860A420"/>
    <w:lvl w:ilvl="0">
      <w:numFmt w:val="decimal"/>
      <w:pStyle w:val="ListBullet3"/>
      <w:lvlText w:val=""/>
      <w:lvlJc w:val="left"/>
    </w:lvl>
  </w:abstractNum>
  <w:abstractNum w:abstractNumId="51">
    <w:nsid w:val="64987A49"/>
    <w:multiLevelType w:val="hybridMultilevel"/>
    <w:tmpl w:val="1E28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numFmt w:val="decimal"/>
      <w:pStyle w:val="ListBullet4"/>
      <w:lvlText w:val=""/>
      <w:lvlJc w:val="left"/>
    </w:lvl>
  </w:abstractNum>
  <w:abstractNum w:abstractNumId="53">
    <w:nsid w:val="706B072C"/>
    <w:multiLevelType w:val="hybridMultilevel"/>
    <w:tmpl w:val="B7BC1D9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4">
    <w:nsid w:val="712144E3"/>
    <w:multiLevelType w:val="hybridMultilevel"/>
    <w:tmpl w:val="0FDE0F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5">
    <w:nsid w:val="722304D7"/>
    <w:multiLevelType w:val="multilevel"/>
    <w:tmpl w:val="9DE2758E"/>
    <w:lvl w:ilvl="0">
      <w:numFmt w:val="decimal"/>
      <w:pStyle w:val="ListNumber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3362880"/>
    <w:multiLevelType w:val="hybridMultilevel"/>
    <w:tmpl w:val="D0D0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6783A2A"/>
    <w:multiLevelType w:val="hybridMultilevel"/>
    <w:tmpl w:val="3B44074E"/>
    <w:lvl w:ilvl="0" w:tplc="08090019">
      <w:start w:val="1"/>
      <w:numFmt w:val="lowerLetter"/>
      <w:lvlText w:val="%1."/>
      <w:lvlJc w:val="left"/>
      <w:pPr>
        <w:ind w:left="786"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58">
    <w:nsid w:val="76C40A01"/>
    <w:multiLevelType w:val="hybridMultilevel"/>
    <w:tmpl w:val="0CAC6F2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59">
    <w:nsid w:val="7CB20CD3"/>
    <w:multiLevelType w:val="hybridMultilevel"/>
    <w:tmpl w:val="8518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37"/>
  </w:num>
  <w:num w:numId="5">
    <w:abstractNumId w:val="24"/>
  </w:num>
  <w:num w:numId="6">
    <w:abstractNumId w:val="35"/>
  </w:num>
  <w:num w:numId="7">
    <w:abstractNumId w:val="50"/>
  </w:num>
  <w:num w:numId="8">
    <w:abstractNumId w:val="52"/>
  </w:num>
  <w:num w:numId="9">
    <w:abstractNumId w:val="31"/>
  </w:num>
  <w:num w:numId="10">
    <w:abstractNumId w:val="49"/>
  </w:num>
  <w:num w:numId="11">
    <w:abstractNumId w:val="48"/>
  </w:num>
  <w:num w:numId="12">
    <w:abstractNumId w:val="38"/>
  </w:num>
  <w:num w:numId="13">
    <w:abstractNumId w:val="43"/>
  </w:num>
  <w:num w:numId="14">
    <w:abstractNumId w:val="20"/>
  </w:num>
  <w:num w:numId="15">
    <w:abstractNumId w:val="33"/>
  </w:num>
  <w:num w:numId="16">
    <w:abstractNumId w:val="12"/>
  </w:num>
  <w:num w:numId="17">
    <w:abstractNumId w:val="25"/>
  </w:num>
  <w:num w:numId="18">
    <w:abstractNumId w:val="55"/>
  </w:num>
  <w:num w:numId="19">
    <w:abstractNumId w:val="23"/>
  </w:num>
  <w:num w:numId="20">
    <w:abstractNumId w:val="10"/>
  </w:num>
  <w:num w:numId="21">
    <w:abstractNumId w:val="42"/>
  </w:num>
  <w:num w:numId="22">
    <w:abstractNumId w:val="58"/>
  </w:num>
  <w:num w:numId="23">
    <w:abstractNumId w:val="17"/>
  </w:num>
  <w:num w:numId="24">
    <w:abstractNumId w:val="17"/>
  </w:num>
  <w:num w:numId="25">
    <w:abstractNumId w:val="41"/>
  </w:num>
  <w:num w:numId="26">
    <w:abstractNumId w:val="15"/>
  </w:num>
  <w:num w:numId="27">
    <w:abstractNumId w:val="53"/>
  </w:num>
  <w:num w:numId="28">
    <w:abstractNumId w:val="18"/>
  </w:num>
  <w:num w:numId="29">
    <w:abstractNumId w:val="4"/>
  </w:num>
  <w:num w:numId="30">
    <w:abstractNumId w:val="40"/>
  </w:num>
  <w:num w:numId="31">
    <w:abstractNumId w:val="2"/>
  </w:num>
  <w:num w:numId="32">
    <w:abstractNumId w:val="9"/>
  </w:num>
  <w:num w:numId="33">
    <w:abstractNumId w:val="21"/>
  </w:num>
  <w:num w:numId="34">
    <w:abstractNumId w:val="19"/>
  </w:num>
  <w:num w:numId="35">
    <w:abstractNumId w:val="59"/>
  </w:num>
  <w:num w:numId="36">
    <w:abstractNumId w:val="29"/>
  </w:num>
  <w:num w:numId="37">
    <w:abstractNumId w:val="15"/>
  </w:num>
  <w:num w:numId="38">
    <w:abstractNumId w:val="8"/>
  </w:num>
  <w:num w:numId="39">
    <w:abstractNumId w:val="27"/>
  </w:num>
  <w:num w:numId="40">
    <w:abstractNumId w:val="13"/>
  </w:num>
  <w:num w:numId="41">
    <w:abstractNumId w:val="7"/>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0"/>
  </w:num>
  <w:num w:numId="48">
    <w:abstractNumId w:val="15"/>
  </w:num>
  <w:num w:numId="49">
    <w:abstractNumId w:val="28"/>
  </w:num>
  <w:num w:numId="50">
    <w:abstractNumId w:val="47"/>
  </w:num>
  <w:num w:numId="51">
    <w:abstractNumId w:val="3"/>
  </w:num>
  <w:num w:numId="52">
    <w:abstractNumId w:val="46"/>
  </w:num>
  <w:num w:numId="53">
    <w:abstractNumId w:val="54"/>
  </w:num>
  <w:num w:numId="54">
    <w:abstractNumId w:val="6"/>
  </w:num>
  <w:num w:numId="55">
    <w:abstractNumId w:val="15"/>
  </w:num>
  <w:num w:numId="56">
    <w:abstractNumId w:val="16"/>
  </w:num>
  <w:num w:numId="57">
    <w:abstractNumId w:val="11"/>
  </w:num>
  <w:num w:numId="58">
    <w:abstractNumId w:val="51"/>
  </w:num>
  <w:num w:numId="59">
    <w:abstractNumId w:val="57"/>
  </w:num>
  <w:num w:numId="60">
    <w:abstractNumId w:val="56"/>
  </w:num>
  <w:num w:numId="61">
    <w:abstractNumId w:val="36"/>
  </w:num>
  <w:num w:numId="62">
    <w:abstractNumId w:val="44"/>
  </w:num>
  <w:num w:numId="6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4">
    <w:abstractNumId w:val="15"/>
  </w:num>
  <w:num w:numId="65">
    <w:abstractNumId w:val="15"/>
    <w:lvlOverride w:ilvl="0">
      <w:startOverride w:val="8"/>
    </w:lvlOverride>
    <w:lvlOverride w:ilvl="1">
      <w:startOverride w:val="1"/>
    </w:lvlOverride>
    <w:lvlOverride w:ilvl="2"/>
    <w:lvlOverride w:ilvl="3"/>
    <w:lvlOverride w:ilvl="4"/>
    <w:lvlOverride w:ilvl="5"/>
    <w:lvlOverride w:ilvl="6"/>
    <w:lvlOverride w:ilvl="7"/>
    <w:lvlOverride w:ilvl="8"/>
  </w:num>
  <w:num w:numId="66">
    <w:abstractNumId w:val="15"/>
  </w:num>
  <w:num w:numId="67">
    <w:abstractNumId w:val="4"/>
  </w:num>
  <w:num w:numId="68">
    <w:abstractNumId w:val="4"/>
  </w:num>
  <w:num w:numId="69">
    <w:abstractNumId w:val="4"/>
  </w:num>
  <w:num w:numId="70">
    <w:abstractNumId w:val="15"/>
  </w:num>
  <w:num w:numId="71">
    <w:abstractNumId w:val="4"/>
  </w:num>
  <w:num w:numId="72">
    <w:abstractNumId w:val="15"/>
  </w:num>
  <w:num w:numId="73">
    <w:abstractNumId w:val="15"/>
  </w:num>
  <w:num w:numId="74">
    <w:abstractNumId w:val="15"/>
  </w:num>
  <w:num w:numId="75">
    <w:abstractNumId w:val="15"/>
  </w:num>
  <w:num w:numId="76">
    <w:abstractNumId w:val="15"/>
  </w:num>
  <w:num w:numId="77">
    <w:abstractNumId w:val="15"/>
  </w:num>
  <w:num w:numId="78">
    <w:abstractNumId w:val="15"/>
  </w:num>
  <w:num w:numId="79">
    <w:abstractNumId w:val="15"/>
  </w:num>
  <w:num w:numId="80">
    <w:abstractNumId w:val="15"/>
  </w:num>
  <w:num w:numId="81">
    <w:abstractNumId w:val="4"/>
  </w:num>
  <w:num w:numId="82">
    <w:abstractNumId w:val="15"/>
  </w:num>
  <w:num w:numId="83">
    <w:abstractNumId w:val="26"/>
  </w:num>
  <w:num w:numId="84">
    <w:abstractNumId w:val="26"/>
  </w:num>
  <w:num w:numId="85">
    <w:abstractNumId w:val="26"/>
  </w:num>
  <w:num w:numId="8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20"/>
  </w:num>
  <w:num w:numId="88">
    <w:abstractNumId w:val="20"/>
  </w:num>
  <w:num w:numId="89">
    <w:abstractNumId w:val="14"/>
  </w:num>
  <w:num w:numId="90">
    <w:abstractNumId w:val="39"/>
  </w:num>
  <w:num w:numId="91">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Green"/>
    <w:docVar w:name="LW_ACCOMPAGNANT.CP" w:val="Sprievodný dokument"/>
    <w:docVar w:name="LW_CONFIDENCE" w:val=" "/>
    <w:docVar w:name="LW_CONST_RESTREINT_UE" w:val="RESTREINT UE"/>
    <w:docVar w:name="LW_CORRIGENDUM" w:val="&lt;UNUSED&gt;"/>
    <w:docVar w:name="LW_COVERPAGE_GUID" w:val="B9EC32AB463C40AC998C83E07FEF8862"/>
    <w:docVar w:name="LW_CROSSREFERENCE" w:val="{COM(2017) 208 final}_x000b_{SWD(2017) 148 final}"/>
    <w:docVar w:name="LW_DocType" w:val="REP"/>
    <w:docVar w:name="LW_EMISSION" w:val="4. 5. 2017"/>
    <w:docVar w:name="LW_EMISSION_ISODATE" w:val="2017-05-04"/>
    <w:docVar w:name="LW_EMISSION_LOCATION" w:val="BRX"/>
    <w:docVar w:name="LW_EMISSION_PREFIX" w:val="V Bruseli"/>
    <w:docVar w:name="LW_EMISSION_SUFFIX" w:val=" "/>
    <w:docVar w:name="LW_ID_DOCTYPE_NONLW" w:val="CP-027"/>
    <w:docVar w:name="LW_LANGUE" w:val="SK"/>
    <w:docVar w:name="LW_MARKING" w:val="&lt;UNUSED&gt;"/>
    <w:docVar w:name="LW_NOM.INST" w:val="EURÓPSKA KOMISIA"/>
    <w:docVar w:name="LW_NOM.INST_JOINTDOC" w:val="&lt;EMPTY&gt;"/>
    <w:docVar w:name="LW_OBJETACTEPRINCIPAL.CP" w:val="ktorým sa mení nariadenie (EÚ) \u269?. 648/2012, pokia\u318? ide o zú\u269?tovaciu povinnos\u357?, pozastavenie uplat\u328?ovania zú\u269?tovacej povinnosti, po\u382?iadavky na ohlasovanie, postupy zmier\u328?ovania rizika pri zmluvách o mimoburzových derivátoch, ktoré nezú\u269?továva centrálna protistrana, registráciu archívov obchodných údajov a doh\u318?ad nad nimi a po\u382?iadavky na archívy obchodných údajov"/>
    <w:docVar w:name="LW_PART_NBR" w:val="1"/>
    <w:docVar w:name="LW_PART_NBR_TOTAL" w:val="1"/>
    <w:docVar w:name="LW_REF.INST.NEW" w:val="SWD"/>
    <w:docVar w:name="LW_REF.INST.NEW_ADOPTED" w:val="final"/>
    <w:docVar w:name="LW_REF.INST.NEW_TEXT" w:val="(2017) 149"/>
    <w:docVar w:name="LW_REF.INTERNE" w:val="&lt;UNUSED&gt;"/>
    <w:docVar w:name="LW_SUPERTITRE" w:val="&lt;UNUSED&gt;"/>
    <w:docVar w:name="LW_TITRE.OBJ.CP" w:val="&lt;UNUSED&gt;"/>
    <w:docVar w:name="LW_TYPE.DOC.CP" w:val="PRACOVNÝ DOKUMENT ÚTVAROV KOMISIE_x000b__x000b_ZHRNUTIE POSÚDENIA VPLYVU_x000b_"/>
    <w:docVar w:name="LW_TYPEACTEPRINCIPAL.CP" w:val="NÁVRH NARIADENIA EURÓPSKEHO PARLAMENTU A RADY,"/>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64"/>
      </w:numPr>
      <w:spacing w:before="240"/>
      <w:outlineLvl w:val="0"/>
    </w:pPr>
    <w:rPr>
      <w:b/>
      <w:smallCaps/>
      <w:lang w:eastAsia="en-GB"/>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rPr>
      <w:sz w:val="24"/>
      <w:lang w:eastAsia="en-US"/>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lang w:eastAsia="de-DE"/>
    </w:rPr>
  </w:style>
  <w:style w:type="paragraph" w:customStyle="1" w:styleId="Rfrenceinstitutionelle">
    <w:name w:val="Référence institutionelle"/>
    <w:basedOn w:val="Normal"/>
    <w:next w:val="Normal"/>
    <w:pPr>
      <w:ind w:left="5103"/>
      <w:jc w:val="left"/>
    </w:pPr>
    <w:rPr>
      <w:szCs w:val="24"/>
      <w:lang w:eastAsia="de-DE"/>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en-US"/>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en-US"/>
    </w:rPr>
  </w:style>
  <w:style w:type="character" w:customStyle="1" w:styleId="CommentSubjectChar">
    <w:name w:val="Comment Subject Char"/>
    <w:link w:val="CommentSubject"/>
    <w:uiPriority w:val="99"/>
    <w:semiHidden/>
    <w:rPr>
      <w:b/>
      <w:bCs/>
      <w:lang w:eastAsia="en-US"/>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fr-FR"/>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lang w:eastAsia="fr-FR"/>
    </w:rPr>
  </w:style>
  <w:style w:type="character" w:customStyle="1" w:styleId="Heading1Char">
    <w:name w:val="Heading 1 Char"/>
    <w:link w:val="Heading1"/>
    <w:rPr>
      <w:b/>
      <w:smallCaps/>
      <w:sz w:val="24"/>
      <w:lang w:val="sk-SK"/>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sk-SK" w:eastAsia="en-US"/>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rPr>
      <w:lang w:eastAsia="en-GB"/>
    </w:rPr>
  </w:style>
  <w:style w:type="paragraph" w:styleId="Revision">
    <w:name w:val="Revision"/>
    <w:hidden/>
    <w:uiPriority w:val="99"/>
    <w:semiHidden/>
    <w:rPr>
      <w:sz w:val="24"/>
      <w:lang w:eastAsia="en-US"/>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64"/>
      </w:numPr>
      <w:spacing w:before="240"/>
      <w:outlineLvl w:val="0"/>
    </w:pPr>
    <w:rPr>
      <w:b/>
      <w:smallCaps/>
      <w:lang w:eastAsia="en-GB"/>
    </w:rPr>
  </w:style>
  <w:style w:type="paragraph" w:styleId="Heading2">
    <w:name w:val="heading 2"/>
    <w:basedOn w:val="Normal"/>
    <w:next w:val="Text2"/>
    <w:link w:val="Heading2Char"/>
    <w:qFormat/>
    <w:pPr>
      <w:keepNext/>
      <w:numPr>
        <w:ilvl w:val="1"/>
        <w:numId w:val="64"/>
      </w:numPr>
      <w:spacing w:line="276" w:lineRule="auto"/>
      <w:outlineLvl w:val="1"/>
    </w:pPr>
    <w:rPr>
      <w:b/>
      <w:bCs/>
    </w:rPr>
  </w:style>
  <w:style w:type="paragraph" w:styleId="Heading3">
    <w:name w:val="heading 3"/>
    <w:basedOn w:val="Normal"/>
    <w:next w:val="Text3"/>
    <w:qFormat/>
    <w:pPr>
      <w:keepNext/>
      <w:numPr>
        <w:ilvl w:val="2"/>
        <w:numId w:val="64"/>
      </w:numPr>
      <w:outlineLvl w:val="2"/>
    </w:pPr>
    <w:rPr>
      <w:i/>
    </w:rPr>
  </w:style>
  <w:style w:type="paragraph" w:styleId="Heading4">
    <w:name w:val="heading 4"/>
    <w:basedOn w:val="Normal"/>
    <w:next w:val="Text4"/>
    <w:qFormat/>
    <w:pPr>
      <w:keepNext/>
      <w:numPr>
        <w:ilvl w:val="3"/>
        <w:numId w:val="64"/>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 Char,Footnote,Fußnote,FSR footnote,lábléc,fn,Texto nota pie Car,notefranz,Footnote Text Char Char Char Char Char Char Char Char Char Char Char Char Char Char Char Char Char,Footnote Text Char1,Char"/>
    <w:basedOn w:val="Normal"/>
    <w:link w:val="FootnoteTextChar"/>
    <w:uiPriority w:val="99"/>
    <w:qFormat/>
    <w:pPr>
      <w:tabs>
        <w:tab w:val="left" w:pos="284"/>
      </w:tabs>
      <w:spacing w:after="0"/>
      <w:ind w:left="284" w:hanging="284"/>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TOCHeading1">
    <w:name w:val="TOC Heading1"/>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rPr>
      <w:sz w:val="24"/>
      <w:lang w:eastAsia="en-US"/>
    </w:rPr>
  </w:style>
  <w:style w:type="paragraph" w:customStyle="1" w:styleId="Bullet1">
    <w:name w:val="Bullet 1"/>
    <w:basedOn w:val="Normal"/>
    <w:pPr>
      <w:numPr>
        <w:numId w:val="19"/>
      </w:numPr>
      <w:spacing w:before="120" w:after="120"/>
    </w:pPr>
    <w:rPr>
      <w:szCs w:val="24"/>
    </w:rPr>
  </w:style>
  <w:style w:type="paragraph" w:customStyle="1" w:styleId="Confidentialit">
    <w:name w:val="Confidentialité"/>
    <w:basedOn w:val="Normal"/>
    <w:next w:val="TypedudocumentPagedecouverture"/>
    <w:pPr>
      <w:spacing w:before="240"/>
      <w:ind w:left="5103"/>
    </w:pPr>
    <w:rPr>
      <w:i/>
      <w:sz w:val="32"/>
      <w:szCs w:val="24"/>
    </w:rPr>
  </w:style>
  <w:style w:type="paragraph" w:customStyle="1" w:styleId="Emission">
    <w:name w:val="Emission"/>
    <w:basedOn w:val="Normal"/>
    <w:next w:val="Normal"/>
    <w:pPr>
      <w:spacing w:after="0"/>
      <w:ind w:left="5103"/>
      <w:jc w:val="left"/>
    </w:pPr>
    <w:rPr>
      <w:szCs w:val="24"/>
    </w:rPr>
  </w:style>
  <w:style w:type="paragraph" w:customStyle="1" w:styleId="Nomdelinstitution">
    <w:name w:val="Nom de l'institution"/>
    <w:basedOn w:val="Normal"/>
    <w:next w:val="Emission"/>
    <w:pPr>
      <w:spacing w:after="0"/>
      <w:jc w:val="left"/>
    </w:pPr>
    <w:rPr>
      <w:rFonts w:ascii="Arial" w:hAnsi="Arial" w:cs="Arial"/>
      <w:szCs w:val="24"/>
    </w:rPr>
  </w:style>
  <w:style w:type="paragraph" w:customStyle="1" w:styleId="Pagedecouverture">
    <w:name w:val="Page de couverture"/>
    <w:basedOn w:val="Normal"/>
    <w:next w:val="Normal"/>
    <w:pPr>
      <w:spacing w:before="120" w:after="120"/>
    </w:pPr>
    <w:rPr>
      <w:szCs w:val="24"/>
    </w:rPr>
  </w:style>
  <w:style w:type="paragraph" w:customStyle="1" w:styleId="TypedudocumentPagedecouverture">
    <w:name w:val="Type du document (Page de couverture)"/>
    <w:basedOn w:val="Normal"/>
    <w:next w:val="Normal"/>
    <w:pPr>
      <w:spacing w:before="360" w:after="0"/>
      <w:jc w:val="center"/>
    </w:pPr>
    <w:rPr>
      <w:b/>
      <w:szCs w:val="24"/>
    </w:rPr>
  </w:style>
  <w:style w:type="paragraph" w:customStyle="1" w:styleId="Prliminairetype">
    <w:name w:val="Préliminaire type"/>
    <w:basedOn w:val="Normal"/>
    <w:next w:val="Normal"/>
    <w:pPr>
      <w:spacing w:before="360" w:after="0"/>
      <w:jc w:val="center"/>
    </w:pPr>
    <w:rPr>
      <w:b/>
      <w:szCs w:val="24"/>
      <w:lang w:eastAsia="de-DE"/>
    </w:rPr>
  </w:style>
  <w:style w:type="paragraph" w:customStyle="1" w:styleId="Rfrenceinstitutionelle">
    <w:name w:val="Référence institutionelle"/>
    <w:basedOn w:val="Normal"/>
    <w:next w:val="Normal"/>
    <w:pPr>
      <w:ind w:left="5103"/>
      <w:jc w:val="left"/>
    </w:pPr>
    <w:rPr>
      <w:szCs w:val="24"/>
      <w:lang w:eastAsia="de-DE"/>
    </w:rPr>
  </w:style>
  <w:style w:type="character" w:styleId="Hyperlink">
    <w:name w:val="Hyperlink"/>
    <w:uiPriority w:val="99"/>
    <w:rPr>
      <w:rFonts w:cs="Times New Roman"/>
      <w:color w:val="0000FF"/>
      <w:u w:val="single"/>
      <w:shd w:val="clear" w:color="auto" w:fill="auto"/>
    </w:rPr>
  </w:style>
  <w:style w:type="numbering" w:styleId="111111">
    <w:name w:val="Outline List 2"/>
    <w:basedOn w:val="NoList"/>
    <w:pPr>
      <w:numPr>
        <w:numId w:val="20"/>
      </w:numPr>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Marker">
    <w:name w:val="Marker"/>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character" w:styleId="FootnoteReference">
    <w:name w:val="footnote reference"/>
    <w:aliases w:val="Footnote Reference Number,Footnote Reference_LVL6,Footnote Reference_LVL61,Footnote Reference_LVL62,Footnote Reference_LVL63,Footnote Reference_LVL64,normal,Fußnotenzeichen3,Normal1,fr,SUPERS,EN Footnote Reference,number,ftref"/>
    <w:uiPriority w:val="99"/>
    <w:unhideWhenUsed/>
    <w:rPr>
      <w:vertAlign w:val="superscript"/>
    </w:rPr>
  </w:style>
  <w:style w:type="paragraph" w:customStyle="1" w:styleId="Bullet0">
    <w:name w:val="Bullet 0"/>
    <w:basedOn w:val="Normal"/>
    <w:pPr>
      <w:numPr>
        <w:numId w:val="21"/>
      </w:numPr>
      <w:spacing w:before="120" w:after="120"/>
    </w:pPr>
    <w:rPr>
      <w:szCs w:val="24"/>
    </w:rPr>
  </w:style>
  <w:style w:type="character" w:customStyle="1" w:styleId="FootnoteTextChar">
    <w:name w:val="Footnote Text Char"/>
    <w:aliases w:val="Footnote Text Char Char Char,Footnote Char,Fußnote Char,FSR footnote Char,lábléc Char,fn Char,Texto nota pie Car Char,notefranz Char,Footnote Text Char1 Char,Char Char1"/>
    <w:link w:val="FootnoteText"/>
    <w:uiPriority w:val="99"/>
    <w:rPr>
      <w:lang w:eastAsia="en-US"/>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en-US"/>
    </w:rPr>
  </w:style>
  <w:style w:type="character" w:customStyle="1" w:styleId="CommentSubjectChar">
    <w:name w:val="Comment Subject Char"/>
    <w:link w:val="CommentSubject"/>
    <w:uiPriority w:val="99"/>
    <w:semiHidden/>
    <w:rPr>
      <w:b/>
      <w:bCs/>
      <w:lang w:eastAsia="en-US"/>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fr-FR"/>
    </w:rPr>
  </w:style>
  <w:style w:type="paragraph" w:customStyle="1" w:styleId="CM3">
    <w:name w:val="CM3"/>
    <w:basedOn w:val="Normal"/>
    <w:next w:val="Normal"/>
    <w:uiPriority w:val="99"/>
    <w:pPr>
      <w:autoSpaceDE w:val="0"/>
      <w:autoSpaceDN w:val="0"/>
      <w:adjustRightInd w:val="0"/>
      <w:spacing w:after="0"/>
      <w:jc w:val="left"/>
    </w:pPr>
    <w:rPr>
      <w:rFonts w:ascii="EUAlbertina" w:hAnsi="EUAlbertina"/>
      <w:szCs w:val="24"/>
      <w:lang w:eastAsia="fr-FR"/>
    </w:rPr>
  </w:style>
  <w:style w:type="character" w:customStyle="1" w:styleId="Heading1Char">
    <w:name w:val="Heading 1 Char"/>
    <w:link w:val="Heading1"/>
    <w:rPr>
      <w:b/>
      <w:smallCaps/>
      <w:sz w:val="24"/>
      <w:lang w:val="sk-SK"/>
    </w:rPr>
  </w:style>
  <w:style w:type="paragraph" w:customStyle="1" w:styleId="ColorfulList-Accent11">
    <w:name w:val="Colorful List - Accent 11"/>
    <w:basedOn w:val="CommentText"/>
    <w:qFormat/>
    <w:pPr>
      <w:spacing w:before="120" w:after="120"/>
    </w:pPr>
    <w:rPr>
      <w:sz w:val="24"/>
      <w:szCs w:val="24"/>
    </w:rPr>
  </w:style>
  <w:style w:type="character" w:customStyle="1" w:styleId="Heading2Char">
    <w:name w:val="Heading 2 Char"/>
    <w:link w:val="Heading2"/>
    <w:rPr>
      <w:b/>
      <w:bCs/>
      <w:sz w:val="24"/>
      <w:lang w:val="sk-SK" w:eastAsia="en-US"/>
    </w:rPr>
  </w:style>
  <w:style w:type="character" w:customStyle="1" w:styleId="BookTitle1">
    <w:name w:val="Book Title1"/>
    <w:uiPriority w:val="33"/>
    <w:qFormat/>
    <w:rPr>
      <w:b/>
      <w:bCs/>
      <w:smallCaps/>
      <w:spacing w:val="5"/>
    </w:rPr>
  </w:style>
  <w:style w:type="character" w:styleId="EndnoteReference">
    <w:name w:val="endnote reference"/>
    <w:uiPriority w:val="99"/>
    <w:semiHidden/>
    <w:unhideWhenUsed/>
    <w:rPr>
      <w:vertAlign w:val="superscript"/>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pPr>
  </w:style>
  <w:style w:type="character" w:styleId="Strong">
    <w:name w:val="Strong"/>
    <w:uiPriority w:val="22"/>
    <w:qFormat/>
    <w:rPr>
      <w:b/>
      <w:bCs/>
    </w:rPr>
  </w:style>
  <w:style w:type="character" w:styleId="Emphasis">
    <w:name w:val="Emphasis"/>
    <w:uiPriority w:val="20"/>
    <w:qFormat/>
    <w:rPr>
      <w:rFonts w:ascii="Times New Roman" w:hAnsi="Times New Roman" w:cs="Times New Roman" w:hint="default"/>
      <w:i w:val="0"/>
      <w:iCs w:val="0"/>
    </w:rPr>
  </w:style>
  <w:style w:type="character" w:customStyle="1" w:styleId="FootnoteTextChar2">
    <w:name w:val="Footnote Text Char2"/>
    <w:aliases w:val="Footnote Text Char Char Char1,Footnote Char1,Fußnote Char1,FSR footnote Char1,lábléc Char1,fn Char1,Texto nota pie Car Char1,notefranz Char1,Footnote Text Char1 Char1,Char Char"/>
    <w:uiPriority w:val="99"/>
    <w:semiHidden/>
    <w:locked/>
    <w:rPr>
      <w:sz w:val="18"/>
    </w:rPr>
  </w:style>
  <w:style w:type="paragraph" w:customStyle="1" w:styleId="IndentedHeading4">
    <w:name w:val="Indented Heading 4"/>
    <w:basedOn w:val="Heading4"/>
    <w:next w:val="Normal"/>
    <w:pPr>
      <w:numPr>
        <w:numId w:val="42"/>
      </w:numPr>
      <w:tabs>
        <w:tab w:val="clear" w:pos="3447"/>
        <w:tab w:val="num" w:pos="360"/>
        <w:tab w:val="num" w:pos="851"/>
      </w:tabs>
      <w:spacing w:before="120" w:after="120" w:line="300" w:lineRule="exact"/>
      <w:ind w:left="851" w:hanging="851"/>
    </w:pPr>
    <w:rPr>
      <w:rFonts w:eastAsia="MS Mincho" w:cs="Arial"/>
      <w:i/>
      <w:iCs/>
      <w:szCs w:val="16"/>
    </w:rPr>
  </w:style>
  <w:style w:type="paragraph" w:customStyle="1" w:styleId="IndentedHeading2">
    <w:name w:val="Indented Heading 2"/>
    <w:basedOn w:val="Heading2"/>
    <w:next w:val="Normal"/>
    <w:pPr>
      <w:numPr>
        <w:numId w:val="42"/>
      </w:numPr>
      <w:tabs>
        <w:tab w:val="clear" w:pos="2007"/>
        <w:tab w:val="num" w:pos="360"/>
        <w:tab w:val="num" w:pos="851"/>
      </w:tabs>
      <w:spacing w:before="360" w:after="120" w:line="300" w:lineRule="exact"/>
      <w:ind w:left="851" w:hanging="851"/>
    </w:pPr>
    <w:rPr>
      <w:rFonts w:eastAsia="MS Mincho" w:cs="Arial"/>
      <w:iCs/>
      <w:szCs w:val="28"/>
    </w:rPr>
  </w:style>
  <w:style w:type="paragraph" w:customStyle="1" w:styleId="IndentedHeading3">
    <w:name w:val="Indented Heading 3"/>
    <w:basedOn w:val="Heading3"/>
    <w:next w:val="Normal"/>
    <w:pPr>
      <w:numPr>
        <w:numId w:val="42"/>
      </w:numPr>
      <w:tabs>
        <w:tab w:val="clear" w:pos="2727"/>
        <w:tab w:val="num" w:pos="360"/>
        <w:tab w:val="num" w:pos="851"/>
      </w:tabs>
      <w:spacing w:before="240" w:after="120" w:line="300" w:lineRule="exact"/>
      <w:ind w:left="851" w:hanging="851"/>
    </w:pPr>
    <w:rPr>
      <w:rFonts w:eastAsia="MS Mincho" w:cs="Arial"/>
      <w:b/>
      <w:bCs/>
      <w:iCs/>
      <w:szCs w:val="26"/>
    </w:rPr>
  </w:style>
  <w:style w:type="character" w:customStyle="1" w:styleId="BulletChar">
    <w:name w:val="Bullet Char"/>
    <w:link w:val="Bullet"/>
    <w:locked/>
    <w:rPr>
      <w:sz w:val="24"/>
    </w:rPr>
  </w:style>
  <w:style w:type="paragraph" w:customStyle="1" w:styleId="Bullet">
    <w:name w:val="Bullet"/>
    <w:basedOn w:val="Normal"/>
    <w:link w:val="BulletChar"/>
    <w:pPr>
      <w:numPr>
        <w:numId w:val="42"/>
      </w:numPr>
      <w:spacing w:after="120" w:line="300" w:lineRule="exact"/>
    </w:pPr>
    <w:rPr>
      <w:lang w:eastAsia="en-GB"/>
    </w:rPr>
  </w:style>
  <w:style w:type="paragraph" w:styleId="Revision">
    <w:name w:val="Revision"/>
    <w:hidden/>
    <w:uiPriority w:val="99"/>
    <w:semiHidden/>
    <w:rPr>
      <w:sz w:val="24"/>
      <w:lang w:eastAsia="en-US"/>
    </w:rPr>
  </w:style>
  <w:style w:type="character" w:customStyle="1" w:styleId="FootnoteCharacters">
    <w:name w:val="Footnote Characters"/>
    <w:rPr>
      <w:vertAlign w:val="superscript"/>
    </w:rPr>
  </w:style>
  <w:style w:type="paragraph" w:customStyle="1" w:styleId="TOCHeading10">
    <w:name w:val="TOC Heading1"/>
    <w:basedOn w:val="Normal"/>
    <w:next w:val="Normal"/>
    <w:qFormat/>
    <w:pPr>
      <w:keepNext/>
      <w:spacing w:before="240"/>
      <w:jc w:val="center"/>
    </w:pPr>
    <w:rPr>
      <w:b/>
    </w:rPr>
  </w:style>
  <w:style w:type="character" w:customStyle="1" w:styleId="BookTitle10">
    <w:name w:val="Book Title1"/>
    <w:uiPriority w:val="33"/>
    <w:qFormat/>
    <w:rPr>
      <w:b/>
      <w:bCs/>
      <w:smallCaps/>
      <w:spacing w:val="5"/>
    </w:rPr>
  </w:style>
  <w:style w:type="character" w:customStyle="1" w:styleId="affairetitle">
    <w:name w:val="affaire_title"/>
    <w:basedOn w:val="DefaultParagraphFont"/>
  </w:style>
  <w:style w:type="paragraph" w:customStyle="1" w:styleId="LegalNumPar">
    <w:name w:val="LegalNumPar"/>
    <w:basedOn w:val="Normal"/>
    <w:pPr>
      <w:numPr>
        <w:numId w:val="85"/>
      </w:numPr>
    </w:pPr>
  </w:style>
  <w:style w:type="paragraph" w:customStyle="1" w:styleId="LegalNumPar2">
    <w:name w:val="LegalNumPar2"/>
    <w:basedOn w:val="Normal"/>
    <w:pPr>
      <w:numPr>
        <w:ilvl w:val="1"/>
        <w:numId w:val="85"/>
      </w:numPr>
    </w:pPr>
  </w:style>
  <w:style w:type="paragraph" w:customStyle="1" w:styleId="LegalNumPar3">
    <w:name w:val="LegalNumPar3"/>
    <w:basedOn w:val="Normal"/>
    <w:pPr>
      <w:numPr>
        <w:ilvl w:val="2"/>
        <w:numId w:val="85"/>
      </w:numPr>
    </w:p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210">
      <w:bodyDiv w:val="1"/>
      <w:marLeft w:val="0"/>
      <w:marRight w:val="0"/>
      <w:marTop w:val="0"/>
      <w:marBottom w:val="0"/>
      <w:divBdr>
        <w:top w:val="none" w:sz="0" w:space="0" w:color="auto"/>
        <w:left w:val="none" w:sz="0" w:space="0" w:color="auto"/>
        <w:bottom w:val="none" w:sz="0" w:space="0" w:color="auto"/>
        <w:right w:val="none" w:sz="0" w:space="0" w:color="auto"/>
      </w:divBdr>
    </w:div>
    <w:div w:id="92017296">
      <w:bodyDiv w:val="1"/>
      <w:marLeft w:val="0"/>
      <w:marRight w:val="0"/>
      <w:marTop w:val="0"/>
      <w:marBottom w:val="0"/>
      <w:divBdr>
        <w:top w:val="none" w:sz="0" w:space="0" w:color="auto"/>
        <w:left w:val="none" w:sz="0" w:space="0" w:color="auto"/>
        <w:bottom w:val="none" w:sz="0" w:space="0" w:color="auto"/>
        <w:right w:val="none" w:sz="0" w:space="0" w:color="auto"/>
      </w:divBdr>
    </w:div>
    <w:div w:id="101918546">
      <w:bodyDiv w:val="1"/>
      <w:marLeft w:val="0"/>
      <w:marRight w:val="0"/>
      <w:marTop w:val="0"/>
      <w:marBottom w:val="0"/>
      <w:divBdr>
        <w:top w:val="none" w:sz="0" w:space="0" w:color="auto"/>
        <w:left w:val="none" w:sz="0" w:space="0" w:color="auto"/>
        <w:bottom w:val="none" w:sz="0" w:space="0" w:color="auto"/>
        <w:right w:val="none" w:sz="0" w:space="0" w:color="auto"/>
      </w:divBdr>
    </w:div>
    <w:div w:id="443888823">
      <w:bodyDiv w:val="1"/>
      <w:marLeft w:val="0"/>
      <w:marRight w:val="0"/>
      <w:marTop w:val="0"/>
      <w:marBottom w:val="0"/>
      <w:divBdr>
        <w:top w:val="none" w:sz="0" w:space="0" w:color="auto"/>
        <w:left w:val="none" w:sz="0" w:space="0" w:color="auto"/>
        <w:bottom w:val="none" w:sz="0" w:space="0" w:color="auto"/>
        <w:right w:val="none" w:sz="0" w:space="0" w:color="auto"/>
      </w:divBdr>
    </w:div>
    <w:div w:id="637304363">
      <w:bodyDiv w:val="1"/>
      <w:marLeft w:val="0"/>
      <w:marRight w:val="0"/>
      <w:marTop w:val="0"/>
      <w:marBottom w:val="0"/>
      <w:divBdr>
        <w:top w:val="none" w:sz="0" w:space="0" w:color="auto"/>
        <w:left w:val="none" w:sz="0" w:space="0" w:color="auto"/>
        <w:bottom w:val="none" w:sz="0" w:space="0" w:color="auto"/>
        <w:right w:val="none" w:sz="0" w:space="0" w:color="auto"/>
      </w:divBdr>
    </w:div>
    <w:div w:id="654577874">
      <w:bodyDiv w:val="1"/>
      <w:marLeft w:val="0"/>
      <w:marRight w:val="0"/>
      <w:marTop w:val="0"/>
      <w:marBottom w:val="0"/>
      <w:divBdr>
        <w:top w:val="none" w:sz="0" w:space="0" w:color="auto"/>
        <w:left w:val="none" w:sz="0" w:space="0" w:color="auto"/>
        <w:bottom w:val="none" w:sz="0" w:space="0" w:color="auto"/>
        <w:right w:val="none" w:sz="0" w:space="0" w:color="auto"/>
      </w:divBdr>
    </w:div>
    <w:div w:id="655300944">
      <w:bodyDiv w:val="1"/>
      <w:marLeft w:val="0"/>
      <w:marRight w:val="0"/>
      <w:marTop w:val="0"/>
      <w:marBottom w:val="0"/>
      <w:divBdr>
        <w:top w:val="none" w:sz="0" w:space="0" w:color="auto"/>
        <w:left w:val="none" w:sz="0" w:space="0" w:color="auto"/>
        <w:bottom w:val="none" w:sz="0" w:space="0" w:color="auto"/>
        <w:right w:val="none" w:sz="0" w:space="0" w:color="auto"/>
      </w:divBdr>
    </w:div>
    <w:div w:id="677191716">
      <w:bodyDiv w:val="1"/>
      <w:marLeft w:val="1134"/>
      <w:marRight w:val="1134"/>
      <w:marTop w:val="0"/>
      <w:marBottom w:val="0"/>
      <w:divBdr>
        <w:top w:val="none" w:sz="0" w:space="0" w:color="auto"/>
        <w:left w:val="none" w:sz="0" w:space="0" w:color="auto"/>
        <w:bottom w:val="none" w:sz="0" w:space="0" w:color="auto"/>
        <w:right w:val="none" w:sz="0" w:space="0" w:color="auto"/>
      </w:divBdr>
      <w:divsChild>
        <w:div w:id="1068573432">
          <w:marLeft w:val="0"/>
          <w:marRight w:val="0"/>
          <w:marTop w:val="0"/>
          <w:marBottom w:val="0"/>
          <w:divBdr>
            <w:top w:val="none" w:sz="0" w:space="0" w:color="auto"/>
            <w:left w:val="none" w:sz="0" w:space="0" w:color="auto"/>
            <w:bottom w:val="none" w:sz="0" w:space="0" w:color="auto"/>
            <w:right w:val="none" w:sz="0" w:space="0" w:color="auto"/>
          </w:divBdr>
          <w:divsChild>
            <w:div w:id="1836610406">
              <w:marLeft w:val="2700"/>
              <w:marRight w:val="2250"/>
              <w:marTop w:val="600"/>
              <w:marBottom w:val="0"/>
              <w:divBdr>
                <w:top w:val="none" w:sz="0" w:space="0" w:color="auto"/>
                <w:left w:val="none" w:sz="0" w:space="0" w:color="auto"/>
                <w:bottom w:val="none" w:sz="0" w:space="0" w:color="auto"/>
                <w:right w:val="none" w:sz="0" w:space="0" w:color="auto"/>
              </w:divBdr>
              <w:divsChild>
                <w:div w:id="1306622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804116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85">
          <w:marLeft w:val="547"/>
          <w:marRight w:val="0"/>
          <w:marTop w:val="86"/>
          <w:marBottom w:val="0"/>
          <w:divBdr>
            <w:top w:val="none" w:sz="0" w:space="0" w:color="auto"/>
            <w:left w:val="none" w:sz="0" w:space="0" w:color="auto"/>
            <w:bottom w:val="none" w:sz="0" w:space="0" w:color="auto"/>
            <w:right w:val="none" w:sz="0" w:space="0" w:color="auto"/>
          </w:divBdr>
        </w:div>
        <w:div w:id="2089227261">
          <w:marLeft w:val="547"/>
          <w:marRight w:val="0"/>
          <w:marTop w:val="86"/>
          <w:marBottom w:val="0"/>
          <w:divBdr>
            <w:top w:val="none" w:sz="0" w:space="0" w:color="auto"/>
            <w:left w:val="none" w:sz="0" w:space="0" w:color="auto"/>
            <w:bottom w:val="none" w:sz="0" w:space="0" w:color="auto"/>
            <w:right w:val="none" w:sz="0" w:space="0" w:color="auto"/>
          </w:divBdr>
        </w:div>
      </w:divsChild>
    </w:div>
    <w:div w:id="1018773427">
      <w:bodyDiv w:val="1"/>
      <w:marLeft w:val="0"/>
      <w:marRight w:val="0"/>
      <w:marTop w:val="0"/>
      <w:marBottom w:val="0"/>
      <w:divBdr>
        <w:top w:val="none" w:sz="0" w:space="0" w:color="auto"/>
        <w:left w:val="none" w:sz="0" w:space="0" w:color="auto"/>
        <w:bottom w:val="none" w:sz="0" w:space="0" w:color="auto"/>
        <w:right w:val="none" w:sz="0" w:space="0" w:color="auto"/>
      </w:divBdr>
    </w:div>
    <w:div w:id="1031877622">
      <w:bodyDiv w:val="1"/>
      <w:marLeft w:val="0"/>
      <w:marRight w:val="0"/>
      <w:marTop w:val="0"/>
      <w:marBottom w:val="0"/>
      <w:divBdr>
        <w:top w:val="none" w:sz="0" w:space="0" w:color="auto"/>
        <w:left w:val="none" w:sz="0" w:space="0" w:color="auto"/>
        <w:bottom w:val="none" w:sz="0" w:space="0" w:color="auto"/>
        <w:right w:val="none" w:sz="0" w:space="0" w:color="auto"/>
      </w:divBdr>
    </w:div>
    <w:div w:id="1033119742">
      <w:bodyDiv w:val="1"/>
      <w:marLeft w:val="0"/>
      <w:marRight w:val="0"/>
      <w:marTop w:val="0"/>
      <w:marBottom w:val="0"/>
      <w:divBdr>
        <w:top w:val="none" w:sz="0" w:space="0" w:color="auto"/>
        <w:left w:val="none" w:sz="0" w:space="0" w:color="auto"/>
        <w:bottom w:val="none" w:sz="0" w:space="0" w:color="auto"/>
        <w:right w:val="none" w:sz="0" w:space="0" w:color="auto"/>
      </w:divBdr>
    </w:div>
    <w:div w:id="1064329025">
      <w:bodyDiv w:val="1"/>
      <w:marLeft w:val="0"/>
      <w:marRight w:val="0"/>
      <w:marTop w:val="0"/>
      <w:marBottom w:val="0"/>
      <w:divBdr>
        <w:top w:val="none" w:sz="0" w:space="0" w:color="auto"/>
        <w:left w:val="none" w:sz="0" w:space="0" w:color="auto"/>
        <w:bottom w:val="none" w:sz="0" w:space="0" w:color="auto"/>
        <w:right w:val="none" w:sz="0" w:space="0" w:color="auto"/>
      </w:divBdr>
    </w:div>
    <w:div w:id="1076123918">
      <w:bodyDiv w:val="1"/>
      <w:marLeft w:val="0"/>
      <w:marRight w:val="0"/>
      <w:marTop w:val="0"/>
      <w:marBottom w:val="0"/>
      <w:divBdr>
        <w:top w:val="none" w:sz="0" w:space="0" w:color="auto"/>
        <w:left w:val="none" w:sz="0" w:space="0" w:color="auto"/>
        <w:bottom w:val="none" w:sz="0" w:space="0" w:color="auto"/>
        <w:right w:val="none" w:sz="0" w:space="0" w:color="auto"/>
      </w:divBdr>
    </w:div>
    <w:div w:id="1113131218">
      <w:bodyDiv w:val="1"/>
      <w:marLeft w:val="1134"/>
      <w:marRight w:val="1134"/>
      <w:marTop w:val="0"/>
      <w:marBottom w:val="0"/>
      <w:divBdr>
        <w:top w:val="none" w:sz="0" w:space="0" w:color="auto"/>
        <w:left w:val="none" w:sz="0" w:space="0" w:color="auto"/>
        <w:bottom w:val="none" w:sz="0" w:space="0" w:color="auto"/>
        <w:right w:val="none" w:sz="0" w:space="0" w:color="auto"/>
      </w:divBdr>
      <w:divsChild>
        <w:div w:id="1920677383">
          <w:marLeft w:val="0"/>
          <w:marRight w:val="0"/>
          <w:marTop w:val="0"/>
          <w:marBottom w:val="0"/>
          <w:divBdr>
            <w:top w:val="none" w:sz="0" w:space="0" w:color="auto"/>
            <w:left w:val="none" w:sz="0" w:space="0" w:color="auto"/>
            <w:bottom w:val="none" w:sz="0" w:space="0" w:color="auto"/>
            <w:right w:val="none" w:sz="0" w:space="0" w:color="auto"/>
          </w:divBdr>
          <w:divsChild>
            <w:div w:id="540290721">
              <w:marLeft w:val="2700"/>
              <w:marRight w:val="2250"/>
              <w:marTop w:val="600"/>
              <w:marBottom w:val="0"/>
              <w:divBdr>
                <w:top w:val="none" w:sz="0" w:space="0" w:color="auto"/>
                <w:left w:val="none" w:sz="0" w:space="0" w:color="auto"/>
                <w:bottom w:val="none" w:sz="0" w:space="0" w:color="auto"/>
                <w:right w:val="none" w:sz="0" w:space="0" w:color="auto"/>
              </w:divBdr>
              <w:divsChild>
                <w:div w:id="42677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39616526">
      <w:bodyDiv w:val="1"/>
      <w:marLeft w:val="0"/>
      <w:marRight w:val="0"/>
      <w:marTop w:val="0"/>
      <w:marBottom w:val="0"/>
      <w:divBdr>
        <w:top w:val="none" w:sz="0" w:space="0" w:color="auto"/>
        <w:left w:val="none" w:sz="0" w:space="0" w:color="auto"/>
        <w:bottom w:val="none" w:sz="0" w:space="0" w:color="auto"/>
        <w:right w:val="none" w:sz="0" w:space="0" w:color="auto"/>
      </w:divBdr>
    </w:div>
    <w:div w:id="1164583892">
      <w:bodyDiv w:val="1"/>
      <w:marLeft w:val="0"/>
      <w:marRight w:val="0"/>
      <w:marTop w:val="0"/>
      <w:marBottom w:val="0"/>
      <w:divBdr>
        <w:top w:val="none" w:sz="0" w:space="0" w:color="auto"/>
        <w:left w:val="none" w:sz="0" w:space="0" w:color="auto"/>
        <w:bottom w:val="none" w:sz="0" w:space="0" w:color="auto"/>
        <w:right w:val="none" w:sz="0" w:space="0" w:color="auto"/>
      </w:divBdr>
    </w:div>
    <w:div w:id="12114608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7814202">
      <w:bodyDiv w:val="1"/>
      <w:marLeft w:val="1134"/>
      <w:marRight w:val="1134"/>
      <w:marTop w:val="0"/>
      <w:marBottom w:val="0"/>
      <w:divBdr>
        <w:top w:val="none" w:sz="0" w:space="0" w:color="auto"/>
        <w:left w:val="none" w:sz="0" w:space="0" w:color="auto"/>
        <w:bottom w:val="none" w:sz="0" w:space="0" w:color="auto"/>
        <w:right w:val="none" w:sz="0" w:space="0" w:color="auto"/>
      </w:divBdr>
      <w:divsChild>
        <w:div w:id="1020820287">
          <w:marLeft w:val="0"/>
          <w:marRight w:val="0"/>
          <w:marTop w:val="0"/>
          <w:marBottom w:val="0"/>
          <w:divBdr>
            <w:top w:val="none" w:sz="0" w:space="0" w:color="auto"/>
            <w:left w:val="none" w:sz="0" w:space="0" w:color="auto"/>
            <w:bottom w:val="none" w:sz="0" w:space="0" w:color="auto"/>
            <w:right w:val="none" w:sz="0" w:space="0" w:color="auto"/>
          </w:divBdr>
          <w:divsChild>
            <w:div w:id="625355831">
              <w:marLeft w:val="2700"/>
              <w:marRight w:val="2250"/>
              <w:marTop w:val="600"/>
              <w:marBottom w:val="0"/>
              <w:divBdr>
                <w:top w:val="none" w:sz="0" w:space="0" w:color="auto"/>
                <w:left w:val="none" w:sz="0" w:space="0" w:color="auto"/>
                <w:bottom w:val="none" w:sz="0" w:space="0" w:color="auto"/>
                <w:right w:val="none" w:sz="0" w:space="0" w:color="auto"/>
              </w:divBdr>
              <w:divsChild>
                <w:div w:id="87866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1282363">
      <w:bodyDiv w:val="1"/>
      <w:marLeft w:val="0"/>
      <w:marRight w:val="0"/>
      <w:marTop w:val="0"/>
      <w:marBottom w:val="0"/>
      <w:divBdr>
        <w:top w:val="none" w:sz="0" w:space="0" w:color="auto"/>
        <w:left w:val="none" w:sz="0" w:space="0" w:color="auto"/>
        <w:bottom w:val="none" w:sz="0" w:space="0" w:color="auto"/>
        <w:right w:val="none" w:sz="0" w:space="0" w:color="auto"/>
      </w:divBdr>
    </w:div>
    <w:div w:id="1296989924">
      <w:bodyDiv w:val="1"/>
      <w:marLeft w:val="0"/>
      <w:marRight w:val="0"/>
      <w:marTop w:val="0"/>
      <w:marBottom w:val="0"/>
      <w:divBdr>
        <w:top w:val="none" w:sz="0" w:space="0" w:color="auto"/>
        <w:left w:val="none" w:sz="0" w:space="0" w:color="auto"/>
        <w:bottom w:val="none" w:sz="0" w:space="0" w:color="auto"/>
        <w:right w:val="none" w:sz="0" w:space="0" w:color="auto"/>
      </w:divBdr>
    </w:div>
    <w:div w:id="1537155038">
      <w:bodyDiv w:val="1"/>
      <w:marLeft w:val="0"/>
      <w:marRight w:val="0"/>
      <w:marTop w:val="0"/>
      <w:marBottom w:val="0"/>
      <w:divBdr>
        <w:top w:val="none" w:sz="0" w:space="0" w:color="auto"/>
        <w:left w:val="none" w:sz="0" w:space="0" w:color="auto"/>
        <w:bottom w:val="none" w:sz="0" w:space="0" w:color="auto"/>
        <w:right w:val="none" w:sz="0" w:space="0" w:color="auto"/>
      </w:divBdr>
    </w:div>
    <w:div w:id="1686244330">
      <w:bodyDiv w:val="1"/>
      <w:marLeft w:val="0"/>
      <w:marRight w:val="0"/>
      <w:marTop w:val="0"/>
      <w:marBottom w:val="0"/>
      <w:divBdr>
        <w:top w:val="none" w:sz="0" w:space="0" w:color="auto"/>
        <w:left w:val="none" w:sz="0" w:space="0" w:color="auto"/>
        <w:bottom w:val="none" w:sz="0" w:space="0" w:color="auto"/>
        <w:right w:val="none" w:sz="0" w:space="0" w:color="auto"/>
      </w:divBdr>
    </w:div>
    <w:div w:id="1709528369">
      <w:bodyDiv w:val="1"/>
      <w:marLeft w:val="0"/>
      <w:marRight w:val="0"/>
      <w:marTop w:val="0"/>
      <w:marBottom w:val="0"/>
      <w:divBdr>
        <w:top w:val="none" w:sz="0" w:space="0" w:color="auto"/>
        <w:left w:val="none" w:sz="0" w:space="0" w:color="auto"/>
        <w:bottom w:val="none" w:sz="0" w:space="0" w:color="auto"/>
        <w:right w:val="none" w:sz="0" w:space="0" w:color="auto"/>
      </w:divBdr>
    </w:div>
    <w:div w:id="1767261610">
      <w:bodyDiv w:val="1"/>
      <w:marLeft w:val="0"/>
      <w:marRight w:val="0"/>
      <w:marTop w:val="0"/>
      <w:marBottom w:val="0"/>
      <w:divBdr>
        <w:top w:val="none" w:sz="0" w:space="0" w:color="auto"/>
        <w:left w:val="none" w:sz="0" w:space="0" w:color="auto"/>
        <w:bottom w:val="none" w:sz="0" w:space="0" w:color="auto"/>
        <w:right w:val="none" w:sz="0" w:space="0" w:color="auto"/>
      </w:divBdr>
    </w:div>
    <w:div w:id="1801410804">
      <w:bodyDiv w:val="1"/>
      <w:marLeft w:val="0"/>
      <w:marRight w:val="0"/>
      <w:marTop w:val="0"/>
      <w:marBottom w:val="0"/>
      <w:divBdr>
        <w:top w:val="none" w:sz="0" w:space="0" w:color="auto"/>
        <w:left w:val="none" w:sz="0" w:space="0" w:color="auto"/>
        <w:bottom w:val="none" w:sz="0" w:space="0" w:color="auto"/>
        <w:right w:val="none" w:sz="0" w:space="0" w:color="auto"/>
      </w:divBdr>
    </w:div>
    <w:div w:id="1856915198">
      <w:bodyDiv w:val="1"/>
      <w:marLeft w:val="0"/>
      <w:marRight w:val="0"/>
      <w:marTop w:val="0"/>
      <w:marBottom w:val="0"/>
      <w:divBdr>
        <w:top w:val="none" w:sz="0" w:space="0" w:color="auto"/>
        <w:left w:val="none" w:sz="0" w:space="0" w:color="auto"/>
        <w:bottom w:val="none" w:sz="0" w:space="0" w:color="auto"/>
        <w:right w:val="none" w:sz="0" w:space="0" w:color="auto"/>
      </w:divBdr>
    </w:div>
    <w:div w:id="1923754512">
      <w:bodyDiv w:val="1"/>
      <w:marLeft w:val="0"/>
      <w:marRight w:val="0"/>
      <w:marTop w:val="0"/>
      <w:marBottom w:val="0"/>
      <w:divBdr>
        <w:top w:val="none" w:sz="0" w:space="0" w:color="auto"/>
        <w:left w:val="none" w:sz="0" w:space="0" w:color="auto"/>
        <w:bottom w:val="none" w:sz="0" w:space="0" w:color="auto"/>
        <w:right w:val="none" w:sz="0" w:space="0" w:color="auto"/>
      </w:divBdr>
    </w:div>
    <w:div w:id="1971323417">
      <w:bodyDiv w:val="1"/>
      <w:marLeft w:val="0"/>
      <w:marRight w:val="0"/>
      <w:marTop w:val="0"/>
      <w:marBottom w:val="0"/>
      <w:divBdr>
        <w:top w:val="none" w:sz="0" w:space="0" w:color="auto"/>
        <w:left w:val="none" w:sz="0" w:space="0" w:color="auto"/>
        <w:bottom w:val="none" w:sz="0" w:space="0" w:color="auto"/>
        <w:right w:val="none" w:sz="0" w:space="0" w:color="auto"/>
      </w:divBdr>
    </w:div>
    <w:div w:id="1979067369">
      <w:bodyDiv w:val="1"/>
      <w:marLeft w:val="0"/>
      <w:marRight w:val="0"/>
      <w:marTop w:val="0"/>
      <w:marBottom w:val="0"/>
      <w:divBdr>
        <w:top w:val="none" w:sz="0" w:space="0" w:color="auto"/>
        <w:left w:val="none" w:sz="0" w:space="0" w:color="auto"/>
        <w:bottom w:val="none" w:sz="0" w:space="0" w:color="auto"/>
        <w:right w:val="none" w:sz="0" w:space="0" w:color="auto"/>
      </w:divBdr>
    </w:div>
    <w:div w:id="2087993385">
      <w:bodyDiv w:val="1"/>
      <w:marLeft w:val="0"/>
      <w:marRight w:val="0"/>
      <w:marTop w:val="0"/>
      <w:marBottom w:val="0"/>
      <w:divBdr>
        <w:top w:val="none" w:sz="0" w:space="0" w:color="auto"/>
        <w:left w:val="none" w:sz="0" w:space="0" w:color="auto"/>
        <w:bottom w:val="none" w:sz="0" w:space="0" w:color="auto"/>
        <w:right w:val="none" w:sz="0" w:space="0" w:color="auto"/>
      </w:divBdr>
      <w:divsChild>
        <w:div w:id="163131326">
          <w:marLeft w:val="547"/>
          <w:marRight w:val="0"/>
          <w:marTop w:val="86"/>
          <w:marBottom w:val="0"/>
          <w:divBdr>
            <w:top w:val="none" w:sz="0" w:space="0" w:color="auto"/>
            <w:left w:val="none" w:sz="0" w:space="0" w:color="auto"/>
            <w:bottom w:val="none" w:sz="0" w:space="0" w:color="auto"/>
            <w:right w:val="none" w:sz="0" w:space="0" w:color="auto"/>
          </w:divBdr>
        </w:div>
        <w:div w:id="2002855411">
          <w:marLeft w:val="547"/>
          <w:marRight w:val="0"/>
          <w:marTop w:val="86"/>
          <w:marBottom w:val="0"/>
          <w:divBdr>
            <w:top w:val="none" w:sz="0" w:space="0" w:color="auto"/>
            <w:left w:val="none" w:sz="0" w:space="0" w:color="auto"/>
            <w:bottom w:val="none" w:sz="0" w:space="0" w:color="auto"/>
            <w:right w:val="none" w:sz="0" w:space="0" w:color="auto"/>
          </w:divBdr>
        </w:div>
      </w:divsChild>
    </w:div>
    <w:div w:id="210456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2" ma:contentTypeDescription="Create a new document." ma:contentTypeScope="" ma:versionID="a0d31a0c39dec734dfb2a43a3a7bb84d">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bdd0af361d774e91f4cd24a1cfbfdff6"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hidden="true" ma:indexed="true" ma:internalName="Accep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Council</Accepting_x0020_institution>
    <Request_x0020_status xmlns="78a0e2ee-3938-4f99-9afb-c9ff7c3200b8">Completed</Request_x0020_status>
    <Source xmlns="78a0e2ee-3938-4f99-9afb-c9ff7c3200b8">EN</Source>
    <Target xmlns="78a0e2ee-3938-4f99-9afb-c9ff7c3200b8">SK</Target>
    <Document_x0020_deadline xmlns="78a0e2ee-3938-4f99-9afb-c9ff7c3200b8">2017-05-17T15:00:00+00:00</Document_x0020_deadline>
    <Requesting_x0020_institution xmlns="78a0e2ee-3938-4f99-9afb-c9ff7c3200b8">Commission</Requesting_x0020_institution>
    <Request_x0020_deadline xmlns="78a0e2ee-3938-4f99-9afb-c9ff7c3200b8">2017-04-26T10:00:00+00:00</Request_x0020_deadline>
    <Pages0 xmlns="78a0e2ee-3938-4f99-9afb-c9ff7c3200b8">6</Pages0>
    <Task xmlns="78a0e2ee-3938-4f99-9afb-c9ff7c3200b8">Translation</Task>
    <Comments xmlns="78a0e2ee-3938-4f99-9afb-c9ff7c3200b8">Dear colleagues, please find attached a zip file with translation memories and a segmented xliff file to be used for translation. Please send us the translated bilingual xliff file as well. Thank you!
*************
Dear colleagues, please note that:
- the Council internal doc. no. is SN 2658/17
- this reference (WLB-2017-1977, SN 2658/17) was identical with WLB-2017-1974 (SN 2657/17), that was cancelled in the meantime
- correspondence about this between M. Filiac and Mrs. Ondreickova</Comments>
    <Document_x0020_type xmlns="78a0e2ee-3938-4f99-9afb-c9ff7c3200b8">Target document</Document_x0020_type>
    <Contact_x0020_person xmlns="78a0e2ee-3938-4f99-9afb-c9ff7c3200b8">
      <UserInfo>
        <DisplayName>DGT SK 1 Secretariat Commission</DisplayName>
        <AccountId>284</AccountId>
        <AccountType/>
      </UserInfo>
    </Contact_x0020_person>
    <Hidden_x0020_Request_x0020_status xmlns="78a0e2ee-3938-4f99-9afb-c9ff7c3200b8">Requested</Hidden_x0020_Request_x0020_status>
    <ProjNumb xmlns="78a0e2ee-3938-4f99-9afb-c9ff7c3200b8">1977</ProjNumb>
    <_dlc_DocId xmlns="7e3d4bce-aabc-4755-98da-817e5aba80dc">YHF3XUVWXNUU-9-9812</_dlc_DocId>
    <_dlc_DocIdUrl xmlns="7e3d4bce-aabc-4755-98da-817e5aba80dc">
      <Url>http://xteam/sites/wls/restricted/_layouts/15/DocIdRedir.aspx?ID=YHF3XUVWXNUU-9-9812</Url>
      <Description>YHF3XUVWXNUU-9-9812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6FA6-0A73-4E9A-BA89-46203D489F39}">
  <ds:schemaRefs>
    <ds:schemaRef ds:uri="http://schemas.microsoft.com/sharepoint/v3/contenttype/forms"/>
  </ds:schemaRefs>
</ds:datastoreItem>
</file>

<file path=customXml/itemProps2.xml><?xml version="1.0" encoding="utf-8"?>
<ds:datastoreItem xmlns:ds="http://schemas.openxmlformats.org/officeDocument/2006/customXml" ds:itemID="{E975798B-B9A9-4411-877C-88BF9F51ED50}">
  <ds:schemaRefs>
    <ds:schemaRef ds:uri="http://schemas.microsoft.com/sharepoint/events"/>
  </ds:schemaRefs>
</ds:datastoreItem>
</file>

<file path=customXml/itemProps3.xml><?xml version="1.0" encoding="utf-8"?>
<ds:datastoreItem xmlns:ds="http://schemas.openxmlformats.org/officeDocument/2006/customXml" ds:itemID="{916739F8-5345-4CB9-B3DB-5F37141C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98D6F-1064-4ED4-A46D-E740DD6B54EF}">
  <ds:schemaRefs>
    <ds:schemaRef ds:uri="http://www.w3.org/XML/1998/namespace"/>
    <ds:schemaRef ds:uri="http://schemas.openxmlformats.org/package/2006/metadata/core-properties"/>
    <ds:schemaRef ds:uri="http://schemas.microsoft.com/office/infopath/2007/PartnerControls"/>
    <ds:schemaRef ds:uri="78a0e2ee-3938-4f99-9afb-c9ff7c3200b8"/>
    <ds:schemaRef ds:uri="7e3d4bce-aabc-4755-98da-817e5aba80dc"/>
    <ds:schemaRef ds:uri="http://schemas.microsoft.com/office/2006/documentManagement/types"/>
    <ds:schemaRef ds:uri="http://schemas.microsoft.com/office/2006/metadata/propertie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056C5FBD-3C1F-448B-A3C1-E695176F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TotalTime>
  <Pages>4</Pages>
  <Words>1457</Words>
  <Characters>9663</Characters>
  <Application>Microsoft Office Word</Application>
  <DocSecurity>0</DocSecurity>
  <PresentationFormat>Microsoft Word 14.0</PresentationFormat>
  <Lines>134</Lines>
  <Paragraphs>46</Paragraphs>
  <ScaleCrop>false</ScaleCrop>
  <HeadingPairs>
    <vt:vector size="2" baseType="variant">
      <vt:variant>
        <vt:lpstr>Title</vt:lpstr>
      </vt:variant>
      <vt:variant>
        <vt:i4>1</vt:i4>
      </vt:variant>
    </vt:vector>
  </HeadingPairs>
  <TitlesOfParts>
    <vt:vector size="1" baseType="lpstr">
      <vt:lpstr>28082015 Impact Assessment for CCP recovery and resolution proposal</vt:lpstr>
    </vt:vector>
  </TitlesOfParts>
  <Manager/>
  <Company/>
  <LinksUpToDate>false</LinksUpToDate>
  <CharactersWithSpaces>11074</CharactersWithSpaces>
  <SharedDoc>false</SharedDoc>
  <HLinks>
    <vt:vector size="606" baseType="variant">
      <vt:variant>
        <vt:i4>1900559</vt:i4>
      </vt:variant>
      <vt:variant>
        <vt:i4>264</vt:i4>
      </vt:variant>
      <vt:variant>
        <vt:i4>0</vt:i4>
      </vt:variant>
      <vt:variant>
        <vt:i4>5</vt:i4>
      </vt:variant>
      <vt:variant>
        <vt:lpwstr>http://www.bis.org/press/p140901.htm</vt:lpwstr>
      </vt:variant>
      <vt:variant>
        <vt:lpwstr/>
      </vt:variant>
      <vt:variant>
        <vt:i4>1179697</vt:i4>
      </vt:variant>
      <vt:variant>
        <vt:i4>248</vt:i4>
      </vt:variant>
      <vt:variant>
        <vt:i4>0</vt:i4>
      </vt:variant>
      <vt:variant>
        <vt:i4>5</vt:i4>
      </vt:variant>
      <vt:variant>
        <vt:lpwstr/>
      </vt:variant>
      <vt:variant>
        <vt:lpwstr>_Toc412736457</vt:lpwstr>
      </vt:variant>
      <vt:variant>
        <vt:i4>1179697</vt:i4>
      </vt:variant>
      <vt:variant>
        <vt:i4>242</vt:i4>
      </vt:variant>
      <vt:variant>
        <vt:i4>0</vt:i4>
      </vt:variant>
      <vt:variant>
        <vt:i4>5</vt:i4>
      </vt:variant>
      <vt:variant>
        <vt:lpwstr/>
      </vt:variant>
      <vt:variant>
        <vt:lpwstr>_Toc412736456</vt:lpwstr>
      </vt:variant>
      <vt:variant>
        <vt:i4>1179697</vt:i4>
      </vt:variant>
      <vt:variant>
        <vt:i4>236</vt:i4>
      </vt:variant>
      <vt:variant>
        <vt:i4>0</vt:i4>
      </vt:variant>
      <vt:variant>
        <vt:i4>5</vt:i4>
      </vt:variant>
      <vt:variant>
        <vt:lpwstr/>
      </vt:variant>
      <vt:variant>
        <vt:lpwstr>_Toc412736455</vt:lpwstr>
      </vt:variant>
      <vt:variant>
        <vt:i4>1179697</vt:i4>
      </vt:variant>
      <vt:variant>
        <vt:i4>230</vt:i4>
      </vt:variant>
      <vt:variant>
        <vt:i4>0</vt:i4>
      </vt:variant>
      <vt:variant>
        <vt:i4>5</vt:i4>
      </vt:variant>
      <vt:variant>
        <vt:lpwstr/>
      </vt:variant>
      <vt:variant>
        <vt:lpwstr>_Toc412736454</vt:lpwstr>
      </vt:variant>
      <vt:variant>
        <vt:i4>1179697</vt:i4>
      </vt:variant>
      <vt:variant>
        <vt:i4>224</vt:i4>
      </vt:variant>
      <vt:variant>
        <vt:i4>0</vt:i4>
      </vt:variant>
      <vt:variant>
        <vt:i4>5</vt:i4>
      </vt:variant>
      <vt:variant>
        <vt:lpwstr/>
      </vt:variant>
      <vt:variant>
        <vt:lpwstr>_Toc412736453</vt:lpwstr>
      </vt:variant>
      <vt:variant>
        <vt:i4>1179697</vt:i4>
      </vt:variant>
      <vt:variant>
        <vt:i4>218</vt:i4>
      </vt:variant>
      <vt:variant>
        <vt:i4>0</vt:i4>
      </vt:variant>
      <vt:variant>
        <vt:i4>5</vt:i4>
      </vt:variant>
      <vt:variant>
        <vt:lpwstr/>
      </vt:variant>
      <vt:variant>
        <vt:lpwstr>_Toc412736452</vt:lpwstr>
      </vt:variant>
      <vt:variant>
        <vt:i4>1179697</vt:i4>
      </vt:variant>
      <vt:variant>
        <vt:i4>212</vt:i4>
      </vt:variant>
      <vt:variant>
        <vt:i4>0</vt:i4>
      </vt:variant>
      <vt:variant>
        <vt:i4>5</vt:i4>
      </vt:variant>
      <vt:variant>
        <vt:lpwstr/>
      </vt:variant>
      <vt:variant>
        <vt:lpwstr>_Toc412736451</vt:lpwstr>
      </vt:variant>
      <vt:variant>
        <vt:i4>1179697</vt:i4>
      </vt:variant>
      <vt:variant>
        <vt:i4>206</vt:i4>
      </vt:variant>
      <vt:variant>
        <vt:i4>0</vt:i4>
      </vt:variant>
      <vt:variant>
        <vt:i4>5</vt:i4>
      </vt:variant>
      <vt:variant>
        <vt:lpwstr/>
      </vt:variant>
      <vt:variant>
        <vt:lpwstr>_Toc412736450</vt:lpwstr>
      </vt:variant>
      <vt:variant>
        <vt:i4>1245233</vt:i4>
      </vt:variant>
      <vt:variant>
        <vt:i4>200</vt:i4>
      </vt:variant>
      <vt:variant>
        <vt:i4>0</vt:i4>
      </vt:variant>
      <vt:variant>
        <vt:i4>5</vt:i4>
      </vt:variant>
      <vt:variant>
        <vt:lpwstr/>
      </vt:variant>
      <vt:variant>
        <vt:lpwstr>_Toc412736449</vt:lpwstr>
      </vt:variant>
      <vt:variant>
        <vt:i4>1245233</vt:i4>
      </vt:variant>
      <vt:variant>
        <vt:i4>194</vt:i4>
      </vt:variant>
      <vt:variant>
        <vt:i4>0</vt:i4>
      </vt:variant>
      <vt:variant>
        <vt:i4>5</vt:i4>
      </vt:variant>
      <vt:variant>
        <vt:lpwstr/>
      </vt:variant>
      <vt:variant>
        <vt:lpwstr>_Toc412736448</vt:lpwstr>
      </vt:variant>
      <vt:variant>
        <vt:i4>1245233</vt:i4>
      </vt:variant>
      <vt:variant>
        <vt:i4>188</vt:i4>
      </vt:variant>
      <vt:variant>
        <vt:i4>0</vt:i4>
      </vt:variant>
      <vt:variant>
        <vt:i4>5</vt:i4>
      </vt:variant>
      <vt:variant>
        <vt:lpwstr/>
      </vt:variant>
      <vt:variant>
        <vt:lpwstr>_Toc412736447</vt:lpwstr>
      </vt:variant>
      <vt:variant>
        <vt:i4>1245233</vt:i4>
      </vt:variant>
      <vt:variant>
        <vt:i4>182</vt:i4>
      </vt:variant>
      <vt:variant>
        <vt:i4>0</vt:i4>
      </vt:variant>
      <vt:variant>
        <vt:i4>5</vt:i4>
      </vt:variant>
      <vt:variant>
        <vt:lpwstr/>
      </vt:variant>
      <vt:variant>
        <vt:lpwstr>_Toc412736446</vt:lpwstr>
      </vt:variant>
      <vt:variant>
        <vt:i4>1245233</vt:i4>
      </vt:variant>
      <vt:variant>
        <vt:i4>176</vt:i4>
      </vt:variant>
      <vt:variant>
        <vt:i4>0</vt:i4>
      </vt:variant>
      <vt:variant>
        <vt:i4>5</vt:i4>
      </vt:variant>
      <vt:variant>
        <vt:lpwstr/>
      </vt:variant>
      <vt:variant>
        <vt:lpwstr>_Toc412736445</vt:lpwstr>
      </vt:variant>
      <vt:variant>
        <vt:i4>1245233</vt:i4>
      </vt:variant>
      <vt:variant>
        <vt:i4>170</vt:i4>
      </vt:variant>
      <vt:variant>
        <vt:i4>0</vt:i4>
      </vt:variant>
      <vt:variant>
        <vt:i4>5</vt:i4>
      </vt:variant>
      <vt:variant>
        <vt:lpwstr/>
      </vt:variant>
      <vt:variant>
        <vt:lpwstr>_Toc412736444</vt:lpwstr>
      </vt:variant>
      <vt:variant>
        <vt:i4>1245233</vt:i4>
      </vt:variant>
      <vt:variant>
        <vt:i4>164</vt:i4>
      </vt:variant>
      <vt:variant>
        <vt:i4>0</vt:i4>
      </vt:variant>
      <vt:variant>
        <vt:i4>5</vt:i4>
      </vt:variant>
      <vt:variant>
        <vt:lpwstr/>
      </vt:variant>
      <vt:variant>
        <vt:lpwstr>_Toc412736443</vt:lpwstr>
      </vt:variant>
      <vt:variant>
        <vt:i4>1245233</vt:i4>
      </vt:variant>
      <vt:variant>
        <vt:i4>158</vt:i4>
      </vt:variant>
      <vt:variant>
        <vt:i4>0</vt:i4>
      </vt:variant>
      <vt:variant>
        <vt:i4>5</vt:i4>
      </vt:variant>
      <vt:variant>
        <vt:lpwstr/>
      </vt:variant>
      <vt:variant>
        <vt:lpwstr>_Toc412736442</vt:lpwstr>
      </vt:variant>
      <vt:variant>
        <vt:i4>1245233</vt:i4>
      </vt:variant>
      <vt:variant>
        <vt:i4>152</vt:i4>
      </vt:variant>
      <vt:variant>
        <vt:i4>0</vt:i4>
      </vt:variant>
      <vt:variant>
        <vt:i4>5</vt:i4>
      </vt:variant>
      <vt:variant>
        <vt:lpwstr/>
      </vt:variant>
      <vt:variant>
        <vt:lpwstr>_Toc412736441</vt:lpwstr>
      </vt:variant>
      <vt:variant>
        <vt:i4>1245233</vt:i4>
      </vt:variant>
      <vt:variant>
        <vt:i4>146</vt:i4>
      </vt:variant>
      <vt:variant>
        <vt:i4>0</vt:i4>
      </vt:variant>
      <vt:variant>
        <vt:i4>5</vt:i4>
      </vt:variant>
      <vt:variant>
        <vt:lpwstr/>
      </vt:variant>
      <vt:variant>
        <vt:lpwstr>_Toc412736440</vt:lpwstr>
      </vt:variant>
      <vt:variant>
        <vt:i4>1310769</vt:i4>
      </vt:variant>
      <vt:variant>
        <vt:i4>140</vt:i4>
      </vt:variant>
      <vt:variant>
        <vt:i4>0</vt:i4>
      </vt:variant>
      <vt:variant>
        <vt:i4>5</vt:i4>
      </vt:variant>
      <vt:variant>
        <vt:lpwstr/>
      </vt:variant>
      <vt:variant>
        <vt:lpwstr>_Toc412736439</vt:lpwstr>
      </vt:variant>
      <vt:variant>
        <vt:i4>1310769</vt:i4>
      </vt:variant>
      <vt:variant>
        <vt:i4>134</vt:i4>
      </vt:variant>
      <vt:variant>
        <vt:i4>0</vt:i4>
      </vt:variant>
      <vt:variant>
        <vt:i4>5</vt:i4>
      </vt:variant>
      <vt:variant>
        <vt:lpwstr/>
      </vt:variant>
      <vt:variant>
        <vt:lpwstr>_Toc412736438</vt:lpwstr>
      </vt:variant>
      <vt:variant>
        <vt:i4>1310769</vt:i4>
      </vt:variant>
      <vt:variant>
        <vt:i4>128</vt:i4>
      </vt:variant>
      <vt:variant>
        <vt:i4>0</vt:i4>
      </vt:variant>
      <vt:variant>
        <vt:i4>5</vt:i4>
      </vt:variant>
      <vt:variant>
        <vt:lpwstr/>
      </vt:variant>
      <vt:variant>
        <vt:lpwstr>_Toc412736437</vt:lpwstr>
      </vt:variant>
      <vt:variant>
        <vt:i4>1310769</vt:i4>
      </vt:variant>
      <vt:variant>
        <vt:i4>122</vt:i4>
      </vt:variant>
      <vt:variant>
        <vt:i4>0</vt:i4>
      </vt:variant>
      <vt:variant>
        <vt:i4>5</vt:i4>
      </vt:variant>
      <vt:variant>
        <vt:lpwstr/>
      </vt:variant>
      <vt:variant>
        <vt:lpwstr>_Toc412736435</vt:lpwstr>
      </vt:variant>
      <vt:variant>
        <vt:i4>1310769</vt:i4>
      </vt:variant>
      <vt:variant>
        <vt:i4>116</vt:i4>
      </vt:variant>
      <vt:variant>
        <vt:i4>0</vt:i4>
      </vt:variant>
      <vt:variant>
        <vt:i4>5</vt:i4>
      </vt:variant>
      <vt:variant>
        <vt:lpwstr/>
      </vt:variant>
      <vt:variant>
        <vt:lpwstr>_Toc412736434</vt:lpwstr>
      </vt:variant>
      <vt:variant>
        <vt:i4>1310769</vt:i4>
      </vt:variant>
      <vt:variant>
        <vt:i4>110</vt:i4>
      </vt:variant>
      <vt:variant>
        <vt:i4>0</vt:i4>
      </vt:variant>
      <vt:variant>
        <vt:i4>5</vt:i4>
      </vt:variant>
      <vt:variant>
        <vt:lpwstr/>
      </vt:variant>
      <vt:variant>
        <vt:lpwstr>_Toc412736433</vt:lpwstr>
      </vt:variant>
      <vt:variant>
        <vt:i4>1310769</vt:i4>
      </vt:variant>
      <vt:variant>
        <vt:i4>104</vt:i4>
      </vt:variant>
      <vt:variant>
        <vt:i4>0</vt:i4>
      </vt:variant>
      <vt:variant>
        <vt:i4>5</vt:i4>
      </vt:variant>
      <vt:variant>
        <vt:lpwstr/>
      </vt:variant>
      <vt:variant>
        <vt:lpwstr>_Toc412736432</vt:lpwstr>
      </vt:variant>
      <vt:variant>
        <vt:i4>1310769</vt:i4>
      </vt:variant>
      <vt:variant>
        <vt:i4>98</vt:i4>
      </vt:variant>
      <vt:variant>
        <vt:i4>0</vt:i4>
      </vt:variant>
      <vt:variant>
        <vt:i4>5</vt:i4>
      </vt:variant>
      <vt:variant>
        <vt:lpwstr/>
      </vt:variant>
      <vt:variant>
        <vt:lpwstr>_Toc412736431</vt:lpwstr>
      </vt:variant>
      <vt:variant>
        <vt:i4>1310769</vt:i4>
      </vt:variant>
      <vt:variant>
        <vt:i4>92</vt:i4>
      </vt:variant>
      <vt:variant>
        <vt:i4>0</vt:i4>
      </vt:variant>
      <vt:variant>
        <vt:i4>5</vt:i4>
      </vt:variant>
      <vt:variant>
        <vt:lpwstr/>
      </vt:variant>
      <vt:variant>
        <vt:lpwstr>_Toc412736430</vt:lpwstr>
      </vt:variant>
      <vt:variant>
        <vt:i4>1376305</vt:i4>
      </vt:variant>
      <vt:variant>
        <vt:i4>86</vt:i4>
      </vt:variant>
      <vt:variant>
        <vt:i4>0</vt:i4>
      </vt:variant>
      <vt:variant>
        <vt:i4>5</vt:i4>
      </vt:variant>
      <vt:variant>
        <vt:lpwstr/>
      </vt:variant>
      <vt:variant>
        <vt:lpwstr>_Toc412736429</vt:lpwstr>
      </vt:variant>
      <vt:variant>
        <vt:i4>1376305</vt:i4>
      </vt:variant>
      <vt:variant>
        <vt:i4>80</vt:i4>
      </vt:variant>
      <vt:variant>
        <vt:i4>0</vt:i4>
      </vt:variant>
      <vt:variant>
        <vt:i4>5</vt:i4>
      </vt:variant>
      <vt:variant>
        <vt:lpwstr/>
      </vt:variant>
      <vt:variant>
        <vt:lpwstr>_Toc412736425</vt:lpwstr>
      </vt:variant>
      <vt:variant>
        <vt:i4>1376305</vt:i4>
      </vt:variant>
      <vt:variant>
        <vt:i4>74</vt:i4>
      </vt:variant>
      <vt:variant>
        <vt:i4>0</vt:i4>
      </vt:variant>
      <vt:variant>
        <vt:i4>5</vt:i4>
      </vt:variant>
      <vt:variant>
        <vt:lpwstr/>
      </vt:variant>
      <vt:variant>
        <vt:lpwstr>_Toc412736424</vt:lpwstr>
      </vt:variant>
      <vt:variant>
        <vt:i4>1376305</vt:i4>
      </vt:variant>
      <vt:variant>
        <vt:i4>68</vt:i4>
      </vt:variant>
      <vt:variant>
        <vt:i4>0</vt:i4>
      </vt:variant>
      <vt:variant>
        <vt:i4>5</vt:i4>
      </vt:variant>
      <vt:variant>
        <vt:lpwstr/>
      </vt:variant>
      <vt:variant>
        <vt:lpwstr>_Toc412736423</vt:lpwstr>
      </vt:variant>
      <vt:variant>
        <vt:i4>1376305</vt:i4>
      </vt:variant>
      <vt:variant>
        <vt:i4>62</vt:i4>
      </vt:variant>
      <vt:variant>
        <vt:i4>0</vt:i4>
      </vt:variant>
      <vt:variant>
        <vt:i4>5</vt:i4>
      </vt:variant>
      <vt:variant>
        <vt:lpwstr/>
      </vt:variant>
      <vt:variant>
        <vt:lpwstr>_Toc412736422</vt:lpwstr>
      </vt:variant>
      <vt:variant>
        <vt:i4>1376305</vt:i4>
      </vt:variant>
      <vt:variant>
        <vt:i4>56</vt:i4>
      </vt:variant>
      <vt:variant>
        <vt:i4>0</vt:i4>
      </vt:variant>
      <vt:variant>
        <vt:i4>5</vt:i4>
      </vt:variant>
      <vt:variant>
        <vt:lpwstr/>
      </vt:variant>
      <vt:variant>
        <vt:lpwstr>_Toc412736421</vt:lpwstr>
      </vt:variant>
      <vt:variant>
        <vt:i4>1376305</vt:i4>
      </vt:variant>
      <vt:variant>
        <vt:i4>50</vt:i4>
      </vt:variant>
      <vt:variant>
        <vt:i4>0</vt:i4>
      </vt:variant>
      <vt:variant>
        <vt:i4>5</vt:i4>
      </vt:variant>
      <vt:variant>
        <vt:lpwstr/>
      </vt:variant>
      <vt:variant>
        <vt:lpwstr>_Toc412736420</vt:lpwstr>
      </vt:variant>
      <vt:variant>
        <vt:i4>1441841</vt:i4>
      </vt:variant>
      <vt:variant>
        <vt:i4>44</vt:i4>
      </vt:variant>
      <vt:variant>
        <vt:i4>0</vt:i4>
      </vt:variant>
      <vt:variant>
        <vt:i4>5</vt:i4>
      </vt:variant>
      <vt:variant>
        <vt:lpwstr/>
      </vt:variant>
      <vt:variant>
        <vt:lpwstr>_Toc412736418</vt:lpwstr>
      </vt:variant>
      <vt:variant>
        <vt:i4>1441841</vt:i4>
      </vt:variant>
      <vt:variant>
        <vt:i4>38</vt:i4>
      </vt:variant>
      <vt:variant>
        <vt:i4>0</vt:i4>
      </vt:variant>
      <vt:variant>
        <vt:i4>5</vt:i4>
      </vt:variant>
      <vt:variant>
        <vt:lpwstr/>
      </vt:variant>
      <vt:variant>
        <vt:lpwstr>_Toc412736417</vt:lpwstr>
      </vt:variant>
      <vt:variant>
        <vt:i4>1441841</vt:i4>
      </vt:variant>
      <vt:variant>
        <vt:i4>32</vt:i4>
      </vt:variant>
      <vt:variant>
        <vt:i4>0</vt:i4>
      </vt:variant>
      <vt:variant>
        <vt:i4>5</vt:i4>
      </vt:variant>
      <vt:variant>
        <vt:lpwstr/>
      </vt:variant>
      <vt:variant>
        <vt:lpwstr>_Toc412736416</vt:lpwstr>
      </vt:variant>
      <vt:variant>
        <vt:i4>1441841</vt:i4>
      </vt:variant>
      <vt:variant>
        <vt:i4>26</vt:i4>
      </vt:variant>
      <vt:variant>
        <vt:i4>0</vt:i4>
      </vt:variant>
      <vt:variant>
        <vt:i4>5</vt:i4>
      </vt:variant>
      <vt:variant>
        <vt:lpwstr/>
      </vt:variant>
      <vt:variant>
        <vt:lpwstr>_Toc412736415</vt:lpwstr>
      </vt:variant>
      <vt:variant>
        <vt:i4>1441841</vt:i4>
      </vt:variant>
      <vt:variant>
        <vt:i4>20</vt:i4>
      </vt:variant>
      <vt:variant>
        <vt:i4>0</vt:i4>
      </vt:variant>
      <vt:variant>
        <vt:i4>5</vt:i4>
      </vt:variant>
      <vt:variant>
        <vt:lpwstr/>
      </vt:variant>
      <vt:variant>
        <vt:lpwstr>_Toc412736414</vt:lpwstr>
      </vt:variant>
      <vt:variant>
        <vt:i4>1441841</vt:i4>
      </vt:variant>
      <vt:variant>
        <vt:i4>14</vt:i4>
      </vt:variant>
      <vt:variant>
        <vt:i4>0</vt:i4>
      </vt:variant>
      <vt:variant>
        <vt:i4>5</vt:i4>
      </vt:variant>
      <vt:variant>
        <vt:lpwstr/>
      </vt:variant>
      <vt:variant>
        <vt:lpwstr>_Toc412736412</vt:lpwstr>
      </vt:variant>
      <vt:variant>
        <vt:i4>1441841</vt:i4>
      </vt:variant>
      <vt:variant>
        <vt:i4>8</vt:i4>
      </vt:variant>
      <vt:variant>
        <vt:i4>0</vt:i4>
      </vt:variant>
      <vt:variant>
        <vt:i4>5</vt:i4>
      </vt:variant>
      <vt:variant>
        <vt:lpwstr/>
      </vt:variant>
      <vt:variant>
        <vt:lpwstr>_Toc412736411</vt:lpwstr>
      </vt:variant>
      <vt:variant>
        <vt:i4>1441841</vt:i4>
      </vt:variant>
      <vt:variant>
        <vt:i4>2</vt:i4>
      </vt:variant>
      <vt:variant>
        <vt:i4>0</vt:i4>
      </vt:variant>
      <vt:variant>
        <vt:i4>5</vt:i4>
      </vt:variant>
      <vt:variant>
        <vt:lpwstr/>
      </vt:variant>
      <vt:variant>
        <vt:lpwstr>_Toc412736410</vt:lpwstr>
      </vt:variant>
      <vt:variant>
        <vt:i4>8061028</vt:i4>
      </vt:variant>
      <vt:variant>
        <vt:i4>195</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524318</vt:i4>
      </vt:variant>
      <vt:variant>
        <vt:i4>192</vt:i4>
      </vt:variant>
      <vt:variant>
        <vt:i4>0</vt:i4>
      </vt:variant>
      <vt:variant>
        <vt:i4>5</vt:i4>
      </vt:variant>
      <vt:variant>
        <vt:lpwstr>http://ec.europa.eu/internal_market/consultations/2012/nonbanks_en.htm</vt:lpwstr>
      </vt:variant>
      <vt:variant>
        <vt:lpwstr/>
      </vt:variant>
      <vt:variant>
        <vt:i4>5111819</vt:i4>
      </vt:variant>
      <vt:variant>
        <vt:i4>189</vt:i4>
      </vt:variant>
      <vt:variant>
        <vt:i4>0</vt:i4>
      </vt:variant>
      <vt:variant>
        <vt:i4>5</vt:i4>
      </vt:variant>
      <vt:variant>
        <vt:lpwstr>http://www2.isda.org/attachment/NTc5Nw==/CCP_loss_allocation_waterfall_0807.pdf</vt:lpwstr>
      </vt:variant>
      <vt:variant>
        <vt:lpwstr/>
      </vt:variant>
      <vt:variant>
        <vt:i4>5111819</vt:i4>
      </vt:variant>
      <vt:variant>
        <vt:i4>186</vt:i4>
      </vt:variant>
      <vt:variant>
        <vt:i4>0</vt:i4>
      </vt:variant>
      <vt:variant>
        <vt:i4>5</vt:i4>
      </vt:variant>
      <vt:variant>
        <vt:lpwstr>http://www2.isda.org/attachment/NTc5Nw==/CCP_loss_allocation_waterfall_0807.pdf</vt:lpwstr>
      </vt:variant>
      <vt:variant>
        <vt:lpwstr/>
      </vt:variant>
      <vt:variant>
        <vt:i4>4587545</vt:i4>
      </vt:variant>
      <vt:variant>
        <vt:i4>183</vt:i4>
      </vt:variant>
      <vt:variant>
        <vt:i4>0</vt:i4>
      </vt:variant>
      <vt:variant>
        <vt:i4>5</vt:i4>
      </vt:variant>
      <vt:variant>
        <vt:lpwstr>http://www.financialstabilityboard.org/publications/c_131025_1.htm</vt:lpwstr>
      </vt:variant>
      <vt:variant>
        <vt:lpwstr/>
      </vt:variant>
      <vt:variant>
        <vt:i4>4653075</vt:i4>
      </vt:variant>
      <vt:variant>
        <vt:i4>180</vt:i4>
      </vt:variant>
      <vt:variant>
        <vt:i4>0</vt:i4>
      </vt:variant>
      <vt:variant>
        <vt:i4>5</vt:i4>
      </vt:variant>
      <vt:variant>
        <vt:lpwstr>http://www.imf.org/external/pubs/ft/gfsr/2010/01/</vt:lpwstr>
      </vt:variant>
      <vt:variant>
        <vt:lpwstr/>
      </vt:variant>
      <vt:variant>
        <vt:i4>327800</vt:i4>
      </vt:variant>
      <vt:variant>
        <vt:i4>177</vt:i4>
      </vt:variant>
      <vt:variant>
        <vt:i4>0</vt:i4>
      </vt:variant>
      <vt:variant>
        <vt:i4>5</vt:i4>
      </vt:variant>
      <vt:variant>
        <vt:lpwstr>http://www.bankofengland.co.uk/publications/Pages/fsr/fs_paper19.aspx</vt:lpwstr>
      </vt:variant>
      <vt:variant>
        <vt:lpwstr/>
      </vt:variant>
      <vt:variant>
        <vt:i4>1835009</vt:i4>
      </vt:variant>
      <vt:variant>
        <vt:i4>174</vt:i4>
      </vt:variant>
      <vt:variant>
        <vt:i4>0</vt:i4>
      </vt:variant>
      <vt:variant>
        <vt:i4>5</vt:i4>
      </vt:variant>
      <vt:variant>
        <vt:lpwstr>http://ec.europa.eu/internal_market/securities/isd/mifid2/index_en.htm</vt:lpwstr>
      </vt:variant>
      <vt:variant>
        <vt:lpwstr/>
      </vt:variant>
      <vt:variant>
        <vt:i4>3997759</vt:i4>
      </vt:variant>
      <vt:variant>
        <vt:i4>171</vt:i4>
      </vt:variant>
      <vt:variant>
        <vt:i4>0</vt:i4>
      </vt:variant>
      <vt:variant>
        <vt:i4>5</vt:i4>
      </vt:variant>
      <vt:variant>
        <vt:lpwstr>http://ec.europa.eu/internal_market/finances/docs/general/20140515-erfra-working-document_en.pdf</vt:lpwstr>
      </vt:variant>
      <vt:variant>
        <vt:lpwstr/>
      </vt:variant>
      <vt:variant>
        <vt:i4>7078014</vt:i4>
      </vt:variant>
      <vt:variant>
        <vt:i4>168</vt:i4>
      </vt:variant>
      <vt:variant>
        <vt:i4>0</vt:i4>
      </vt:variant>
      <vt:variant>
        <vt:i4>5</vt:i4>
      </vt:variant>
      <vt:variant>
        <vt:lpwstr>http://www.ecb.europa.eu/press/key/date/2014/html/sp140917.en.html</vt:lpwstr>
      </vt:variant>
      <vt:variant>
        <vt:lpwstr/>
      </vt:variant>
      <vt:variant>
        <vt:i4>4063268</vt:i4>
      </vt:variant>
      <vt:variant>
        <vt:i4>165</vt:i4>
      </vt:variant>
      <vt:variant>
        <vt:i4>0</vt:i4>
      </vt:variant>
      <vt:variant>
        <vt:i4>5</vt:i4>
      </vt:variant>
      <vt:variant>
        <vt:lpwstr>http://www.bankofengland.co.uk/publications/Documents/fsr/2013/fsrfull1306.pdf</vt:lpwstr>
      </vt:variant>
      <vt:variant>
        <vt:lpwstr/>
      </vt:variant>
      <vt:variant>
        <vt:i4>7995489</vt:i4>
      </vt:variant>
      <vt:variant>
        <vt:i4>162</vt:i4>
      </vt:variant>
      <vt:variant>
        <vt:i4>0</vt:i4>
      </vt:variant>
      <vt:variant>
        <vt:i4>5</vt:i4>
      </vt:variant>
      <vt:variant>
        <vt:lpwstr>http://www2.isda.org/functional-areas/research/studies/</vt:lpwstr>
      </vt:variant>
      <vt:variant>
        <vt:lpwstr/>
      </vt:variant>
      <vt:variant>
        <vt:i4>4587605</vt:i4>
      </vt:variant>
      <vt:variant>
        <vt:i4>159</vt:i4>
      </vt:variant>
      <vt:variant>
        <vt:i4>0</vt:i4>
      </vt:variant>
      <vt:variant>
        <vt:i4>5</vt:i4>
      </vt:variant>
      <vt:variant>
        <vt:lpwstr>http://www.bis.org/statistics/dt1920a.pdf</vt:lpwstr>
      </vt:variant>
      <vt:variant>
        <vt:lpwstr/>
      </vt:variant>
      <vt:variant>
        <vt:i4>3276901</vt:i4>
      </vt:variant>
      <vt:variant>
        <vt:i4>156</vt:i4>
      </vt:variant>
      <vt:variant>
        <vt:i4>0</vt:i4>
      </vt:variant>
      <vt:variant>
        <vt:i4>5</vt:i4>
      </vt:variant>
      <vt:variant>
        <vt:lpwstr>http://www.bis.org/</vt:lpwstr>
      </vt:variant>
      <vt:variant>
        <vt:lpwstr/>
      </vt:variant>
      <vt:variant>
        <vt:i4>7602285</vt:i4>
      </vt:variant>
      <vt:variant>
        <vt:i4>153</vt:i4>
      </vt:variant>
      <vt:variant>
        <vt:i4>0</vt:i4>
      </vt:variant>
      <vt:variant>
        <vt:i4>5</vt:i4>
      </vt:variant>
      <vt:variant>
        <vt:lpwstr>http://www.treasury.gov/initiatives/Documents/Finalruledisclaimer7-18-2011.pdf</vt:lpwstr>
      </vt:variant>
      <vt:variant>
        <vt:lpwstr/>
      </vt:variant>
      <vt:variant>
        <vt:i4>7995495</vt:i4>
      </vt:variant>
      <vt:variant>
        <vt:i4>150</vt:i4>
      </vt:variant>
      <vt:variant>
        <vt:i4>0</vt:i4>
      </vt:variant>
      <vt:variant>
        <vt:i4>5</vt:i4>
      </vt:variant>
      <vt:variant>
        <vt:lpwstr>http://www.federalreserve.gov/newsevents/press/bcreg/bcreg20130403a.pdf</vt:lpwstr>
      </vt:variant>
      <vt:variant>
        <vt:lpwstr/>
      </vt:variant>
      <vt:variant>
        <vt:i4>852062</vt:i4>
      </vt:variant>
      <vt:variant>
        <vt:i4>147</vt:i4>
      </vt:variant>
      <vt:variant>
        <vt:i4>0</vt:i4>
      </vt:variant>
      <vt:variant>
        <vt:i4>5</vt:i4>
      </vt:variant>
      <vt:variant>
        <vt:lpwstr>http://www.treasury.gov/initiatives/fsoc/Documents/Nonbank Designations - Final Rule and Guidance.pdf</vt:lpwstr>
      </vt:variant>
      <vt:variant>
        <vt:lpwstr/>
      </vt:variant>
      <vt:variant>
        <vt:i4>6619169</vt:i4>
      </vt:variant>
      <vt:variant>
        <vt:i4>123</vt:i4>
      </vt:variant>
      <vt:variant>
        <vt:i4>0</vt:i4>
      </vt:variant>
      <vt:variant>
        <vt:i4>5</vt:i4>
      </vt:variant>
      <vt:variant>
        <vt:lpwstr>http://www.bis.org/publ/bcbs200.pdf</vt:lpwstr>
      </vt:variant>
      <vt:variant>
        <vt:lpwstr/>
      </vt:variant>
      <vt:variant>
        <vt:i4>3670046</vt:i4>
      </vt:variant>
      <vt:variant>
        <vt:i4>120</vt:i4>
      </vt:variant>
      <vt:variant>
        <vt:i4>0</vt:i4>
      </vt:variant>
      <vt:variant>
        <vt:i4>5</vt:i4>
      </vt:variant>
      <vt:variant>
        <vt:lpwstr>http://www.financialstabilityboard.org/publications/r_130411a.pdf</vt:lpwstr>
      </vt:variant>
      <vt:variant>
        <vt:lpwstr/>
      </vt:variant>
      <vt:variant>
        <vt:i4>4915209</vt:i4>
      </vt:variant>
      <vt:variant>
        <vt:i4>117</vt:i4>
      </vt:variant>
      <vt:variant>
        <vt:i4>0</vt:i4>
      </vt:variant>
      <vt:variant>
        <vt:i4>5</vt:i4>
      </vt:variant>
      <vt:variant>
        <vt:lpwstr>http://www.bis.org/publ/cpss101a.pdf</vt:lpwstr>
      </vt:variant>
      <vt:variant>
        <vt:lpwstr/>
      </vt:variant>
      <vt:variant>
        <vt:i4>7078015</vt:i4>
      </vt:variant>
      <vt:variant>
        <vt:i4>114</vt:i4>
      </vt:variant>
      <vt:variant>
        <vt:i4>0</vt:i4>
      </vt:variant>
      <vt:variant>
        <vt:i4>5</vt:i4>
      </vt:variant>
      <vt:variant>
        <vt:lpwstr>http://www.financialstabilityboard.org/wp-content/uploads/FSB-Chair-letter-to-G20-February-2015.pdf</vt:lpwstr>
      </vt:variant>
      <vt:variant>
        <vt:lpwstr/>
      </vt:variant>
      <vt:variant>
        <vt:i4>1704015</vt:i4>
      </vt:variant>
      <vt:variant>
        <vt:i4>111</vt:i4>
      </vt:variant>
      <vt:variant>
        <vt:i4>0</vt:i4>
      </vt:variant>
      <vt:variant>
        <vt:i4>5</vt:i4>
      </vt:variant>
      <vt:variant>
        <vt:lpwstr>http://www.cmegroup.com/education/files/balancing-ccp-and-member-contributions-with-exposures.pdf</vt:lpwstr>
      </vt:variant>
      <vt:variant>
        <vt:lpwstr/>
      </vt:variant>
      <vt:variant>
        <vt:i4>2686999</vt:i4>
      </vt:variant>
      <vt:variant>
        <vt:i4>108</vt:i4>
      </vt:variant>
      <vt:variant>
        <vt:i4>0</vt:i4>
      </vt:variant>
      <vt:variant>
        <vt:i4>5</vt:i4>
      </vt:variant>
      <vt:variant>
        <vt:lpwstr>http://secure-area.lchclearnet.com/images/CCP_Risk_Management_Recovery_-_Resolution.pdf</vt:lpwstr>
      </vt:variant>
      <vt:variant>
        <vt:lpwstr/>
      </vt:variant>
      <vt:variant>
        <vt:i4>2359338</vt:i4>
      </vt:variant>
      <vt:variant>
        <vt:i4>105</vt:i4>
      </vt:variant>
      <vt:variant>
        <vt:i4>0</vt:i4>
      </vt:variant>
      <vt:variant>
        <vt:i4>5</vt:i4>
      </vt:variant>
      <vt:variant>
        <vt:lpwstr>http://www.financialstabilityboard.org/wp-content/uploads/TLAC-Condoc-6-Nov-2014-FINAL.pdf</vt:lpwstr>
      </vt:variant>
      <vt:variant>
        <vt:lpwstr/>
      </vt:variant>
      <vt:variant>
        <vt:i4>1441822</vt:i4>
      </vt:variant>
      <vt:variant>
        <vt:i4>102</vt:i4>
      </vt:variant>
      <vt:variant>
        <vt:i4>0</vt:i4>
      </vt:variant>
      <vt:variant>
        <vt:i4>5</vt:i4>
      </vt:variant>
      <vt:variant>
        <vt:lpwstr>http://www.bis.org/cpmi/publ/d121.pdf</vt:lpwstr>
      </vt:variant>
      <vt:variant>
        <vt:lpwstr/>
      </vt:variant>
      <vt:variant>
        <vt:i4>327729</vt:i4>
      </vt:variant>
      <vt:variant>
        <vt:i4>99</vt:i4>
      </vt:variant>
      <vt:variant>
        <vt:i4>0</vt:i4>
      </vt:variant>
      <vt:variant>
        <vt:i4>5</vt:i4>
      </vt:variant>
      <vt:variant>
        <vt:lpwstr>http://www.financialstabilityboard.org/wp-content/uploads/r_141015.pdf</vt:lpwstr>
      </vt:variant>
      <vt:variant>
        <vt:lpwstr/>
      </vt:variant>
      <vt:variant>
        <vt:i4>4915209</vt:i4>
      </vt:variant>
      <vt:variant>
        <vt:i4>96</vt:i4>
      </vt:variant>
      <vt:variant>
        <vt:i4>0</vt:i4>
      </vt:variant>
      <vt:variant>
        <vt:i4>5</vt:i4>
      </vt:variant>
      <vt:variant>
        <vt:lpwstr>http://www.bis.org/publ/cpss101a.pdf</vt:lpwstr>
      </vt:variant>
      <vt:variant>
        <vt:lpwstr/>
      </vt:variant>
      <vt:variant>
        <vt:i4>5111899</vt:i4>
      </vt:variant>
      <vt:variant>
        <vt:i4>93</vt:i4>
      </vt:variant>
      <vt:variant>
        <vt:i4>0</vt:i4>
      </vt:variant>
      <vt:variant>
        <vt:i4>5</vt:i4>
      </vt:variant>
      <vt:variant>
        <vt:lpwstr>https://www.eba.europa.eu/documents/10180/751477/EBA-CP-2014-16++%28CP+on+draft+RTS+on+Content+Res++Plans+and+Assessment+of+Resolvability%29.docx.pdf</vt:lpwstr>
      </vt:variant>
      <vt:variant>
        <vt:lpwstr/>
      </vt:variant>
      <vt:variant>
        <vt:i4>3997759</vt:i4>
      </vt:variant>
      <vt:variant>
        <vt:i4>90</vt:i4>
      </vt:variant>
      <vt:variant>
        <vt:i4>0</vt:i4>
      </vt:variant>
      <vt:variant>
        <vt:i4>5</vt:i4>
      </vt:variant>
      <vt:variant>
        <vt:lpwstr>http://ec.europa.eu/internal_market/finances/docs/general/20140515-erfra-working-document_en.pdf</vt:lpwstr>
      </vt:variant>
      <vt:variant>
        <vt:lpwstr/>
      </vt:variant>
      <vt:variant>
        <vt:i4>6225953</vt:i4>
      </vt:variant>
      <vt:variant>
        <vt:i4>84</vt:i4>
      </vt:variant>
      <vt:variant>
        <vt:i4>0</vt:i4>
      </vt:variant>
      <vt:variant>
        <vt:i4>5</vt:i4>
      </vt:variant>
      <vt:variant>
        <vt:lpwstr>http://www.ecb.europa.eu/press/key/date/2014/html/sp140519_1.en.html</vt:lpwstr>
      </vt:variant>
      <vt:variant>
        <vt:lpwstr/>
      </vt:variant>
      <vt:variant>
        <vt:i4>7995433</vt:i4>
      </vt:variant>
      <vt:variant>
        <vt:i4>81</vt:i4>
      </vt:variant>
      <vt:variant>
        <vt:i4>0</vt:i4>
      </vt:variant>
      <vt:variant>
        <vt:i4>5</vt:i4>
      </vt:variant>
      <vt:variant>
        <vt:lpwstr>http://www.bankofengland.co.uk/publications/Documents/fmi/fmiap1403.pdf</vt:lpwstr>
      </vt:variant>
      <vt:variant>
        <vt:lpwstr/>
      </vt:variant>
      <vt:variant>
        <vt:i4>2687085</vt:i4>
      </vt:variant>
      <vt:variant>
        <vt:i4>78</vt:i4>
      </vt:variant>
      <vt:variant>
        <vt:i4>0</vt:i4>
      </vt:variant>
      <vt:variant>
        <vt:i4>5</vt:i4>
      </vt:variant>
      <vt:variant>
        <vt:lpwstr>http://www.bankofengland.co.uk/financialstability/Documents/fmi/fmisupervision.pdf</vt:lpwstr>
      </vt:variant>
      <vt:variant>
        <vt:lpwstr/>
      </vt:variant>
      <vt:variant>
        <vt:i4>7471145</vt:i4>
      </vt:variant>
      <vt:variant>
        <vt:i4>75</vt:i4>
      </vt:variant>
      <vt:variant>
        <vt:i4>0</vt:i4>
      </vt:variant>
      <vt:variant>
        <vt:i4>5</vt:i4>
      </vt:variant>
      <vt:variant>
        <vt:lpwstr>http://ec.europa.eu/internal_market/bank/docs/crisis-management/2012_eu_framework/impact_assessment_final_en.pdf</vt:lpwstr>
      </vt:variant>
      <vt:variant>
        <vt:lpwstr/>
      </vt:variant>
      <vt:variant>
        <vt:i4>3997759</vt:i4>
      </vt:variant>
      <vt:variant>
        <vt:i4>72</vt:i4>
      </vt:variant>
      <vt:variant>
        <vt:i4>0</vt:i4>
      </vt:variant>
      <vt:variant>
        <vt:i4>5</vt:i4>
      </vt:variant>
      <vt:variant>
        <vt:lpwstr>http://ec.europa.eu/internal_market/finances/docs/general/20140515-erfra-working-document_en.pdf</vt:lpwstr>
      </vt:variant>
      <vt:variant>
        <vt:lpwstr/>
      </vt:variant>
      <vt:variant>
        <vt:i4>2883620</vt:i4>
      </vt:variant>
      <vt:variant>
        <vt:i4>69</vt:i4>
      </vt:variant>
      <vt:variant>
        <vt:i4>0</vt:i4>
      </vt:variant>
      <vt:variant>
        <vt:i4>5</vt:i4>
      </vt:variant>
      <vt:variant>
        <vt:lpwstr>http://www.jpmorganchase.com/corporate/About-JPMC/document/resolution-plan-ccps.pdf?M=22b2d037-ca48-42e1-a49e-53a5e0667db4</vt:lpwstr>
      </vt:variant>
      <vt:variant>
        <vt:lpwstr/>
      </vt:variant>
      <vt:variant>
        <vt:i4>3997759</vt:i4>
      </vt:variant>
      <vt:variant>
        <vt:i4>66</vt:i4>
      </vt:variant>
      <vt:variant>
        <vt:i4>0</vt:i4>
      </vt:variant>
      <vt:variant>
        <vt:i4>5</vt:i4>
      </vt:variant>
      <vt:variant>
        <vt:lpwstr>http://ec.europa.eu/internal_market/finances/docs/general/20140515-erfra-working-document_en.pdf</vt:lpwstr>
      </vt:variant>
      <vt:variant>
        <vt:lpwstr/>
      </vt:variant>
      <vt:variant>
        <vt:i4>8061028</vt:i4>
      </vt:variant>
      <vt:variant>
        <vt:i4>63</vt:i4>
      </vt:variant>
      <vt:variant>
        <vt:i4>0</vt:i4>
      </vt:variant>
      <vt:variant>
        <vt:i4>5</vt:i4>
      </vt:variant>
      <vt:variant>
        <vt:lpwstr>http://www.chicagofed.org/digital_assets/others/events/2014/annual_over_the_counter_derivatives_symposium/tucker_clearinghouses_new_central_banks_tucker_2014.pdf</vt:lpwstr>
      </vt:variant>
      <vt:variant>
        <vt:lpwstr/>
      </vt:variant>
      <vt:variant>
        <vt:i4>3997759</vt:i4>
      </vt:variant>
      <vt:variant>
        <vt:i4>60</vt:i4>
      </vt:variant>
      <vt:variant>
        <vt:i4>0</vt:i4>
      </vt:variant>
      <vt:variant>
        <vt:i4>5</vt:i4>
      </vt:variant>
      <vt:variant>
        <vt:lpwstr>http://ec.europa.eu/internal_market/finances/docs/general/20140515-erfra-working-document_en.pdf</vt:lpwstr>
      </vt:variant>
      <vt:variant>
        <vt:lpwstr/>
      </vt:variant>
      <vt:variant>
        <vt:i4>4915209</vt:i4>
      </vt:variant>
      <vt:variant>
        <vt:i4>57</vt:i4>
      </vt:variant>
      <vt:variant>
        <vt:i4>0</vt:i4>
      </vt:variant>
      <vt:variant>
        <vt:i4>5</vt:i4>
      </vt:variant>
      <vt:variant>
        <vt:lpwstr>http://www.bis.org/publ/cpss101a.pdf</vt:lpwstr>
      </vt:variant>
      <vt:variant>
        <vt:lpwstr/>
      </vt:variant>
      <vt:variant>
        <vt:i4>2949239</vt:i4>
      </vt:variant>
      <vt:variant>
        <vt:i4>54</vt:i4>
      </vt:variant>
      <vt:variant>
        <vt:i4>0</vt:i4>
      </vt:variant>
      <vt:variant>
        <vt:i4>5</vt:i4>
      </vt:variant>
      <vt:variant>
        <vt:lpwstr>http://www.bankofcanada.ca/wp-content/uploads/2012/11/wp2012-35.pdf</vt:lpwstr>
      </vt:variant>
      <vt:variant>
        <vt:lpwstr/>
      </vt:variant>
      <vt:variant>
        <vt:i4>2621488</vt:i4>
      </vt:variant>
      <vt:variant>
        <vt:i4>51</vt:i4>
      </vt:variant>
      <vt:variant>
        <vt:i4>0</vt:i4>
      </vt:variant>
      <vt:variant>
        <vt:i4>5</vt:i4>
      </vt:variant>
      <vt:variant>
        <vt:lpwstr>http://www.bis.org/publ/cpss92.pdf</vt:lpwstr>
      </vt:variant>
      <vt:variant>
        <vt:lpwstr/>
      </vt:variant>
      <vt:variant>
        <vt:i4>8257586</vt:i4>
      </vt:variant>
      <vt:variant>
        <vt:i4>48</vt:i4>
      </vt:variant>
      <vt:variant>
        <vt:i4>0</vt:i4>
      </vt:variant>
      <vt:variant>
        <vt:i4>5</vt:i4>
      </vt:variant>
      <vt:variant>
        <vt:lpwstr>http://sdw.ecb.europa.eu/reports.do?node=1000001583</vt:lpwstr>
      </vt:variant>
      <vt:variant>
        <vt:lpwstr/>
      </vt:variant>
      <vt:variant>
        <vt:i4>7143539</vt:i4>
      </vt:variant>
      <vt:variant>
        <vt:i4>45</vt:i4>
      </vt:variant>
      <vt:variant>
        <vt:i4>0</vt:i4>
      </vt:variant>
      <vt:variant>
        <vt:i4>5</vt:i4>
      </vt:variant>
      <vt:variant>
        <vt:lpwstr>http://mifiddatabase.esma.europa.eu/Index.aspx?sectionlinks_id=24&amp;language=0&amp;pageName=CENTRAL_COUNTERPARTIES_Display&amp;subsection_id=0</vt:lpwstr>
      </vt:variant>
      <vt:variant>
        <vt:lpwstr/>
      </vt:variant>
      <vt:variant>
        <vt:i4>68</vt:i4>
      </vt:variant>
      <vt:variant>
        <vt:i4>42</vt:i4>
      </vt:variant>
      <vt:variant>
        <vt:i4>0</vt:i4>
      </vt:variant>
      <vt:variant>
        <vt:i4>5</vt:i4>
      </vt:variant>
      <vt:variant>
        <vt:lpwstr>http://www.chicagofed.org/digital_assets/publications/economic_perspectives/2006/ep_4qtr2006_part2_bliss_steigerwald.pdf</vt:lpwstr>
      </vt:variant>
      <vt:variant>
        <vt:lpwstr/>
      </vt:variant>
      <vt:variant>
        <vt:i4>6160500</vt:i4>
      </vt:variant>
      <vt:variant>
        <vt:i4>39</vt:i4>
      </vt:variant>
      <vt:variant>
        <vt:i4>0</vt:i4>
      </vt:variant>
      <vt:variant>
        <vt:i4>5</vt:i4>
      </vt:variant>
      <vt:variant>
        <vt:lpwstr>https://www.financialstabilityboard.org/publications/c_131121.htm</vt:lpwstr>
      </vt:variant>
      <vt:variant>
        <vt:lpwstr/>
      </vt:variant>
      <vt:variant>
        <vt:i4>589838</vt:i4>
      </vt:variant>
      <vt:variant>
        <vt:i4>36</vt:i4>
      </vt:variant>
      <vt:variant>
        <vt:i4>0</vt:i4>
      </vt:variant>
      <vt:variant>
        <vt:i4>5</vt:i4>
      </vt:variant>
      <vt:variant>
        <vt:lpwstr>http://www.bis.org/publ/cpss109/comments.htm</vt:lpwstr>
      </vt:variant>
      <vt:variant>
        <vt:lpwstr/>
      </vt:variant>
      <vt:variant>
        <vt:i4>2490431</vt:i4>
      </vt:variant>
      <vt:variant>
        <vt:i4>33</vt:i4>
      </vt:variant>
      <vt:variant>
        <vt:i4>0</vt:i4>
      </vt:variant>
      <vt:variant>
        <vt:i4>5</vt:i4>
      </vt:variant>
      <vt:variant>
        <vt:lpwstr>http://ec.europa.eu/internal_market/consultations/2012/nonbanks/consultation-document_en.pdf</vt:lpwstr>
      </vt:variant>
      <vt:variant>
        <vt:lpwstr/>
      </vt:variant>
      <vt:variant>
        <vt:i4>917539</vt:i4>
      </vt:variant>
      <vt:variant>
        <vt:i4>30</vt:i4>
      </vt:variant>
      <vt:variant>
        <vt:i4>0</vt:i4>
      </vt:variant>
      <vt:variant>
        <vt:i4>5</vt:i4>
      </vt:variant>
      <vt:variant>
        <vt:lpwstr>http://ec.europa.eu/atwork/key-documents/index_en.htm</vt:lpwstr>
      </vt:variant>
      <vt:variant>
        <vt:lpwstr/>
      </vt:variant>
      <vt:variant>
        <vt:i4>5505088</vt:i4>
      </vt:variant>
      <vt:variant>
        <vt:i4>27</vt:i4>
      </vt:variant>
      <vt:variant>
        <vt:i4>0</vt:i4>
      </vt:variant>
      <vt:variant>
        <vt:i4>5</vt:i4>
      </vt:variant>
      <vt:variant>
        <vt:lpwstr>http://www.europarl.europa.eu/sides/getDoc.do?pubRef=-//EP//TEXT+TA+P7-TA-2013-0533+0+DOC+XML+V0//EN</vt:lpwstr>
      </vt:variant>
      <vt:variant>
        <vt:lpwstr/>
      </vt:variant>
      <vt:variant>
        <vt:i4>327729</vt:i4>
      </vt:variant>
      <vt:variant>
        <vt:i4>24</vt:i4>
      </vt:variant>
      <vt:variant>
        <vt:i4>0</vt:i4>
      </vt:variant>
      <vt:variant>
        <vt:i4>5</vt:i4>
      </vt:variant>
      <vt:variant>
        <vt:lpwstr>http://www.financialstabilityboard.org/wp-content/uploads/r_141015.pdf</vt:lpwstr>
      </vt:variant>
      <vt:variant>
        <vt:lpwstr/>
      </vt:variant>
      <vt:variant>
        <vt:i4>1441822</vt:i4>
      </vt:variant>
      <vt:variant>
        <vt:i4>21</vt:i4>
      </vt:variant>
      <vt:variant>
        <vt:i4>0</vt:i4>
      </vt:variant>
      <vt:variant>
        <vt:i4>5</vt:i4>
      </vt:variant>
      <vt:variant>
        <vt:lpwstr>http://www.bis.org/cpmi/publ/d121.pdf</vt:lpwstr>
      </vt:variant>
      <vt:variant>
        <vt:lpwstr/>
      </vt:variant>
      <vt:variant>
        <vt:i4>327729</vt:i4>
      </vt:variant>
      <vt:variant>
        <vt:i4>18</vt:i4>
      </vt:variant>
      <vt:variant>
        <vt:i4>0</vt:i4>
      </vt:variant>
      <vt:variant>
        <vt:i4>5</vt:i4>
      </vt:variant>
      <vt:variant>
        <vt:lpwstr>http://www.financialstabilityboard.org/wp-content/uploads/r_141015.pdf</vt:lpwstr>
      </vt:variant>
      <vt:variant>
        <vt:lpwstr/>
      </vt:variant>
      <vt:variant>
        <vt:i4>327718</vt:i4>
      </vt:variant>
      <vt:variant>
        <vt:i4>15</vt:i4>
      </vt:variant>
      <vt:variant>
        <vt:i4>0</vt:i4>
      </vt:variant>
      <vt:variant>
        <vt:i4>5</vt:i4>
      </vt:variant>
      <vt:variant>
        <vt:lpwstr>http://www.financialstabilityboard.org/publications/r_111104cc.pdf</vt:lpwstr>
      </vt:variant>
      <vt:variant>
        <vt:lpwstr/>
      </vt:variant>
      <vt:variant>
        <vt:i4>3080288</vt:i4>
      </vt:variant>
      <vt:variant>
        <vt:i4>12</vt:i4>
      </vt:variant>
      <vt:variant>
        <vt:i4>0</vt:i4>
      </vt:variant>
      <vt:variant>
        <vt:i4>5</vt:i4>
      </vt:variant>
      <vt:variant>
        <vt:lpwstr>http://ec.europa.eu/internal_market/finances/banking-union/index_en.htm</vt:lpwstr>
      </vt:variant>
      <vt:variant>
        <vt:lpwstr/>
      </vt:variant>
      <vt:variant>
        <vt:i4>327730</vt:i4>
      </vt:variant>
      <vt:variant>
        <vt:i4>9</vt:i4>
      </vt:variant>
      <vt:variant>
        <vt:i4>0</vt:i4>
      </vt:variant>
      <vt:variant>
        <vt:i4>5</vt:i4>
      </vt:variant>
      <vt:variant>
        <vt:lpwstr>http://ec.europa.eu/internal_market/bank/crisis_management/index_en.htm</vt:lpwstr>
      </vt:variant>
      <vt:variant>
        <vt:lpwstr/>
      </vt:variant>
      <vt:variant>
        <vt:i4>2490431</vt:i4>
      </vt:variant>
      <vt:variant>
        <vt:i4>6</vt:i4>
      </vt:variant>
      <vt:variant>
        <vt:i4>0</vt:i4>
      </vt:variant>
      <vt:variant>
        <vt:i4>5</vt:i4>
      </vt:variant>
      <vt:variant>
        <vt:lpwstr>http://ec.europa.eu/internal_market/consultations/2012/nonbanks/consultation-document_en.pdf</vt:lpwstr>
      </vt:variant>
      <vt:variant>
        <vt:lpwstr/>
      </vt:variant>
      <vt:variant>
        <vt:i4>2621494</vt:i4>
      </vt:variant>
      <vt:variant>
        <vt:i4>3</vt:i4>
      </vt:variant>
      <vt:variant>
        <vt:i4>0</vt:i4>
      </vt:variant>
      <vt:variant>
        <vt:i4>5</vt:i4>
      </vt:variant>
      <vt:variant>
        <vt:lpwstr>http://eur-lex.europa.eu/legal-content/EN/TXT/;ELX_SESSIONID=2hCkTyTNGyHG1hNnQmvLry3rTZt5TTSkrM1LLv12RFZ9hNy9lbl7!-1897320616?uri=uriserv:OJ.L_.2014.173.01.0190.01.ENG</vt:lpwstr>
      </vt:variant>
      <vt:variant>
        <vt:lpwstr/>
      </vt:variant>
      <vt:variant>
        <vt:i4>7078015</vt:i4>
      </vt:variant>
      <vt:variant>
        <vt:i4>0</vt:i4>
      </vt:variant>
      <vt:variant>
        <vt:i4>0</vt:i4>
      </vt:variant>
      <vt:variant>
        <vt:i4>5</vt:i4>
      </vt:variant>
      <vt:variant>
        <vt:lpwstr>http://www.financialstabilityboard.org/wp-content/uploads/FSB-Chair-letter-to-G20-February-2015.pdf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28082015 Impact Assessment for CCP recovery and resolution proposal</dc:title>
  <dc:subject>Commission Staff Working document - Executive summary of the Impact assessment accompanying the Proposal for a REGULATION OF THE EUROPEAN PARLIAMENT AND OF THE COUNCIL amending Regulation (EU) No 648/...</dc:subject>
  <dc:creator/>
  <cp:keywords>EL4</cp:keywords>
  <cp:lastModifiedBy>DIGIT/A3</cp:lastModifiedBy>
  <cp:revision>18</cp:revision>
  <cp:lastPrinted>2017-02-17T12:17:00Z</cp:lastPrinted>
  <dcterms:created xsi:type="dcterms:W3CDTF">2017-05-19T13:54:00Z</dcterms:created>
  <dcterms:modified xsi:type="dcterms:W3CDTF">2017-05-22T15:33:00Z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vt:lpwstr>
  </property>
  <property fmtid="{D5CDD505-2E9C-101B-9397-08002B2CF9AE}" pid="9" name="EL_Author">
    <vt:lpwstr>GG</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Classification">
    <vt:lpwstr> </vt:lpwstr>
  </property>
  <property fmtid="{D5CDD505-2E9C-101B-9397-08002B2CF9AE}" pid="14" name="Part">
    <vt:lpwstr>1</vt:lpwstr>
  </property>
  <property fmtid="{D5CDD505-2E9C-101B-9397-08002B2CF9AE}" pid="15" name="Total parts">
    <vt:lpwstr>1</vt:lpwstr>
  </property>
  <property fmtid="{D5CDD505-2E9C-101B-9397-08002B2CF9AE}" pid="16" name="ContentTypeId">
    <vt:lpwstr>0x01010068303773FAFE214889649503D26FB5DA</vt:lpwstr>
  </property>
  <property fmtid="{D5CDD505-2E9C-101B-9397-08002B2CF9AE}" pid="17" name="_dlc_DocIdItemGuid">
    <vt:lpwstr>c82b59d4-92d4-4e05-96ec-44d335b36b04</vt:lpwstr>
  </property>
  <property fmtid="{D5CDD505-2E9C-101B-9397-08002B2CF9AE}" pid="18" name="_docset_NoMedatataSyncRequired">
    <vt:lpwstr>False</vt:lpwstr>
  </property>
  <property fmtid="{D5CDD505-2E9C-101B-9397-08002B2CF9AE}" pid="19" name="DocStatus">
    <vt:lpwstr>Green</vt:lpwstr>
  </property>
</Properties>
</file>