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8287FD8E9B947F793A432B2599ED6BB" style="width:450.75pt;height:379.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rPr>
          <w:noProof/>
          <w:color w:val="000000"/>
          <w:szCs w:val="20"/>
        </w:rPr>
      </w:pPr>
      <w:r>
        <w:rPr>
          <w:noProof/>
        </w:rPr>
        <w:t>Propunerea de decizie a Consiliului anexată stabilește poziția Uniunii cu privire la o decizie a Subcomitetului pentru măsuri sanitare și fitosanitare în temeiul Acordului de asociere între Uniunea Europeană și Comunitatea Europeană a Energiei Atomice și statele membre ale acestora, pe de o parte, și Ucraina, pe de altă parte (denumit în continuare „acordul”), privind modificarea anexei V la acord.</w:t>
      </w:r>
      <w:r>
        <w:rPr>
          <w:noProof/>
          <w:color w:val="000000"/>
        </w:rPr>
        <w:t xml:space="preserve"> Acordul a fost semnat la 27 iunie 2014 și este aplicat parțial, cu titlu provizoriu, începând cu 1 ianuarie 2016. </w:t>
      </w:r>
    </w:p>
    <w:p>
      <w:pPr>
        <w:rPr>
          <w:noProof/>
          <w:color w:val="000000"/>
          <w:szCs w:val="20"/>
        </w:rPr>
      </w:pPr>
      <w:r>
        <w:rPr>
          <w:noProof/>
          <w:color w:val="000000"/>
        </w:rPr>
        <w:t>Modificarea propusă vizează punerea în aplicare a dispozițiilor capitolului 4 (Măsuri sanitare și fitosanitare) din titlul IV (Comerț și aspecte legate de comerț) din acord. Mai precis, la articolul 64 alineatul (4) din acord, Ucraina s-a angajat să prezinte o listă a acquis-ului Uniunii în domeniul sanitar și fitosanitar față de care intenționează să își apropie legislația internă. Lista respectivă va fi adăugată la anexa V la acord, prin decizia Subcomitetului pentru măsuri sanitare și fitosanitare UE-Ucraina.</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deja existente în domeniul de politică vizat</w:t>
      </w:r>
    </w:p>
    <w:p>
      <w:pPr>
        <w:rPr>
          <w:noProof/>
          <w:color w:val="000000"/>
          <w:szCs w:val="20"/>
        </w:rPr>
      </w:pPr>
      <w:r>
        <w:rPr>
          <w:noProof/>
          <w:color w:val="000000"/>
        </w:rPr>
        <w:t xml:space="preserve">Prezenta propunere pune în aplicare politica comercială comună a Uniunii față de Ucraina, o țară parteneră din vecinătatea estică, pe baza dispozițiilor din acordul menționat anterior și în special a obiectivului acestuia de a crea o zonă de liber schimb între părți. Prezenta propunere pune în aplicare dispozițiile acordului care vizează stimularea comerțului cu produse agricole între părți și, în special, îmbunătățirea capacității Ucrainei în materie de export de produse agricole, pe baza acquis-ului Uniunii. </w:t>
      </w:r>
    </w:p>
    <w:p>
      <w:pPr>
        <w:pStyle w:val="ManualHeading2"/>
        <w:rPr>
          <w:rFonts w:eastAsia="Arial Unicode MS"/>
          <w:noProof/>
        </w:rPr>
      </w:pPr>
      <w:r>
        <w:rPr>
          <w:noProof/>
          <w:color w:val="000000"/>
          <w:u w:color="000000"/>
          <w:bdr w:val="nil"/>
        </w:rPr>
        <w:t>•</w:t>
      </w:r>
      <w:r>
        <w:rPr>
          <w:noProof/>
        </w:rPr>
        <w:tab/>
        <w:t>Coerența cu alte domenii de politică a Uniunii</w:t>
      </w:r>
    </w:p>
    <w:p>
      <w:pPr>
        <w:rPr>
          <w:noProof/>
          <w:color w:val="000000"/>
          <w:szCs w:val="20"/>
        </w:rPr>
      </w:pPr>
      <w:r>
        <w:rPr>
          <w:noProof/>
          <w:color w:val="000000"/>
        </w:rPr>
        <w:t>Prezenta propunere este conformă cu alte politici externe ale Uniunii și contribuie la punerea lor în aplicare, în special politica europeană de vecinătate și politica de cooperare pentru dezvoltare în relațiile cu Ucraina.</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 juridic</w:t>
      </w:r>
    </w:p>
    <w:p>
      <w:pPr>
        <w:autoSpaceDE w:val="0"/>
        <w:autoSpaceDN w:val="0"/>
        <w:adjustRightInd w:val="0"/>
        <w:rPr>
          <w:noProof/>
          <w:color w:val="000000"/>
          <w:szCs w:val="20"/>
        </w:rPr>
      </w:pPr>
      <w:r>
        <w:rPr>
          <w:noProof/>
        </w:rPr>
        <w:t>Temeiul juridic pentru stabilirea poziției care urmează să fie adoptată de Uniune în cadrul comitetelor instituite prin acord este Tratatul privind funcționarea Uniunii Europene (TFUE), în special articolul 207 alineatul (4) coroborat cu articolul 218 alineatul (9).</w:t>
      </w:r>
      <w:r>
        <w:rPr>
          <w:noProof/>
          <w:color w:val="000000"/>
        </w:rPr>
        <w:t xml:space="preserve"> </w:t>
      </w:r>
    </w:p>
    <w:p>
      <w:pPr>
        <w:pStyle w:val="ManualHeading2"/>
        <w:rPr>
          <w:rFonts w:eastAsia="Arial Unicode MS"/>
          <w:noProof/>
          <w:u w:color="000000"/>
          <w:bdr w:val="nil"/>
        </w:rPr>
      </w:pPr>
      <w:r>
        <w:rPr>
          <w:noProof/>
        </w:rPr>
        <w:t>•</w:t>
      </w:r>
      <w:r>
        <w:rPr>
          <w:noProof/>
        </w:rPr>
        <w:tab/>
        <w:t xml:space="preserve">Subsidiaritatea (în cazul competențelor neexclusive) </w:t>
      </w:r>
    </w:p>
    <w:p>
      <w:pPr>
        <w:rPr>
          <w:noProof/>
        </w:rPr>
      </w:pPr>
      <w:r>
        <w:rPr>
          <w:noProof/>
        </w:rPr>
        <w:t>Conform articolului 3 din TFUE, politica comercială comună este definită ca fiind o competență exclusivă a Uniunii. În consecință, principiul subsidiarității nu se aplică.</w:t>
      </w:r>
    </w:p>
    <w:p>
      <w:pPr>
        <w:pStyle w:val="ManualHeading2"/>
        <w:rPr>
          <w:rFonts w:eastAsia="Arial Unicode MS"/>
          <w:noProof/>
          <w:u w:color="000000"/>
          <w:bdr w:val="nil"/>
        </w:rPr>
      </w:pPr>
      <w:r>
        <w:rPr>
          <w:noProof/>
        </w:rPr>
        <w:t>•</w:t>
      </w:r>
      <w:r>
        <w:rPr>
          <w:noProof/>
        </w:rPr>
        <w:tab/>
        <w:t>Proporționalitate</w:t>
      </w:r>
    </w:p>
    <w:p>
      <w:pPr>
        <w:rPr>
          <w:noProof/>
        </w:rPr>
      </w:pPr>
      <w:r>
        <w:rPr>
          <w:noProof/>
        </w:rPr>
        <w:t xml:space="preserve">Prezenta propunere este necesară pentru a pune în aplicare angajamentele internaționale ale Uniunii stabilite în acordul cu Ucraina. </w:t>
      </w:r>
    </w:p>
    <w:p>
      <w:pPr>
        <w:pStyle w:val="ManualHeading2"/>
        <w:rPr>
          <w:rFonts w:eastAsia="Arial Unicode MS"/>
          <w:noProof/>
          <w:u w:color="000000"/>
          <w:bdr w:val="nil"/>
        </w:rPr>
      </w:pPr>
      <w:r>
        <w:rPr>
          <w:noProof/>
        </w:rPr>
        <w:t>•</w:t>
      </w:r>
      <w:r>
        <w:rPr>
          <w:noProof/>
        </w:rPr>
        <w:tab/>
        <w:t>Alegerea instrumentului</w:t>
      </w:r>
    </w:p>
    <w:p>
      <w:pPr>
        <w:rPr>
          <w:noProof/>
        </w:rPr>
      </w:pPr>
      <w:r>
        <w:rPr>
          <w:noProof/>
        </w:rPr>
        <w:t xml:space="preserve">Prezenta propunere este conformă cu articolul 218 alineatul (9) din TFUE, care prevede adoptarea de decizii de către Consiliu. Nu există un alt instrument juridic care ar putea fi folosit în scopul realizării obiectivului exprimat în prezenta propunere. </w:t>
      </w:r>
    </w:p>
    <w:p>
      <w:pPr>
        <w:pStyle w:val="ManualHeading1"/>
        <w:rPr>
          <w:noProof/>
        </w:rPr>
      </w:pPr>
      <w:r>
        <w:rPr>
          <w:noProof/>
        </w:rPr>
        <w:t>3.</w:t>
      </w:r>
      <w:r>
        <w:rPr>
          <w:noProof/>
        </w:rPr>
        <w:tab/>
        <w:t>REZULTATELE EVALUĂRILOR EX POST, ALE CONSULTĂRILOR CU PĂRȚILE INTERESATE ȘI ALE EVALUĂRII IMPACTULUI</w:t>
      </w:r>
    </w:p>
    <w:p>
      <w:pPr>
        <w:pStyle w:val="ManualHeading2"/>
        <w:rPr>
          <w:rFonts w:eastAsia="Arial Unicode MS"/>
          <w:noProof/>
          <w:u w:color="000000"/>
          <w:bdr w:val="nil"/>
        </w:rPr>
      </w:pPr>
      <w:r>
        <w:rPr>
          <w:noProof/>
        </w:rPr>
        <w:t>•</w:t>
      </w:r>
      <w:r>
        <w:rPr>
          <w:noProof/>
        </w:rPr>
        <w:tab/>
        <w:t xml:space="preserve">Evaluări </w:t>
      </w:r>
      <w:r>
        <w:rPr>
          <w:i/>
          <w:noProof/>
        </w:rPr>
        <w:t>ex post</w:t>
      </w:r>
      <w:r>
        <w:rPr>
          <w:noProof/>
        </w:rPr>
        <w:t>/verificări ale adecvării legislației existente</w:t>
      </w:r>
    </w:p>
    <w:p>
      <w:pPr>
        <w:spacing w:before="0" w:after="240"/>
        <w:rPr>
          <w:rFonts w:eastAsia="Arial Unicode MS"/>
          <w:noProof/>
        </w:rPr>
      </w:pPr>
      <w:r>
        <w:rPr>
          <w:noProof/>
        </w:rPr>
        <w:t>Nu se aplică.</w:t>
      </w:r>
    </w:p>
    <w:p>
      <w:pPr>
        <w:pStyle w:val="ManualHeading2"/>
        <w:rPr>
          <w:rFonts w:eastAsia="Arial Unicode MS"/>
          <w:noProof/>
          <w:u w:color="000000"/>
          <w:bdr w:val="nil"/>
        </w:rPr>
      </w:pPr>
      <w:r>
        <w:rPr>
          <w:noProof/>
        </w:rPr>
        <w:t>•</w:t>
      </w:r>
      <w:r>
        <w:rPr>
          <w:noProof/>
        </w:rPr>
        <w:tab/>
        <w:t>Consultarea părților interesate</w:t>
      </w:r>
    </w:p>
    <w:p>
      <w:pPr>
        <w:keepNext/>
        <w:tabs>
          <w:tab w:val="left" w:pos="850"/>
        </w:tabs>
        <w:outlineLvl w:val="1"/>
        <w:rPr>
          <w:rFonts w:eastAsia="Calibri"/>
          <w:noProof/>
          <w:color w:val="000000"/>
          <w:szCs w:val="20"/>
        </w:rPr>
      </w:pPr>
      <w:r>
        <w:rPr>
          <w:noProof/>
          <w:color w:val="000000"/>
        </w:rPr>
        <w:t>Ucraina a elaborat lista acquis-ului Uniunii față de care intenționează să își apropie legislația internă, în conformitate cu procedurile interne corespunzătoare. Consultările părților interesate din UE nu se aplică în cazul prezentei propuneri.</w:t>
      </w:r>
    </w:p>
    <w:p>
      <w:pPr>
        <w:pStyle w:val="ManualHeading2"/>
        <w:rPr>
          <w:rFonts w:eastAsia="Arial Unicode MS"/>
          <w:noProof/>
          <w:u w:color="000000"/>
          <w:bdr w:val="nil"/>
        </w:rPr>
      </w:pPr>
      <w:r>
        <w:rPr>
          <w:noProof/>
        </w:rPr>
        <w:t>•</w:t>
      </w:r>
      <w:r>
        <w:rPr>
          <w:noProof/>
        </w:rPr>
        <w:tab/>
        <w:t>Obținerea și utilizarea expertizei</w:t>
      </w:r>
    </w:p>
    <w:p>
      <w:pPr>
        <w:spacing w:before="0" w:after="240"/>
        <w:rPr>
          <w:rFonts w:eastAsia="Arial Unicode MS"/>
          <w:noProof/>
        </w:rPr>
      </w:pPr>
      <w:r>
        <w:rPr>
          <w:noProof/>
        </w:rPr>
        <w:t xml:space="preserve">Uniunea și-a pus expertiza în domeniul sanitar, fitosanitar și al bunăstării animalelor la dispoziția autorităților din Ucraina, în vederea pregătirii listei acquis-ului Uniunii față de care această țară parteneră intenționează să își apropie legislația. </w:t>
      </w:r>
    </w:p>
    <w:p>
      <w:pPr>
        <w:pStyle w:val="ManualHeading2"/>
        <w:rPr>
          <w:rFonts w:eastAsia="Arial Unicode MS"/>
          <w:noProof/>
          <w:u w:color="000000"/>
          <w:bdr w:val="nil"/>
        </w:rPr>
      </w:pPr>
      <w:r>
        <w:rPr>
          <w:noProof/>
        </w:rPr>
        <w:t>•</w:t>
      </w:r>
      <w:r>
        <w:rPr>
          <w:noProof/>
        </w:rPr>
        <w:tab/>
        <w:t>Evaluarea impactului</w:t>
      </w:r>
    </w:p>
    <w:p>
      <w:pPr>
        <w:spacing w:before="0" w:after="240"/>
        <w:rPr>
          <w:noProof/>
        </w:rPr>
      </w:pPr>
      <w:r>
        <w:rPr>
          <w:noProof/>
        </w:rPr>
        <w:t xml:space="preserve">Dispozițiile acordului privind comerțul și aspectele legate de comerț au făcut obiectul evaluării impactului comerțului asupra dezvoltării durabile, efectuată de DG Comerț din cadrul Comisiei în 2007, care a fost inclusă în procesul de negociere a zonei de liber schimb aprofundate și cuprinzătoare. Studiul respectiv a confirmat faptul că punerea în aplicare a dispozițiilor privind comerțul și aspectele legate de comerț nu va avea niciun impact negativ asupra Uniunii, a acquis-ului său sau a politicilor sale, având în același timp un impact pozitiv asupra dezvoltării economice a Ucrainei. Prezenta propunere nu are niciun impact asupra politicii economice, sociale sau de mediu a Uniunii. </w:t>
      </w:r>
    </w:p>
    <w:p>
      <w:pPr>
        <w:pStyle w:val="ManualHeading2"/>
        <w:rPr>
          <w:rFonts w:eastAsia="Arial Unicode MS"/>
          <w:noProof/>
          <w:u w:color="000000"/>
          <w:bdr w:val="nil"/>
        </w:rPr>
      </w:pPr>
      <w:r>
        <w:rPr>
          <w:noProof/>
        </w:rPr>
        <w:t>•</w:t>
      </w:r>
      <w:r>
        <w:rPr>
          <w:noProof/>
        </w:rPr>
        <w:tab/>
        <w:t>Adecvarea și simplificarea reglementărilor</w:t>
      </w:r>
    </w:p>
    <w:p>
      <w:pPr>
        <w:spacing w:before="0" w:after="240"/>
        <w:rPr>
          <w:rFonts w:eastAsia="Calibri"/>
          <w:noProof/>
        </w:rPr>
      </w:pPr>
      <w:r>
        <w:rPr>
          <w:noProof/>
        </w:rPr>
        <w:t xml:space="preserve">Acordul nu face obiectul procedurilor REFIT în această etapă; el nu implică niciun cost pentru IMM-urile din Uniune și nu ridică nicio problemă din punctul de vedere al mediului digital. </w:t>
      </w:r>
    </w:p>
    <w:p>
      <w:pPr>
        <w:pStyle w:val="ManualHeading2"/>
        <w:rPr>
          <w:rFonts w:eastAsia="Arial Unicode MS"/>
          <w:noProof/>
          <w:u w:color="000000"/>
          <w:bdr w:val="nil"/>
        </w:rPr>
      </w:pPr>
      <w:r>
        <w:rPr>
          <w:noProof/>
        </w:rPr>
        <w:t>•</w:t>
      </w:r>
      <w:r>
        <w:rPr>
          <w:noProof/>
        </w:rPr>
        <w:tab/>
        <w:t>Drepturi fundamentale</w:t>
      </w:r>
    </w:p>
    <w:p>
      <w:pPr>
        <w:keepNext/>
        <w:tabs>
          <w:tab w:val="left" w:pos="850"/>
        </w:tabs>
        <w:outlineLvl w:val="1"/>
        <w:rPr>
          <w:rFonts w:eastAsia="Arial Unicode MS"/>
          <w:noProof/>
          <w:bdr w:val="none" w:sz="0" w:space="0" w:color="auto" w:frame="1"/>
        </w:rPr>
      </w:pPr>
      <w:r>
        <w:rPr>
          <w:noProof/>
        </w:rPr>
        <w:t xml:space="preserve">Propunerea nu are consecințe asupra protecției drepturilor fundamentale în Uniune. </w:t>
      </w:r>
    </w:p>
    <w:p>
      <w:pPr>
        <w:pStyle w:val="ManualHeading1"/>
        <w:rPr>
          <w:noProof/>
        </w:rPr>
      </w:pPr>
      <w:r>
        <w:rPr>
          <w:noProof/>
        </w:rPr>
        <w:t>4.</w:t>
      </w:r>
      <w:r>
        <w:rPr>
          <w:noProof/>
        </w:rPr>
        <w:tab/>
        <w:t>IMPLICAȚIILE BUGETARE</w:t>
      </w:r>
    </w:p>
    <w:p>
      <w:pPr>
        <w:spacing w:before="0" w:after="240"/>
        <w:rPr>
          <w:rFonts w:eastAsia="Arial Unicode MS"/>
          <w:noProof/>
        </w:rPr>
      </w:pPr>
      <w:r>
        <w:rPr>
          <w:noProof/>
        </w:rPr>
        <w:t>Nu se aplică.</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Planurile de punere în aplicare și mecanismele de monitorizare, evaluare și raportare</w:t>
      </w:r>
    </w:p>
    <w:p>
      <w:pPr>
        <w:spacing w:before="0" w:after="240"/>
        <w:rPr>
          <w:rFonts w:eastAsia="Arial Unicode MS"/>
          <w:noProof/>
        </w:rPr>
      </w:pPr>
      <w:r>
        <w:rPr>
          <w:noProof/>
        </w:rPr>
        <w:t>Punerea în aplicare a acordului este revizuită periodic de către Consiliul de asociere UE-Ucraina și de organismele sale subordonate instituite prin acord. Comisia Europeană s-a angajat, de asemenea, să prezinte Parlamentului European și Consiliului rapoarte anuale cu privire la punerea în aplicare a titlului IV (Comerț și aspecte legate de comerț) din acord, inclusiv cu privire la elementele incluse în prezenta propunere.</w:t>
      </w:r>
    </w:p>
    <w:p>
      <w:pPr>
        <w:pStyle w:val="ManualHeading2"/>
        <w:rPr>
          <w:rFonts w:eastAsia="Arial Unicode MS"/>
          <w:noProof/>
          <w:u w:color="000000"/>
          <w:bdr w:val="nil"/>
        </w:rPr>
      </w:pPr>
      <w:r>
        <w:rPr>
          <w:noProof/>
        </w:rPr>
        <w:t>•</w:t>
      </w:r>
      <w:r>
        <w:rPr>
          <w:noProof/>
        </w:rPr>
        <w:tab/>
        <w:t>Documente explicative (pentru directive)</w:t>
      </w:r>
    </w:p>
    <w:p>
      <w:pPr>
        <w:spacing w:before="0" w:after="240"/>
        <w:rPr>
          <w:rFonts w:eastAsia="Calibri"/>
          <w:noProof/>
        </w:rPr>
      </w:pPr>
      <w:r>
        <w:rPr>
          <w:noProof/>
        </w:rPr>
        <w:t>Nu se aplică.</w:t>
      </w:r>
    </w:p>
    <w:p>
      <w:pPr>
        <w:pStyle w:val="ManualHeading2"/>
        <w:rPr>
          <w:rFonts w:eastAsia="Arial Unicode MS"/>
          <w:noProof/>
          <w:u w:color="000000"/>
          <w:bdr w:val="nil"/>
        </w:rPr>
      </w:pPr>
      <w:r>
        <w:rPr>
          <w:noProof/>
        </w:rPr>
        <w:t>•</w:t>
      </w:r>
      <w:r>
        <w:rPr>
          <w:noProof/>
        </w:rPr>
        <w:tab/>
        <w:t>Explicația detaliată a dispozițiilor specifice ale propunerii</w:t>
      </w:r>
    </w:p>
    <w:p>
      <w:pPr>
        <w:spacing w:before="0" w:after="240"/>
        <w:rPr>
          <w:rFonts w:eastAsia="Calibri"/>
          <w:noProof/>
          <w:color w:val="000000"/>
          <w:szCs w:val="20"/>
        </w:rPr>
      </w:pPr>
      <w:r>
        <w:rPr>
          <w:noProof/>
          <w:color w:val="000000"/>
        </w:rPr>
        <w:t xml:space="preserve">Propunerea are drept scop adoptarea unei poziții a Uniunii în ceea ce privește modificarea anexei V la acord. În conformitate cu articolul 64 din acord, această anexă cuprinde acquis-ul Uniunii față de care Ucraina intenționează să își apropie legislația în domeniul sanitar, fitosanitar și al măsurilor de bunăstare a animalelor, în scopul de a obține un statut de echivalență pentru un produs sau un grup de produse, astfel cum se prevede la articolul 66 din acord. </w:t>
      </w:r>
    </w:p>
    <w:p>
      <w:pPr>
        <w:spacing w:before="0" w:after="240"/>
        <w:rPr>
          <w:noProof/>
          <w:color w:val="000000"/>
          <w:szCs w:val="20"/>
        </w:rPr>
      </w:pPr>
      <w:r>
        <w:rPr>
          <w:noProof/>
          <w:color w:val="000000"/>
        </w:rPr>
        <w:t xml:space="preserve">Ucraina a elaborat o astfel de listă a acquis-ului Uniunii în conformitate cu procedurile sale interne, a prezentat propunerea în iunie 2016 și a finalizat-o recent. </w:t>
      </w:r>
    </w:p>
    <w:p>
      <w:pPr>
        <w:rPr>
          <w:noProof/>
          <w:color w:val="000000"/>
          <w:szCs w:val="20"/>
        </w:rPr>
      </w:pPr>
      <w:r>
        <w:rPr>
          <w:noProof/>
          <w:color w:val="000000"/>
        </w:rPr>
        <w:t>Subcomitetul pentru măsuri sanitare și fitosanitare UE-Ucraina este împuternicit să ia o decizie privind modificarea anexei V în conformitate cu articolul 74 din acord. În conformitate cu dispozițiile de la alineatul (2) al articolului respectiv, Subcomitetul monitorizează punerea în aplicare a capitolului 4 (Măsuri sanitare și fitosanitare) din titlul IV (Comerț și aspecte legate de comerț) din acord și ia decizii, după caz, cu privire la modificarea anexelor IV-XIV la acord.</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2017/0105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urmează să fie adoptată, în numele Uniunii, în cadrul Subcomitetului pentru măsuri sanitare și fitosanitare instituit prin Acordul de asociere între Uniunea Europeană și Comunitatea Europeană a Energiei Atomice și statele membre ale acestora, pe de o parte, și Ucraina, pe de altă parte</w:t>
      </w:r>
    </w:p>
    <w:p>
      <w:pPr>
        <w:pStyle w:val="Institutionquiagit"/>
        <w:rPr>
          <w:noProof/>
        </w:rPr>
      </w:pPr>
      <w:r>
        <w:rPr>
          <w:noProof/>
        </w:rPr>
        <w:t>CONSILIUL UNIUNII EUROPENE,</w:t>
      </w:r>
    </w:p>
    <w:p>
      <w:pPr>
        <w:rPr>
          <w:noProof/>
        </w:rPr>
      </w:pPr>
      <w:r>
        <w:rPr>
          <w:noProof/>
        </w:rPr>
        <w:t>având în vedere Tratatul privind funcționarea Uniunii Europene, în special articolul 207 alineatul (4) primul paragraf coroborat cu articolul 218 alineatul (9),</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Articolul 486 alineatele (3) și (4) din Acordul de asociere între Uniunea Europeană și Comunitatea Europeană a Energiei Atomice și statele membre ale acestora, pe de o parte, și Ucraina, pe de altă parte (denumit în continuare „acordul”) prevede aplicarea parțială și cu titlu provizoriu a acordului, astfel cum se precizează de către Uniune.</w:t>
      </w:r>
    </w:p>
    <w:p>
      <w:pPr>
        <w:pStyle w:val="ManualConsidrant"/>
        <w:rPr>
          <w:noProof/>
        </w:rPr>
      </w:pPr>
      <w:r>
        <w:t>(2)</w:t>
      </w:r>
      <w:r>
        <w:tab/>
      </w:r>
      <w:r>
        <w:rPr>
          <w:noProof/>
        </w:rPr>
        <w:t>La articolul 1 din Decizia 2014/691/UE a Consiliului</w:t>
      </w:r>
      <w:r>
        <w:rPr>
          <w:rStyle w:val="FootnoteReference"/>
          <w:noProof/>
        </w:rPr>
        <w:footnoteReference w:id="1"/>
      </w:r>
      <w:r>
        <w:rPr>
          <w:noProof/>
        </w:rPr>
        <w:t xml:space="preserve"> se precizează dispozițiile acordului care urmează să fie aplicate cu titlu provizoriu, inclusiv dispozițiile referitoare la măsurile sanitare, fitosanitare și privind bunăstarea animalelor, precum și anexele corespunzătoare IV-XIV la acord. În conformitate cu articolul 486 alineatul (4) din acord, aplicarea provizorie a dispozițiilor respective este în vigoare de la 1 ianuarie 2016.</w:t>
      </w:r>
    </w:p>
    <w:p>
      <w:pPr>
        <w:pStyle w:val="ManualConsidrant"/>
        <w:rPr>
          <w:noProof/>
        </w:rPr>
      </w:pPr>
      <w:r>
        <w:t>(3)</w:t>
      </w:r>
      <w:r>
        <w:tab/>
      </w:r>
      <w:r>
        <w:rPr>
          <w:noProof/>
        </w:rPr>
        <w:t>Articolul 64 din acord prevede ca Ucraina să își apropie treptat legislația din domeniul sanitar și fitosanitar și cea din domeniul bunăstării animalelor de legislația Uniunii, în conformitate cu anexa V la acordul respectiv.</w:t>
      </w:r>
    </w:p>
    <w:p>
      <w:pPr>
        <w:pStyle w:val="ManualConsidrant"/>
        <w:rPr>
          <w:noProof/>
        </w:rPr>
      </w:pPr>
      <w:r>
        <w:t>(4)</w:t>
      </w:r>
      <w:r>
        <w:tab/>
      </w:r>
      <w:r>
        <w:rPr>
          <w:noProof/>
        </w:rPr>
        <w:t>Articolul 64 alineatul (4) din acord stabilește că Ucraina trebuie să prezinte o listă a acquis-ului Uniunii în domeniul sanitar, fitosanitar și al bunăstării animalelor față de care intenționează să își apropie legislația internă. Această listă de măsuri de apropiere va constitui documentul de referință pentru punerea în aplicare a capitolului 4 (Măsuri sanitare și fitosanitare) din titlul IV (Comerț și aspecte legate de comerț) din acord, urmând a fi adăugată în anexa V la acord. Prin urmare, anexa V la acord trebuie să fie modificată printr-o decizie a Subcomitetului pentru măsuri sanitare și fitosanitare, astfel cum se prevede la articolul 74 din acord.</w:t>
      </w:r>
    </w:p>
    <w:p>
      <w:pPr>
        <w:pStyle w:val="ManualConsidrant"/>
        <w:rPr>
          <w:noProof/>
        </w:rPr>
      </w:pPr>
      <w:r>
        <w:t>(5)</w:t>
      </w:r>
      <w:r>
        <w:tab/>
      </w:r>
      <w:r>
        <w:rPr>
          <w:noProof/>
        </w:rPr>
        <w:t>Ucraina a prezentat Comisiei Europene lista sus-menționată a acquis-ului Uniunii în iunie 2016.</w:t>
      </w:r>
    </w:p>
    <w:p>
      <w:pPr>
        <w:pStyle w:val="ManualConsidrant"/>
        <w:rPr>
          <w:noProof/>
        </w:rPr>
      </w:pPr>
      <w:r>
        <w:t>(6)</w:t>
      </w:r>
      <w:r>
        <w:tab/>
      </w:r>
      <w:r>
        <w:rPr>
          <w:noProof/>
        </w:rPr>
        <w:t>Prin urmare, este oportun să se stabilească poziția care urmează să fie adoptată în numele Uniunii în cadrul Subcomitetului pentru măsuri sanitare și fitosanitare, în ceea ce privește modificarea anexei V la acord,</w:t>
      </w:r>
    </w:p>
    <w:p>
      <w:pPr>
        <w:pStyle w:val="Formuledadoption"/>
        <w:rPr>
          <w:noProof/>
        </w:rPr>
      </w:pPr>
      <w:r>
        <w:rPr>
          <w:noProof/>
        </w:rPr>
        <w:t xml:space="preserve">ADOPTĂ PREZENTA DECIZIE: </w:t>
      </w:r>
    </w:p>
    <w:p>
      <w:pPr>
        <w:pStyle w:val="Titrearticle"/>
        <w:rPr>
          <w:noProof/>
        </w:rPr>
      </w:pPr>
      <w:r>
        <w:rPr>
          <w:noProof/>
        </w:rPr>
        <w:t>Articolul 1</w:t>
      </w:r>
    </w:p>
    <w:p>
      <w:pPr>
        <w:pStyle w:val="ManualNumPar1"/>
        <w:rPr>
          <w:noProof/>
        </w:rPr>
      </w:pPr>
      <w:r>
        <w:rPr>
          <w:noProof/>
        </w:rPr>
        <w:t>1.</w:t>
      </w:r>
      <w:r>
        <w:rPr>
          <w:noProof/>
        </w:rPr>
        <w:tab/>
        <w:t>Poziția care urmează să fie adoptată în numele Uniunii în cadrul Subcomitetului pentru măsuri sanitare și fitosanitare instituit prin articolul 74 din Acordul de asociere între Uniunea Europeană și Comunitatea Europeană a Energiei Atomice și statele membre ale acestora, pe de o parte, și Ucraina, pe de altă parte (denumit în continuare „acordul”), în legătură cu modificarea anexei V la Acordul de asociere este de a susține proiectul de decizie anexat.</w:t>
      </w:r>
    </w:p>
    <w:p>
      <w:pPr>
        <w:pStyle w:val="ManualNumPar1"/>
        <w:rPr>
          <w:noProof/>
        </w:rPr>
      </w:pPr>
      <w:r>
        <w:rPr>
          <w:noProof/>
        </w:rPr>
        <w:t>2.</w:t>
      </w:r>
      <w:r>
        <w:rPr>
          <w:noProof/>
        </w:rPr>
        <w:tab/>
        <w:t xml:space="preserve">Modificările minore aduse proiectului de decizie pot fi acceptate de reprezentanții Uniunii în cadrul Subcomitetului pentru măsuri sanitare și fitosanitare fără a fi necesară o altă decizie a Consiliului. </w:t>
      </w:r>
    </w:p>
    <w:p>
      <w:pPr>
        <w:pStyle w:val="Titrearticle"/>
        <w:rPr>
          <w:noProof/>
        </w:rPr>
      </w:pPr>
      <w:r>
        <w:rPr>
          <w:noProof/>
        </w:rPr>
        <w:t>Articolul 2</w:t>
      </w:r>
    </w:p>
    <w:p>
      <w:pPr>
        <w:rPr>
          <w:noProof/>
        </w:rPr>
      </w:pPr>
      <w:r>
        <w:rPr>
          <w:noProof/>
        </w:rPr>
        <w:t>Prezenta decizie intră în vigoare la data adoptării.</w:t>
      </w:r>
    </w:p>
    <w:p>
      <w:pPr>
        <w:pStyle w:val="Fait"/>
        <w:rPr>
          <w:noProof/>
        </w:rPr>
      </w:pPr>
      <w:r>
        <w:rPr>
          <w:noProof/>
        </w:rP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Decizia 2014/691/UE a Consiliului din 29 septembrie 2014 de modificare a Deciziei 2014/668/UE privind semnarea, în numele Uniunii Europene, și aplicarea cu titlu provizoriu a Acordului de asociere dintre Uniunea Europeană și Comunitatea Europeană a Energiei Atomice și statele membre ale acestora, pe de o parte, și Ucraina, pe de altă parte, în ceea ce privește titlul III (cu excepția dispozițiilor referitoare la tratamentul aplicat resortisanților țărilor terțe care lucrează cu forme legale pe teritoriul celeilalte părți) și titlurile IV, V, VI și VII din acord, precum și a anexelor și protocoalelor aferente (JO L 289, 3.10.2014, p. 1 - 2).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AB4E0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11831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8668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D06D65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55440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DB8A6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300FE0"/>
    <w:lvl w:ilvl="0">
      <w:start w:val="1"/>
      <w:numFmt w:val="decimal"/>
      <w:pStyle w:val="ListNumber"/>
      <w:lvlText w:val="%1."/>
      <w:lvlJc w:val="left"/>
      <w:pPr>
        <w:tabs>
          <w:tab w:val="num" w:pos="360"/>
        </w:tabs>
        <w:ind w:left="360" w:hanging="360"/>
      </w:pPr>
    </w:lvl>
  </w:abstractNum>
  <w:abstractNum w:abstractNumId="7">
    <w:nsid w:val="FFFFFF89"/>
    <w:multiLevelType w:val="singleLevel"/>
    <w:tmpl w:val="3F4CBD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7"/>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18 10:39: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8287FD8E9B947F793A432B2599ED6BB"/>
    <w:docVar w:name="LW_CROSSREFERENCE" w:val="&lt;UNUSED&gt;"/>
    <w:docVar w:name="LW_DocType" w:val="COM"/>
    <w:docVar w:name="LW_EMISSION" w:val="29.5.2017"/>
    <w:docVar w:name="LW_EMISSION_ISODATE" w:val="2017-05-29"/>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NLE"/>
    <w:docVar w:name="LW_REF.II.NEW.CP_NUMBER" w:val="0105"/>
    <w:docVar w:name="LW_REF.II.NEW.CP_YEAR" w:val="2017"/>
    <w:docVar w:name="LW_REF.INST.NEW" w:val="COM"/>
    <w:docVar w:name="LW_REF.INST.NEW_ADOPTED" w:val="final"/>
    <w:docVar w:name="LW_REF.INST.NEW_TEXT" w:val="(2017) 265"/>
    <w:docVar w:name="LW_REF.INTERNE" w:val="&lt;UNUSED&gt;"/>
    <w:docVar w:name="LW_SOUS.TITRE.OBJ.CP" w:val="&lt;UNUSED&gt;"/>
    <w:docVar w:name="LW_STATUT.CP" w:val="Propunere de"/>
    <w:docVar w:name="LW_SUPERTITRE" w:val="&lt;UNUSED&gt;"/>
    <w:docVar w:name="LW_TITRE.OBJ.CP" w:val="privind pozi\u539?ia care urmeaz\u259? s\u259? fie adoptat\u259?, în numele Uniunii, în cadrul Subcomitetului pentru m\u259?suri sanitare \u537?i fitosanitare instituit prin Acordul de asociere între Uniunea European\u259? \u537?i Comunitatea European\u259? a Energiei Atomice \u537?i statele membre ale acestora, pe de o parte, \u537?i Ucraina, pe de alt\u259? parte"/>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1464</Words>
  <Characters>8584</Characters>
  <Application>Microsoft Office Word</Application>
  <DocSecurity>0</DocSecurity>
  <Lines>153</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18</cp:revision>
  <dcterms:created xsi:type="dcterms:W3CDTF">2017-04-28T13:10:00Z</dcterms:created>
  <dcterms:modified xsi:type="dcterms:W3CDTF">2017-05-18T08:39:00Z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