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ED91E25C846457D9F6B8922F1CD4DE7" style="width:450.75pt;height:379.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noProof/>
          <w:color w:val="000000"/>
          <w:szCs w:val="20"/>
        </w:rPr>
      </w:pPr>
      <w:r>
        <w:rPr>
          <w:noProof/>
        </w:rPr>
        <w:t>Het bijgevoegde voorstel voor een besluit van de Raad bepaalt het standpunt van de Unie over een besluit van het krachtens de Associatieovereenkomst tussen de Europese Unie en de Europese Gemeenschap voor Atoomenergie en hun lidstaten, enerzijds, en Oekraïne, anderzijds, ("de overeenkomst") opgerichte subcomité voor sanitaire en fytosanitaire maatregelen betreffende de wijziging van bijlage V bij de overeenkomst.</w:t>
      </w:r>
      <w:r>
        <w:rPr>
          <w:noProof/>
          <w:color w:val="000000"/>
        </w:rPr>
        <w:t xml:space="preserve"> De overeenkomst is op 27 juni 2014 ondertekend en een deel ervan wordt sinds 1 januari 2016 voorlopig toegepast. </w:t>
      </w:r>
    </w:p>
    <w:p>
      <w:pPr>
        <w:rPr>
          <w:noProof/>
          <w:color w:val="000000"/>
          <w:szCs w:val="20"/>
        </w:rPr>
      </w:pPr>
      <w:r>
        <w:rPr>
          <w:noProof/>
          <w:color w:val="000000"/>
        </w:rPr>
        <w:t>De voorgestelde wijziging is bedoeld om uitvoering te geven aan de bepalingen van hoofdstuk 4 (Sanitaire en fytosanitaire maatregelen) van titel IV (Handel en daarmee verband houdende aangelegenheden) van de overeenkomst. Met name in artikel 64, lid 4, van de overeenkomst heeft Oekraïne zich ertoe verbonden een lijst te verstrekken met het sanitaire en fytosanitaire acquis van de Unie waaraan het voornemens is zijn nationale wetgeving aan te passen. Deze lijst zal bij besluit van het subcomité voor sanitaire en fytosanitaire maatregelen van de EU en Oekraïne worden toegevoegd aan bijlage V bij de overeenkomst.</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rPr>
          <w:noProof/>
          <w:color w:val="000000"/>
          <w:szCs w:val="20"/>
        </w:rPr>
      </w:pPr>
      <w:r>
        <w:rPr>
          <w:noProof/>
          <w:color w:val="000000"/>
        </w:rPr>
        <w:t xml:space="preserve">Met dit voorstel wordt, op basis van de bepalingen van de bovengenoemde overeenkomst en met name van de daarin vastgestelde doelstelling van het tot stand brengen van een vrijhandelszone tussen de partijen, uitvoering gegeven aan de gemeenschappelijke handelspolitiek van de Unie ten aanzien van Oekraïne, een partnerland van het oostelijk nabuurschap. Met dit voorstel wordt uitvoering gegeven aan de bepalingen van de overeenkomst waarmee de handel in landbouwproducten tussen de partijen moet worden bevorderd en met name de landbouwexportcapaciteit van Oekraïne moet worden verbeterd, op basis van het acquis van de Unie. </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rPr>
          <w:noProof/>
          <w:color w:val="000000"/>
          <w:szCs w:val="20"/>
        </w:rPr>
      </w:pPr>
      <w:r>
        <w:rPr>
          <w:noProof/>
          <w:color w:val="000000"/>
        </w:rPr>
        <w:t>Dit voorstel sluit aan op en draagt bij tot de uitvoering van ander extern beleid van de Unie, met name het Europees nabuurschapsbeleid en het beleid inzake ontwikkelingssamenwerking met betrekking tot Oekraïne.</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autoSpaceDE w:val="0"/>
        <w:autoSpaceDN w:val="0"/>
        <w:adjustRightInd w:val="0"/>
        <w:rPr>
          <w:noProof/>
          <w:color w:val="000000"/>
          <w:szCs w:val="20"/>
        </w:rPr>
      </w:pPr>
      <w:r>
        <w:rPr>
          <w:noProof/>
        </w:rPr>
        <w:t>De rechtsgrondslag voor de vaststelling van het door de Unie in te nemen standpunt in de krachtens de overeenkomst ingestelde comités wordt gevormd door het Verdrag betreffende de werking van de Europese Unie (VWEU), en met name artikel 207, lid 4, in samenhang met artikel 218, lid 9.</w:t>
      </w:r>
      <w:r>
        <w:rPr>
          <w:noProof/>
          <w:color w:val="000000"/>
        </w:rPr>
        <w:t xml:space="preserve"> </w:t>
      </w:r>
    </w:p>
    <w:p>
      <w:pPr>
        <w:pStyle w:val="ManualHeading2"/>
        <w:rPr>
          <w:rFonts w:eastAsia="Arial Unicode MS"/>
          <w:noProof/>
          <w:u w:color="000000"/>
          <w:bdr w:val="nil"/>
        </w:rPr>
      </w:pPr>
      <w:r>
        <w:rPr>
          <w:noProof/>
        </w:rPr>
        <w:t>•</w:t>
      </w:r>
      <w:r>
        <w:rPr>
          <w:noProof/>
        </w:rPr>
        <w:tab/>
        <w:t xml:space="preserve">Subsidiariteit (bij niet-exclusieve bevoegdheid) </w:t>
      </w:r>
    </w:p>
    <w:p>
      <w:pPr>
        <w:rPr>
          <w:noProof/>
        </w:rPr>
      </w:pPr>
      <w:r>
        <w:rPr>
          <w:noProof/>
        </w:rPr>
        <w:t>De gemeenschappelijke handelspolitiek is krachtens artikel 3 VWEU een exclusieve bevoegdheid van de Unie. Het subsidiariteitsbeginsel is derhalve niet van toepassing.</w:t>
      </w:r>
    </w:p>
    <w:p>
      <w:pPr>
        <w:pStyle w:val="ManualHeading2"/>
        <w:rPr>
          <w:rFonts w:eastAsia="Arial Unicode MS"/>
          <w:noProof/>
          <w:u w:color="000000"/>
          <w:bdr w:val="nil"/>
        </w:rPr>
      </w:pPr>
      <w:r>
        <w:rPr>
          <w:noProof/>
        </w:rPr>
        <w:t>•</w:t>
      </w:r>
      <w:r>
        <w:rPr>
          <w:noProof/>
        </w:rPr>
        <w:tab/>
        <w:t>Evenredigheid</w:t>
      </w:r>
    </w:p>
    <w:p>
      <w:pPr>
        <w:rPr>
          <w:noProof/>
        </w:rPr>
      </w:pPr>
      <w:r>
        <w:rPr>
          <w:noProof/>
        </w:rPr>
        <w:t xml:space="preserve">Dit voorstel is nodig om de in de overeenkomst met Oekraïne neergelegde internationale verplichtingen van de Unie na te komen. </w:t>
      </w:r>
    </w:p>
    <w:p>
      <w:pPr>
        <w:pStyle w:val="ManualHeading2"/>
        <w:rPr>
          <w:rFonts w:eastAsia="Arial Unicode MS"/>
          <w:noProof/>
          <w:u w:color="000000"/>
          <w:bdr w:val="nil"/>
        </w:rPr>
      </w:pPr>
      <w:r>
        <w:rPr>
          <w:noProof/>
        </w:rPr>
        <w:t>•</w:t>
      </w:r>
      <w:r>
        <w:rPr>
          <w:noProof/>
        </w:rPr>
        <w:tab/>
        <w:t>Keuze van het instrument</w:t>
      </w:r>
    </w:p>
    <w:p>
      <w:pPr>
        <w:rPr>
          <w:noProof/>
        </w:rPr>
      </w:pPr>
      <w:r>
        <w:rPr>
          <w:noProof/>
        </w:rPr>
        <w:t xml:space="preserve">Dit voorstel is in overeenstemming met artikel 218, lid 9, VWEU, uit hoofde waarvan de Raad besluiten vaststelt. Er bestaat geen ander rechtsinstrument dat kan worden gebruikt om de in dit voorstel geformuleerde doelstelling te bereiken. </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spacing w:before="0" w:after="240"/>
        <w:rPr>
          <w:rFonts w:eastAsia="Arial Unicode MS"/>
          <w:noProof/>
        </w:rPr>
      </w:pPr>
      <w:r>
        <w:rPr>
          <w:noProof/>
        </w:rPr>
        <w:t>Niet van toepassing.</w:t>
      </w:r>
    </w:p>
    <w:p>
      <w:pPr>
        <w:pStyle w:val="ManualHeading2"/>
        <w:rPr>
          <w:rFonts w:eastAsia="Arial Unicode MS"/>
          <w:noProof/>
          <w:u w:color="000000"/>
          <w:bdr w:val="nil"/>
        </w:rPr>
      </w:pPr>
      <w:r>
        <w:rPr>
          <w:noProof/>
        </w:rPr>
        <w:t>•</w:t>
      </w:r>
      <w:r>
        <w:rPr>
          <w:noProof/>
        </w:rPr>
        <w:tab/>
        <w:t>Raadpleging van belanghebbenden</w:t>
      </w:r>
    </w:p>
    <w:p>
      <w:pPr>
        <w:keepNext/>
        <w:tabs>
          <w:tab w:val="left" w:pos="850"/>
        </w:tabs>
        <w:outlineLvl w:val="1"/>
        <w:rPr>
          <w:rFonts w:eastAsia="Calibri"/>
          <w:noProof/>
          <w:color w:val="000000"/>
          <w:szCs w:val="20"/>
        </w:rPr>
      </w:pPr>
      <w:r>
        <w:rPr>
          <w:noProof/>
          <w:color w:val="000000"/>
        </w:rPr>
        <w:t>Oekraïne heeft de lijst opgesteld van het acquis van de Unie waaraan het voornemens is zijn nationale wetgeving aan te passen, met inachtneming van de relevante interne procedures. Voor dit voorstel hoeven geen EU-belanghebbenden te worden geraadpleegd.</w:t>
      </w:r>
    </w:p>
    <w:p>
      <w:pPr>
        <w:pStyle w:val="ManualHeading2"/>
        <w:rPr>
          <w:rFonts w:eastAsia="Arial Unicode MS"/>
          <w:noProof/>
          <w:u w:color="000000"/>
          <w:bdr w:val="nil"/>
        </w:rPr>
      </w:pPr>
      <w:r>
        <w:rPr>
          <w:noProof/>
        </w:rPr>
        <w:t>•</w:t>
      </w:r>
      <w:r>
        <w:rPr>
          <w:noProof/>
        </w:rPr>
        <w:tab/>
        <w:t>Bijeenbrengen en gebruik van expertise</w:t>
      </w:r>
    </w:p>
    <w:p>
      <w:pPr>
        <w:spacing w:before="0" w:after="240"/>
        <w:rPr>
          <w:rFonts w:eastAsia="Arial Unicode MS"/>
          <w:noProof/>
        </w:rPr>
      </w:pPr>
      <w:r>
        <w:rPr>
          <w:noProof/>
        </w:rPr>
        <w:t xml:space="preserve">De Unie heeft haar expertise op het gebied van sanitaire en fytosanitaire aangelegenheden en vraagstukken van dierenwelzijn aan de autoriteiten van Oekraïne beschikbaar gesteld met het oog op de opstelling van de lijst van het acquis van de Unie waaraan dat partnerland voornemens is zijn nationale wetgeving aan te passen. </w:t>
      </w:r>
    </w:p>
    <w:p>
      <w:pPr>
        <w:pStyle w:val="ManualHeading2"/>
        <w:rPr>
          <w:rFonts w:eastAsia="Arial Unicode MS"/>
          <w:noProof/>
          <w:u w:color="000000"/>
          <w:bdr w:val="nil"/>
        </w:rPr>
      </w:pPr>
      <w:r>
        <w:rPr>
          <w:noProof/>
        </w:rPr>
        <w:t>•</w:t>
      </w:r>
      <w:r>
        <w:rPr>
          <w:noProof/>
        </w:rPr>
        <w:tab/>
        <w:t>Effectbeoordeling</w:t>
      </w:r>
    </w:p>
    <w:p>
      <w:pPr>
        <w:spacing w:before="0" w:after="240"/>
        <w:rPr>
          <w:noProof/>
        </w:rPr>
      </w:pPr>
      <w:r>
        <w:rPr>
          <w:noProof/>
        </w:rPr>
        <w:t xml:space="preserve">De bepalingen van de overeenkomst op het gebied van handel en daarmee verband houdende aangelegenheden zijn in 2007 onderworpen aan de duurzaamheidseffectbeoordeling voor het handelsverkeer van DG Handel van de Commissie, die werd meegenomen in de onderhandelingen over een diepe en brede vrijhandelszone. Uit het onderzoek bleek dat de uitvoering van de bepalingen op het gebied van handel en daarmee verband houdende aangelegenheden geen negatieve gevolgen zal hebben voor de Unie, het acquis van de Unie of haar beleidsterreinen, en naar verwachting een positief effect zal hebben op de economische ontwikkeling van Oekraïne. Dit voorstel heeft geen invloed op het economisch, sociaal of milieubeleid van de Unie. </w:t>
      </w:r>
    </w:p>
    <w:p>
      <w:pPr>
        <w:pStyle w:val="ManualHeading2"/>
        <w:rPr>
          <w:rFonts w:eastAsia="Arial Unicode MS"/>
          <w:noProof/>
          <w:u w:color="000000"/>
          <w:bdr w:val="nil"/>
        </w:rPr>
      </w:pPr>
      <w:r>
        <w:rPr>
          <w:noProof/>
        </w:rPr>
        <w:t>•</w:t>
      </w:r>
      <w:r>
        <w:rPr>
          <w:noProof/>
        </w:rPr>
        <w:tab/>
        <w:t>Resultaatgerichtheid en vereenvoudiging</w:t>
      </w:r>
    </w:p>
    <w:p>
      <w:pPr>
        <w:spacing w:before="0" w:after="240"/>
        <w:rPr>
          <w:rFonts w:eastAsia="Calibri"/>
          <w:noProof/>
        </w:rPr>
      </w:pPr>
      <w:r>
        <w:rPr>
          <w:noProof/>
        </w:rPr>
        <w:t xml:space="preserve">De overeenkomst valt momenteel niet onder de Refit-procedures; zij brengt geen kosten mee voor kleine en middelgrote ondernemingen in de Unie, en levert geen problemen op vanuit het oogpunt van de digitale omgeving. </w:t>
      </w:r>
    </w:p>
    <w:p>
      <w:pPr>
        <w:pStyle w:val="ManualHeading2"/>
        <w:rPr>
          <w:rFonts w:eastAsia="Arial Unicode MS"/>
          <w:noProof/>
          <w:u w:color="000000"/>
          <w:bdr w:val="nil"/>
        </w:rPr>
      </w:pPr>
      <w:r>
        <w:rPr>
          <w:noProof/>
        </w:rPr>
        <w:t>•</w:t>
      </w:r>
      <w:r>
        <w:rPr>
          <w:noProof/>
        </w:rPr>
        <w:tab/>
        <w:t>Grondrechten</w:t>
      </w:r>
    </w:p>
    <w:p>
      <w:pPr>
        <w:keepNext/>
        <w:tabs>
          <w:tab w:val="left" w:pos="850"/>
        </w:tabs>
        <w:outlineLvl w:val="1"/>
        <w:rPr>
          <w:rFonts w:eastAsia="Arial Unicode MS"/>
          <w:noProof/>
          <w:bdr w:val="none" w:sz="0" w:space="0" w:color="auto" w:frame="1"/>
        </w:rPr>
      </w:pPr>
      <w:r>
        <w:rPr>
          <w:noProof/>
        </w:rPr>
        <w:t xml:space="preserve">Het voorstel heeft geen gevolgen voor de bescherming van de grondrechten in de Unie. </w:t>
      </w:r>
    </w:p>
    <w:p>
      <w:pPr>
        <w:pStyle w:val="ManualHeading1"/>
        <w:rPr>
          <w:noProof/>
        </w:rPr>
      </w:pPr>
      <w:r>
        <w:rPr>
          <w:noProof/>
        </w:rPr>
        <w:t>4.</w:t>
      </w:r>
      <w:r>
        <w:rPr>
          <w:noProof/>
        </w:rPr>
        <w:tab/>
        <w:t>GEVOLGEN VOOR DE BEGROTING</w:t>
      </w:r>
    </w:p>
    <w:p>
      <w:pPr>
        <w:spacing w:before="0" w:after="240"/>
        <w:rPr>
          <w:rFonts w:eastAsia="Arial Unicode MS"/>
          <w:noProof/>
        </w:rPr>
      </w:pPr>
      <w:r>
        <w:rPr>
          <w:noProof/>
        </w:rPr>
        <w:t>Niet van toepassing.</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spacing w:before="0" w:after="240"/>
        <w:rPr>
          <w:rFonts w:eastAsia="Arial Unicode MS"/>
          <w:noProof/>
        </w:rPr>
      </w:pPr>
      <w:r>
        <w:rPr>
          <w:noProof/>
        </w:rPr>
        <w:t>De uitvoering van de overeenkomst wordt regelmatig getoetst door de Associatieraad EU-Oekraïne en de bij die overeenkomst opgerichte ondergeschikte organen daarvan. De Europese Commissie heeft er zich ook toe verbonden aan het Europees Parlement en de Raad jaarlijks verslag uit te brengen over de uitvoering van titel IV (Handel en daarmee verband houdende aangelegenheden) van de overeenkomst, met inbegrip van de in dit voorstel opgenomen elementen.</w:t>
      </w:r>
    </w:p>
    <w:p>
      <w:pPr>
        <w:pStyle w:val="ManualHeading2"/>
        <w:rPr>
          <w:rFonts w:eastAsia="Arial Unicode MS"/>
          <w:noProof/>
          <w:u w:color="000000"/>
          <w:bdr w:val="nil"/>
        </w:rPr>
      </w:pPr>
      <w:r>
        <w:rPr>
          <w:noProof/>
        </w:rPr>
        <w:t>•</w:t>
      </w:r>
      <w:r>
        <w:rPr>
          <w:noProof/>
        </w:rPr>
        <w:tab/>
        <w:t>Toelichtende stukken (bij richtlijnen)</w:t>
      </w:r>
    </w:p>
    <w:p>
      <w:pPr>
        <w:spacing w:before="0" w:after="240"/>
        <w:rPr>
          <w:rFonts w:eastAsia="Calibri"/>
          <w:noProof/>
        </w:rPr>
      </w:pPr>
      <w:r>
        <w:rPr>
          <w:noProof/>
        </w:rPr>
        <w:t>Niet van toepassing.</w:t>
      </w:r>
    </w:p>
    <w:p>
      <w:pPr>
        <w:pStyle w:val="ManualHeading2"/>
        <w:rPr>
          <w:rFonts w:eastAsia="Arial Unicode MS"/>
          <w:noProof/>
          <w:u w:color="000000"/>
          <w:bdr w:val="nil"/>
        </w:rPr>
      </w:pPr>
      <w:r>
        <w:rPr>
          <w:noProof/>
        </w:rPr>
        <w:t>•</w:t>
      </w:r>
      <w:r>
        <w:rPr>
          <w:noProof/>
        </w:rPr>
        <w:tab/>
        <w:t>Artikelsgewijze toelichting</w:t>
      </w:r>
    </w:p>
    <w:p>
      <w:pPr>
        <w:spacing w:before="0" w:after="240"/>
        <w:rPr>
          <w:rFonts w:eastAsia="Calibri"/>
          <w:noProof/>
          <w:color w:val="000000"/>
          <w:szCs w:val="20"/>
        </w:rPr>
      </w:pPr>
      <w:r>
        <w:rPr>
          <w:noProof/>
          <w:color w:val="000000"/>
        </w:rPr>
        <w:t xml:space="preserve">Met het voorstel wordt beoogd het standpunt van de Europese Unie vast te stellen met betrekking tot de wijziging van bijlage V bij de overeenkomst. Overeenkomstig artikel 64 van de overeenkomst moet die bijlage een lijst bevatten van het acquis van de Unie op het gebied van sanitaire en fytosanitaire maatregelen en maatregelen op het gebied van dierenwelzijn waaraan Oekraïne voornemens is zijn wetgeving aan te passen, met het oog op het bereiken van een status van gelijkwaardigheid voor een product of een groep van producten, zoals bedoeld in artikel 66 van de overeenkomst. </w:t>
      </w:r>
    </w:p>
    <w:p>
      <w:pPr>
        <w:spacing w:before="0" w:after="240"/>
        <w:rPr>
          <w:noProof/>
          <w:color w:val="000000"/>
          <w:szCs w:val="20"/>
        </w:rPr>
      </w:pPr>
      <w:r>
        <w:rPr>
          <w:noProof/>
          <w:color w:val="000000"/>
        </w:rPr>
        <w:t xml:space="preserve">Oekraïne heeft in overeenstemming met zijn interne procedures een dergelijke lijst van het acquis van de Unie opgesteld, het voorstel in juni 2016 ingediend en de lijst onlangs afgerond. </w:t>
      </w:r>
    </w:p>
    <w:p>
      <w:pPr>
        <w:rPr>
          <w:noProof/>
          <w:color w:val="000000"/>
          <w:szCs w:val="20"/>
        </w:rPr>
      </w:pPr>
      <w:r>
        <w:rPr>
          <w:noProof/>
          <w:color w:val="000000"/>
        </w:rPr>
        <w:t>Overeenkomstig artikel 74 van de overeenkomst is het subcomité voor sanitaire en fytosanitaire maatregelen van de EU en Oekraïne bevoegd een besluit te nemen over de wijziging van bijlage V. Overeenkomstig artikel 74, lid 2, ziet het subcomité toe op de uitvoering van hoofdstuk 4 (Sanitaire en fytosanitaire maatregelen) van titel IV (Handel en daarmee verband houdende aangelegenheden) van de overeenkomst en neemt het zo nodig besluiten over wijzigingen van de bijlagen IV tot en met XIV bij de overeenkomst.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2017/0105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namens de Unie in te nemen standpunt in het subcomité voor sanitaire en fytosanitaire maatregelen dat is opgericht krachtens de Associatieovereenkomst tussen de Europese Unie en de Europese Gemeenschap voor Atoomenergie en hun lidstaten, enerzijds, en Oekraïne, anderzijds</w:t>
      </w:r>
    </w:p>
    <w:p>
      <w:pPr>
        <w:pStyle w:val="Institutionquiagit"/>
        <w:rPr>
          <w:noProof/>
        </w:rPr>
      </w:pPr>
      <w:r>
        <w:rPr>
          <w:noProof/>
        </w:rPr>
        <w:t>DE RAAD VAN DE EUROPESE UNIE,</w:t>
      </w:r>
    </w:p>
    <w:p>
      <w:pPr>
        <w:rPr>
          <w:noProof/>
        </w:rPr>
      </w:pPr>
      <w:r>
        <w:rPr>
          <w:noProof/>
        </w:rPr>
        <w:t>Gezien het Verdrag betreffende de werking van de Europese Unie, en met name artikel 207, lid 4, eerste alinea,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Artikel 486, leden 3 en 4, van de Associatieovereenkomst tussen de Europese Unie en de Europese Gemeenschap voor Atoomenergie en hun lidstaten, enerzijds, en Oekraïne, anderzijds, ("de overeenkomst") voorziet in de voorlopige toepassing van een deel van de overeenkomst, zoals door de Unie gespecificeerd.</w:t>
      </w:r>
    </w:p>
    <w:p>
      <w:pPr>
        <w:pStyle w:val="ManualConsidrant"/>
        <w:rPr>
          <w:noProof/>
        </w:rPr>
      </w:pPr>
      <w:r>
        <w:t>(2)</w:t>
      </w:r>
      <w:r>
        <w:tab/>
      </w:r>
      <w:r>
        <w:rPr>
          <w:noProof/>
        </w:rPr>
        <w:t>Artikel 1 van Besluit 2014/691/EU van de Raad</w:t>
      </w:r>
      <w:r>
        <w:rPr>
          <w:rStyle w:val="FootnoteReference"/>
          <w:noProof/>
        </w:rPr>
        <w:footnoteReference w:id="1"/>
      </w:r>
      <w:r>
        <w:rPr>
          <w:noProof/>
        </w:rPr>
        <w:t xml:space="preserve"> vermeldt welke bepalingen van de overeenkomst voorlopig zullen worden toegepast, waaronder de bepalingen betreffende de sanitaire en fytosanitaire maatregelen en de maatregelen op het gebied van dierenwelzijn, en de bijbehorende bijlagen IV tot en met XIV bij de overeenkomst. Overeenkomstig artikel 486, lid 4, van de overeenkomst is de voorlopige toepassing van deze bepalingen met ingang van 1 januari 2016 van kracht.</w:t>
      </w:r>
    </w:p>
    <w:p>
      <w:pPr>
        <w:pStyle w:val="ManualConsidrant"/>
        <w:rPr>
          <w:noProof/>
        </w:rPr>
      </w:pPr>
      <w:r>
        <w:t>(3)</w:t>
      </w:r>
      <w:r>
        <w:tab/>
      </w:r>
      <w:r>
        <w:rPr>
          <w:noProof/>
        </w:rPr>
        <w:t>In artikel 64 van de overeenkomst wordt bepaald dat Oekraïne zijn sanitaire en fytosanitaire wetgeving alsmede die op het gebied van dierenwelzijn geleidelijk aanpast aan die van de Unie zoals vastgelegd in bijlage V bij de overeenkomst.</w:t>
      </w:r>
    </w:p>
    <w:p>
      <w:pPr>
        <w:pStyle w:val="ManualConsidrant"/>
        <w:rPr>
          <w:noProof/>
        </w:rPr>
      </w:pPr>
      <w:r>
        <w:t>(4)</w:t>
      </w:r>
      <w:r>
        <w:tab/>
      </w:r>
      <w:r>
        <w:rPr>
          <w:noProof/>
        </w:rPr>
        <w:t>Volgens artikel 64, lid 4, van de overeenkomst moet Oekraïne een lijst voorleggen van het acquis van de Unie inzake sanitaire en fytosanitaire wetgeving alsmede die op het gebied van dierenwelzijn waaraan het voornemens is zijn nationale wetgeving aan te passen. Deze aanpassingslijst dient als referentiedocument voor de uitvoering van hoofdstuk 4 (Sanitaire en fytosanitaire maatregelen) van titel IV (Handel en daarmee verband houdende aangelegenheden) van de overeenkomst en wordt toegevoegd aan bijlage V bij de overeenkomst. Bijgevolg moet bijlage V bij de overeenkomst worden gewijzigd bij besluit van het subcomité voor sanitaire en fytosanitaire maatregelen, zoals bepaald in artikel 74 van de overeenkomst.</w:t>
      </w:r>
    </w:p>
    <w:p>
      <w:pPr>
        <w:pStyle w:val="ManualConsidrant"/>
        <w:rPr>
          <w:noProof/>
        </w:rPr>
      </w:pPr>
      <w:r>
        <w:t>(5)</w:t>
      </w:r>
      <w:r>
        <w:tab/>
      </w:r>
      <w:r>
        <w:rPr>
          <w:noProof/>
        </w:rPr>
        <w:t>Oekraïne heeft de bovengenoemde lijst van het acquis van de Unie in juni 2016 aan de Europese Commissie voorgelegd.</w:t>
      </w:r>
    </w:p>
    <w:p>
      <w:pPr>
        <w:pStyle w:val="ManualConsidrant"/>
        <w:rPr>
          <w:noProof/>
        </w:rPr>
      </w:pPr>
      <w:r>
        <w:t>(6)</w:t>
      </w:r>
      <w:r>
        <w:tab/>
      </w:r>
      <w:r>
        <w:rPr>
          <w:noProof/>
        </w:rPr>
        <w:t>Het is derhalve passend het standpunt te bepalen dat namens de Unie in het subcomité voor sanitaire en fytosanitaire maatregelen moet worden ingenomen met betrekking tot de wijziging van bijlage V bij de overeenkomst,</w:t>
      </w:r>
    </w:p>
    <w:p>
      <w:pPr>
        <w:pStyle w:val="Formuledadoption"/>
        <w:rPr>
          <w:noProof/>
        </w:rPr>
      </w:pPr>
      <w:r>
        <w:rPr>
          <w:noProof/>
        </w:rPr>
        <w:t xml:space="preserve">HEEFT HET VOLGENDE BESLUIT VASTGESTELD: </w:t>
      </w:r>
    </w:p>
    <w:p>
      <w:pPr>
        <w:pStyle w:val="Titrearticle"/>
        <w:rPr>
          <w:noProof/>
        </w:rPr>
      </w:pPr>
      <w:r>
        <w:rPr>
          <w:noProof/>
        </w:rPr>
        <w:t>Artikel 1</w:t>
      </w:r>
    </w:p>
    <w:p>
      <w:pPr>
        <w:pStyle w:val="ManualNumPar1"/>
        <w:rPr>
          <w:noProof/>
        </w:rPr>
      </w:pPr>
      <w:r>
        <w:rPr>
          <w:noProof/>
        </w:rPr>
        <w:t>1.</w:t>
      </w:r>
      <w:r>
        <w:rPr>
          <w:noProof/>
        </w:rPr>
        <w:tab/>
        <w:t>Het standpunt met betrekking tot de wijziging van bijlage V bij de Associatieovereenkomst tussen de Europese Unie en de Europese Gemeenschap voor Atoomenergie en hun lidstaten, enerzijds, en Oekraïne, anderzijds, dat namens de Unie moet worden ingenomen in het bij artikel 74 van de overeenkomst opgerichte subcomité voor sanitaire en fytosanitaire maatregelen, luidt dat het ontwerpbesluit in de bijlage wordt gesteund.</w:t>
      </w:r>
    </w:p>
    <w:p>
      <w:pPr>
        <w:pStyle w:val="ManualNumPar1"/>
        <w:rPr>
          <w:noProof/>
        </w:rPr>
      </w:pPr>
      <w:r>
        <w:rPr>
          <w:noProof/>
        </w:rPr>
        <w:t>2.</w:t>
      </w:r>
      <w:r>
        <w:rPr>
          <w:noProof/>
        </w:rPr>
        <w:tab/>
        <w:t xml:space="preserve">Kleine wijzigingen van het ontwerpbesluit kunnen zonder nader besluit van de Raad worden goedgekeurd door de vertegenwoordigers van de Unie in het subcomité voor sanitaire en fytosanitaire maatregelen. </w:t>
      </w:r>
    </w:p>
    <w:p>
      <w:pPr>
        <w:pStyle w:val="Titrearticle"/>
        <w:rPr>
          <w:noProof/>
        </w:rPr>
      </w:pPr>
      <w:r>
        <w:rPr>
          <w:noProof/>
        </w:rPr>
        <w:t>Artikel 2</w:t>
      </w:r>
    </w:p>
    <w:p>
      <w:pPr>
        <w:rPr>
          <w:noProof/>
        </w:rPr>
      </w:pPr>
      <w:r>
        <w:rPr>
          <w:noProof/>
        </w:rPr>
        <w:t>Dit besluit treedt in werking op de dag waarop het wordt vastgesteld.</w:t>
      </w:r>
    </w:p>
    <w:p>
      <w:pPr>
        <w:pStyle w:val="Fait"/>
        <w:rPr>
          <w:noProof/>
        </w:rPr>
      </w:pPr>
      <w:r>
        <w:rPr>
          <w:noProof/>
        </w:rP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Besluit 2014/691/EU van de Raad van 29 september 2014 tot wijziging van Besluit 2014/668/EU van de Raad inzake de ondertekening, namens de Europese Unie, en de voorlopige toepassing van de Associatieovereenkomst tussen de Europese Unie en de Europese Gemeenschap voor Atoomenergie en hun lidstaten, enerzijds, en Oekraïne, anderzijds, met betrekking tot titel III (met uitzondering van de bepalingen betreffende de behandeling van onderdanen van derde landen die legaal als werknemer op het grondgebied van de andere partij verblijven), en de titels IV, V, VI en VII, alsmede de bijbehorende bijlagen en protocollen (PB L 289 van 3.10.2014,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AB4E0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11831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8668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D06D6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55440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DB8A6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300FE0"/>
    <w:lvl w:ilvl="0">
      <w:start w:val="1"/>
      <w:numFmt w:val="decimal"/>
      <w:pStyle w:val="ListNumber"/>
      <w:lvlText w:val="%1."/>
      <w:lvlJc w:val="left"/>
      <w:pPr>
        <w:tabs>
          <w:tab w:val="num" w:pos="360"/>
        </w:tabs>
        <w:ind w:left="360" w:hanging="360"/>
      </w:pPr>
    </w:lvl>
  </w:abstractNum>
  <w:abstractNum w:abstractNumId="7">
    <w:nsid w:val="FFFFFF89"/>
    <w:multiLevelType w:val="singleLevel"/>
    <w:tmpl w:val="3F4CBD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18 10:38: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ED91E25C846457D9F6B8922F1CD4DE7"/>
    <w:docVar w:name="LW_CROSSREFERENCE" w:val="&lt;UNUSED&gt;"/>
    <w:docVar w:name="LW_DocType" w:val="COM"/>
    <w:docVar w:name="LW_EMISSION" w:val="29.5.2017"/>
    <w:docVar w:name="LW_EMISSION_ISODATE" w:val="2017-05-29"/>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NLE"/>
    <w:docVar w:name="LW_REF.II.NEW.CP_NUMBER" w:val="0105"/>
    <w:docVar w:name="LW_REF.II.NEW.CP_YEAR" w:val="2017"/>
    <w:docVar w:name="LW_REF.INST.NEW" w:val="COM"/>
    <w:docVar w:name="LW_REF.INST.NEW_ADOPTED" w:val="final"/>
    <w:docVar w:name="LW_REF.INST.NEW_TEXT" w:val="(2017) 265"/>
    <w:docVar w:name="LW_REF.INTERNE" w:val="&lt;UNUSED&gt;"/>
    <w:docVar w:name="LW_SOUS.TITRE.OBJ.CP" w:val="&lt;UNUSED&gt;"/>
    <w:docVar w:name="LW_STATUT.CP" w:val="Voorstel voor een"/>
    <w:docVar w:name="LW_SUPERTITRE" w:val="&lt;UNUSED&gt;"/>
    <w:docVar w:name="LW_TITRE.OBJ.CP" w:val="betreffende het namens de Unie in te nemen standpunt in het subcomité voor sanitaire en fytosanitaire maatregelen dat is opgericht krachtens de Associatieovereenkomst tussen de Europese Unie en de Europese Gemeenschap voor Atoomenergie en hun lidstaten, enerzijds, en Oekraïne, anderzijds"/>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6</Pages>
  <Words>1564</Words>
  <Characters>9014</Characters>
  <Application>Microsoft Office Word</Application>
  <DocSecurity>0</DocSecurity>
  <Lines>163</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18</cp:revision>
  <dcterms:created xsi:type="dcterms:W3CDTF">2017-04-28T06:27:00Z</dcterms:created>
  <dcterms:modified xsi:type="dcterms:W3CDTF">2017-05-18T08:38:00Z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