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107D966129141D598390895BECBF395"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color w:val="000000"/>
          <w:szCs w:val="20"/>
        </w:rPr>
      </w:pPr>
      <w:r>
        <w:rPr>
          <w:noProof/>
        </w:rPr>
        <w:t xml:space="preserve">I det bifogade förslaget till rådets beslut fastställs unionens ståndpunkt beträffande ett beslut av underkommittén för sanitära och fytosanitära frågor inom ramen för associeringsavtalet mellan Europeiska unionen och Europeiska atomenergigemenskapen och deras medlemsstater, å ena sidan, och Ukraina, å andra sidan (nedan kallat </w:t>
      </w:r>
      <w:r>
        <w:rPr>
          <w:i/>
          <w:noProof/>
        </w:rPr>
        <w:t>avtalet</w:t>
      </w:r>
      <w:r>
        <w:rPr>
          <w:noProof/>
        </w:rPr>
        <w:t>), om ändring av bilaga V till avtalet.</w:t>
      </w:r>
      <w:r>
        <w:rPr>
          <w:noProof/>
          <w:color w:val="000000"/>
        </w:rPr>
        <w:t xml:space="preserve"> Avtalet undertecknades den 27 juni 2014 och tillämpas provisoriskt och delvis sedan den 1 januari 2016. </w:t>
      </w:r>
    </w:p>
    <w:p>
      <w:pPr>
        <w:rPr>
          <w:noProof/>
          <w:color w:val="000000"/>
          <w:szCs w:val="20"/>
        </w:rPr>
      </w:pPr>
      <w:r>
        <w:rPr>
          <w:noProof/>
          <w:color w:val="000000"/>
        </w:rPr>
        <w:t>Den föreslagna ändringen syftar till att genomföra bestämmelserna i kapitel 4 (Sanitära och fytosanitära åtgärder) i avdelning IV (Handel och handelsrelaterade frågor) i avtalet. Framförallt åtar sig Ukraina i artikel 64.4 i avtalet att lämna in en förteckning över den unionslagstiftning på det sanitära och fytosanitära området till vilken landet avser att närma sin lagstiftning. Förteckningen ska fogas till bilaga V till avtalet, genom beslut av underkommittén för sanitära och fytosanitära frågor EU–Ukraina.</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color w:val="000000"/>
          <w:szCs w:val="20"/>
        </w:rPr>
      </w:pPr>
      <w:r>
        <w:rPr>
          <w:noProof/>
          <w:color w:val="000000"/>
        </w:rPr>
        <w:t xml:space="preserve">Detta förslag genomför unionens gemensamma handelspolitik gentemot Ukraina, ett partnerland i det östliga grannskapet, på grundval av bestämmelserna i ovannämnda avtal, och i synnerhet målet att skapa ett frihandelsområde mellan parterna. Förslaget genomför avtalets bestämmelser som syftar till att på grundval av unionens regelverk främja handeln med jordbruksprodukter mellan parterna och i synnerhet förbättra Ukrainas exportkapacitet för jordbruksprodukter. </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color w:val="000000"/>
          <w:szCs w:val="20"/>
        </w:rPr>
      </w:pPr>
      <w:r>
        <w:rPr>
          <w:noProof/>
          <w:color w:val="000000"/>
        </w:rPr>
        <w:t>Detta förslag är förenligt med och bidrar till genomförandet av andra delar av unionens externa politik, framförallt den europeiska grannskapspolitiken och politiken för utvecklingssamarbete i förhållande till Ukraina.</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autoSpaceDE w:val="0"/>
        <w:autoSpaceDN w:val="0"/>
        <w:adjustRightInd w:val="0"/>
        <w:rPr>
          <w:noProof/>
          <w:color w:val="000000"/>
          <w:szCs w:val="20"/>
        </w:rPr>
      </w:pPr>
      <w:r>
        <w:rPr>
          <w:noProof/>
        </w:rPr>
        <w:t>Den rättsliga grunden för fastställande av den ståndpunkt som unionen ska inta i de kommittéer som inrättas genom avtalet är fördraget om Europeiska unionens funktionssätt (EUF-fördraget), särskilt artikel 207.4 jämförd med artikel 218.9.</w:t>
      </w:r>
      <w:r>
        <w:rPr>
          <w:noProof/>
          <w:color w:val="000000"/>
        </w:rPr>
        <w:t xml:space="preserve"> </w:t>
      </w:r>
    </w:p>
    <w:p>
      <w:pPr>
        <w:pStyle w:val="ManualHeading2"/>
        <w:rPr>
          <w:rFonts w:eastAsia="Arial Unicode MS"/>
          <w:noProof/>
          <w:u w:color="000000"/>
          <w:bdr w:val="nil"/>
        </w:rPr>
      </w:pPr>
      <w:r>
        <w:rPr>
          <w:noProof/>
        </w:rPr>
        <w:t>•</w:t>
      </w:r>
      <w:r>
        <w:rPr>
          <w:noProof/>
        </w:rPr>
        <w:tab/>
        <w:t xml:space="preserve">Subsidiaritetsprincipen (för icke-exklusiv befogenhet) </w:t>
      </w:r>
    </w:p>
    <w:p>
      <w:pPr>
        <w:rPr>
          <w:noProof/>
        </w:rPr>
      </w:pPr>
      <w:r>
        <w:rPr>
          <w:noProof/>
        </w:rPr>
        <w:t>Enligt artikel 3 i EUF-fördraget är den gemensamma handelspolitiken ett område där unionen har exklusiv befogenhet. Subsidiaritetsprincipen är därför inte tillämplig.</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 xml:space="preserve">Förslaget behövs för att genomföra unionens internationella åtaganden i avtalet med Ukraina. </w:t>
      </w:r>
    </w:p>
    <w:p>
      <w:pPr>
        <w:pStyle w:val="ManualHeading2"/>
        <w:rPr>
          <w:rFonts w:eastAsia="Arial Unicode MS"/>
          <w:noProof/>
          <w:u w:color="000000"/>
          <w:bdr w:val="nil"/>
        </w:rPr>
      </w:pPr>
      <w:r>
        <w:rPr>
          <w:noProof/>
        </w:rPr>
        <w:t>•</w:t>
      </w:r>
      <w:r>
        <w:rPr>
          <w:noProof/>
        </w:rPr>
        <w:tab/>
        <w:t>Val av instrument</w:t>
      </w:r>
    </w:p>
    <w:p>
      <w:pPr>
        <w:rPr>
          <w:noProof/>
        </w:rPr>
      </w:pPr>
      <w:r>
        <w:rPr>
          <w:noProof/>
        </w:rPr>
        <w:t xml:space="preserve">Förslaget är förenligt med artikel 218.9 i EUF-fördraget, där det fastställs att rådet ska anta beslut. Inget annat rättsligt instrument kan användas för att nå målet för detta förslag.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Samråd med berörda parter</w:t>
      </w:r>
    </w:p>
    <w:p>
      <w:pPr>
        <w:keepNext/>
        <w:tabs>
          <w:tab w:val="left" w:pos="850"/>
        </w:tabs>
        <w:outlineLvl w:val="1"/>
        <w:rPr>
          <w:rFonts w:eastAsia="Calibri"/>
          <w:noProof/>
          <w:color w:val="000000"/>
          <w:szCs w:val="20"/>
        </w:rPr>
      </w:pPr>
      <w:r>
        <w:rPr>
          <w:noProof/>
          <w:color w:val="000000"/>
        </w:rPr>
        <w:t>Ukraina har sammanställt förteckningen över den unionslagstiftning till vilken landet avser att närma sin lagstiftning, i enlighet med tillämpliga nationella förfaranden. Samråd med berörda parter i EU är inte tillämpligt för detta förslag.</w:t>
      </w:r>
    </w:p>
    <w:p>
      <w:pPr>
        <w:pStyle w:val="ManualHeading2"/>
        <w:rPr>
          <w:rFonts w:eastAsia="Arial Unicode MS"/>
          <w:noProof/>
          <w:u w:color="000000"/>
          <w:bdr w:val="nil"/>
        </w:rPr>
      </w:pPr>
      <w:r>
        <w:rPr>
          <w:noProof/>
        </w:rPr>
        <w:t>•</w:t>
      </w:r>
      <w:r>
        <w:rPr>
          <w:noProof/>
        </w:rPr>
        <w:tab/>
        <w:t>Insamling och användning av sakkunnigutlåtanden</w:t>
      </w:r>
    </w:p>
    <w:p>
      <w:pPr>
        <w:spacing w:before="0" w:after="240"/>
        <w:rPr>
          <w:rFonts w:eastAsia="Arial Unicode MS"/>
          <w:noProof/>
        </w:rPr>
      </w:pPr>
      <w:r>
        <w:rPr>
          <w:noProof/>
        </w:rPr>
        <w:t xml:space="preserve">I samband med utarbetandet av förteckningen över den unionslagstiftning till vilken Ukraina avser att närma sin lagstiftning har unionen ställt sin sakkunskap i sanitära och fytosanitära frågor samt djurskyddsfrågor till de ukrainska myndigheternas förfogande. </w:t>
      </w:r>
    </w:p>
    <w:p>
      <w:pPr>
        <w:pStyle w:val="ManualHeading2"/>
        <w:rPr>
          <w:rFonts w:eastAsia="Arial Unicode MS"/>
          <w:noProof/>
          <w:u w:color="000000"/>
          <w:bdr w:val="nil"/>
        </w:rPr>
      </w:pPr>
      <w:r>
        <w:rPr>
          <w:noProof/>
        </w:rPr>
        <w:t>•</w:t>
      </w:r>
      <w:r>
        <w:rPr>
          <w:noProof/>
        </w:rPr>
        <w:tab/>
        <w:t>Konsekvensbedömning</w:t>
      </w:r>
    </w:p>
    <w:p>
      <w:pPr>
        <w:spacing w:before="0" w:after="240"/>
        <w:rPr>
          <w:noProof/>
        </w:rPr>
      </w:pPr>
      <w:r>
        <w:rPr>
          <w:noProof/>
        </w:rPr>
        <w:t xml:space="preserve">Bestämmelserna om handel och handelsrelaterade frågor i avtalet var under 2007 föremål för en bedömning av handelskonsekvenserna för hållbar utveckling, genomförd av kommissionens GD Handel. Denna bedömning har legat till grund för förhandlingarna om ett djupgående och omfattande frihandelsområde. Bedömningen bekräftade att genomförandet av bestämmelserna om handel och handelsrelaterade frågor inte skulle inverka negativt på unionen, dess regelverk eller dess politik, men skulle ha en positiv inverkan på den ekonomiska utvecklingen i Ukraina. Detta förslag påverkar inte unionens ekonomiska, sociala eller miljömässiga politik. </w:t>
      </w:r>
    </w:p>
    <w:p>
      <w:pPr>
        <w:pStyle w:val="ManualHeading2"/>
        <w:rPr>
          <w:rFonts w:eastAsia="Arial Unicode MS"/>
          <w:noProof/>
          <w:u w:color="000000"/>
          <w:bdr w:val="nil"/>
        </w:rPr>
      </w:pPr>
      <w:r>
        <w:rPr>
          <w:noProof/>
        </w:rPr>
        <w:t>•</w:t>
      </w:r>
      <w:r>
        <w:rPr>
          <w:noProof/>
        </w:rPr>
        <w:tab/>
        <w:t>Lagstiftningens ändamålsenlighet och förenkling</w:t>
      </w:r>
    </w:p>
    <w:p>
      <w:pPr>
        <w:spacing w:before="0" w:after="240"/>
        <w:rPr>
          <w:rFonts w:eastAsia="Calibri"/>
          <w:noProof/>
        </w:rPr>
      </w:pPr>
      <w:r>
        <w:rPr>
          <w:noProof/>
        </w:rPr>
        <w:t xml:space="preserve">Avtalet omfattas i detta skede inte av programmet om lagstiftningens ändamålsenlighet och resultat (Refit). Det ger inte upphov till några kostnader för små och medelstora företag i unionen eller till några frågor när det gäller den digitala miljön. </w:t>
      </w:r>
    </w:p>
    <w:p>
      <w:pPr>
        <w:pStyle w:val="ManualHeading2"/>
        <w:rPr>
          <w:rFonts w:eastAsia="Arial Unicode MS"/>
          <w:noProof/>
          <w:u w:color="000000"/>
          <w:bdr w:val="nil"/>
        </w:rPr>
      </w:pPr>
      <w:r>
        <w:rPr>
          <w:noProof/>
        </w:rPr>
        <w:t>•</w:t>
      </w:r>
      <w:r>
        <w:rPr>
          <w:noProof/>
        </w:rPr>
        <w:tab/>
        <w:t>Grundläggande rättigheter</w:t>
      </w:r>
    </w:p>
    <w:p>
      <w:pPr>
        <w:keepNext/>
        <w:tabs>
          <w:tab w:val="left" w:pos="850"/>
        </w:tabs>
        <w:outlineLvl w:val="1"/>
        <w:rPr>
          <w:rFonts w:eastAsia="Arial Unicode MS"/>
          <w:noProof/>
          <w:bdr w:val="none" w:sz="0" w:space="0" w:color="auto" w:frame="1"/>
        </w:rPr>
      </w:pPr>
      <w:r>
        <w:rPr>
          <w:noProof/>
        </w:rPr>
        <w:t xml:space="preserve">Förslaget har inga konsekvenser för skyddet av de grundläggande rättigheterna i unionen. </w:t>
      </w:r>
    </w:p>
    <w:p>
      <w:pPr>
        <w:pStyle w:val="ManualHeading1"/>
        <w:rPr>
          <w:noProof/>
        </w:rPr>
      </w:pPr>
      <w:r>
        <w:rPr>
          <w:noProof/>
        </w:rPr>
        <w:t>4.</w:t>
      </w:r>
      <w:r>
        <w:rPr>
          <w:noProof/>
        </w:rPr>
        <w:tab/>
        <w:t>BUDGETKONSEKVENSER</w:t>
      </w:r>
    </w:p>
    <w:p>
      <w:pPr>
        <w:spacing w:before="0" w:after="240"/>
        <w:rPr>
          <w:rFonts w:eastAsia="Arial Unicode MS"/>
          <w:noProof/>
        </w:rPr>
      </w:pPr>
      <w:r>
        <w:rPr>
          <w:noProof/>
        </w:rPr>
        <w:t>Ej tillämpligt.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spacing w:before="0" w:after="240"/>
        <w:rPr>
          <w:rFonts w:eastAsia="Arial Unicode MS"/>
          <w:noProof/>
        </w:rPr>
      </w:pPr>
      <w:r>
        <w:rPr>
          <w:noProof/>
        </w:rPr>
        <w:t>Genomförandet av avtalet ses regelbundet över av associeringsrådet EU–Ukraina och de underordnade organ som inrättats genom avtalet. Europeiska kommissionen har också åtagit sig att varje år rapportera till Europaparlamentet och rådet om genomförandet av avdelning IV (Handel och handelsrelaterade frågor) i avtalet, inklusive de frågor som tas upp i detta förslag.</w:t>
      </w:r>
    </w:p>
    <w:p>
      <w:pPr>
        <w:pStyle w:val="ManualHeading2"/>
        <w:rPr>
          <w:rFonts w:eastAsia="Arial Unicode MS"/>
          <w:noProof/>
          <w:u w:color="000000"/>
          <w:bdr w:val="nil"/>
        </w:rPr>
      </w:pPr>
      <w:r>
        <w:rPr>
          <w:noProof/>
        </w:rPr>
        <w:t>•</w:t>
      </w:r>
      <w:r>
        <w:rPr>
          <w:noProof/>
        </w:rPr>
        <w:tab/>
        <w:t>Förklarande dokument (för direktiv)</w:t>
      </w:r>
    </w:p>
    <w:p>
      <w:pPr>
        <w:spacing w:before="0" w:after="240"/>
        <w:rPr>
          <w:rFonts w:eastAsia="Calibri"/>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spacing w:before="0" w:after="240"/>
        <w:rPr>
          <w:rFonts w:eastAsia="Calibri"/>
          <w:noProof/>
          <w:color w:val="000000"/>
          <w:szCs w:val="20"/>
        </w:rPr>
      </w:pPr>
      <w:r>
        <w:rPr>
          <w:noProof/>
          <w:color w:val="000000"/>
        </w:rPr>
        <w:t xml:space="preserve">Syftet med förslaget är att anta unionens ståndpunkt i förhållande till ändringen av bilaga V till avtalet. I enlighet med artikel 64 i avtalet ska den bilagan innehålla en förteckning över den unionslagstiftning till vilken Ukraina har för avsikt att närma sin lagstiftning på det sanitära och fytosanitära området och på djurskyddsområdet, i syfte att uppnå likvärdighetsstatus för en produkt eller en grupp av produkter, såsom föreskrivs i artikel 66 i avtalet. </w:t>
      </w:r>
    </w:p>
    <w:p>
      <w:pPr>
        <w:spacing w:before="0" w:after="240"/>
        <w:rPr>
          <w:noProof/>
          <w:color w:val="000000"/>
          <w:szCs w:val="20"/>
        </w:rPr>
      </w:pPr>
      <w:r>
        <w:rPr>
          <w:noProof/>
          <w:color w:val="000000"/>
        </w:rPr>
        <w:t xml:space="preserve">Ukraina har utarbetat en sådan förteckning över unionslagstiftning i enlighet med sina interna förfaranden. Förslaget lades fram i juni 2016 och färdigställdes nyligen.  </w:t>
      </w:r>
    </w:p>
    <w:p>
      <w:pPr>
        <w:rPr>
          <w:noProof/>
          <w:color w:val="000000"/>
          <w:szCs w:val="20"/>
        </w:rPr>
      </w:pPr>
      <w:r>
        <w:rPr>
          <w:noProof/>
          <w:color w:val="000000"/>
        </w:rPr>
        <w:t>Underkommittén för sanitära och fytosanitära frågor EU–Ukraina har befogenhet att fatta ett beslut om ändring av bilaga V i enlighet med artikel 74 i avtalet. I överensstämmelse med artikel 74.2 övervakar underkommittén genomförandet av kapitel 4 (Sanitära och fytosanitära åtgärder) i avdelning IV (Handel och handelsrelaterade frågor) i avtalet och fattar, i förekommande fall, beslut om ändring av bilagorna IV–XIV till avtalet.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2017/0105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unionens vägnar i den underkommitté för sanitära och fytosanitära frågor som inrättats genom associeringsavtalet mellan Europeiska unionen och Europeiska atomenergigemenskapen och deras medlemsstater, å ena sidan, och Ukraina, å andra sidan</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207.4 första stycket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I artikel 486.3 och 486.4 i associeringsavtalet mellan Europeiska unionen och Europeiska atomenergigemenskapen och deras medlemsstater, å ena sidan, och Ukraina, å andra sidan (nedan kallat </w:t>
      </w:r>
      <w:r>
        <w:rPr>
          <w:i/>
          <w:noProof/>
        </w:rPr>
        <w:t>avtalet</w:t>
      </w:r>
      <w:r>
        <w:rPr>
          <w:noProof/>
        </w:rPr>
        <w:t>), föreskrivs att de delar av avtalet som unionen fastställt ska tillämpas provisoriskt.</w:t>
      </w:r>
    </w:p>
    <w:p>
      <w:pPr>
        <w:pStyle w:val="ManualConsidrant"/>
        <w:rPr>
          <w:noProof/>
        </w:rPr>
      </w:pPr>
      <w:r>
        <w:t>(2)</w:t>
      </w:r>
      <w:r>
        <w:tab/>
      </w:r>
      <w:r>
        <w:rPr>
          <w:noProof/>
        </w:rPr>
        <w:t>I artikel 1 i rådets beslut 2014/691/EU</w:t>
      </w:r>
      <w:r>
        <w:rPr>
          <w:rStyle w:val="FootnoteReference"/>
          <w:noProof/>
        </w:rPr>
        <w:footnoteReference w:id="1"/>
      </w:r>
      <w:r>
        <w:rPr>
          <w:noProof/>
        </w:rPr>
        <w:t xml:space="preserve"> anges vilka bestämmelser i avtalet som ska tillämpas provisoriskt, däribland bestämmelserna om sanitära och fytosanitära åtgärder och djurskyddsåtgärder och de därtill hörande bilagorna IV–XIV till avtalet. Enligt artikel 486.4 i avtalet får den provisoriska tillämpningen av de bestämmelserna verkan från och med den 1 januari 2016.</w:t>
      </w:r>
    </w:p>
    <w:p>
      <w:pPr>
        <w:pStyle w:val="ManualConsidrant"/>
        <w:rPr>
          <w:noProof/>
        </w:rPr>
      </w:pPr>
      <w:r>
        <w:t>(3)</w:t>
      </w:r>
      <w:r>
        <w:tab/>
      </w:r>
      <w:r>
        <w:rPr>
          <w:noProof/>
        </w:rPr>
        <w:t>Enligt artikel 64 i avtalet ska Ukraina gradvis närma sin lagstiftning på det sanitära och fytosanitära området och sin djurskyddslagstiftning till unionslagstiftningen i enlighet med bilaga V till avtalet.</w:t>
      </w:r>
    </w:p>
    <w:p>
      <w:pPr>
        <w:pStyle w:val="ManualConsidrant"/>
        <w:rPr>
          <w:noProof/>
        </w:rPr>
      </w:pPr>
      <w:r>
        <w:t>(4)</w:t>
      </w:r>
      <w:r>
        <w:tab/>
      </w:r>
      <w:r>
        <w:rPr>
          <w:noProof/>
        </w:rPr>
        <w:t>Enligt artikel 64.4 i avtalet ska Ukraina lämna in en förteckning över den unionslagstiftning på det sanitära och fytosanitära området samt på djurskyddsområdet till vilken den avser att närma sin lagstiftning. Denna förteckning över tillnärmning fungerar som referensdokument för genomförandet av kapitel 4 (Sanitära och fytosanitära åtgärder) i avdelning IV (Handel och handelsrelaterade frågor) i avtalet och kommer att fogas till bilaga V till avtalet. Bilaga V till avtalet bör därför ändras genom ett beslut av underkommittén för sanitära och fytosanitära frågor, i enlighet med artikel 74 i avtalet.</w:t>
      </w:r>
    </w:p>
    <w:p>
      <w:pPr>
        <w:pStyle w:val="ManualConsidrant"/>
        <w:rPr>
          <w:noProof/>
        </w:rPr>
      </w:pPr>
      <w:r>
        <w:t>(5)</w:t>
      </w:r>
      <w:r>
        <w:tab/>
      </w:r>
      <w:r>
        <w:rPr>
          <w:noProof/>
        </w:rPr>
        <w:t>Ukraina lämnade in den ovannämnda förteckningen över unionslagstiftning till Europeiska kommissionen i juni 2016.</w:t>
      </w:r>
    </w:p>
    <w:p>
      <w:pPr>
        <w:pStyle w:val="ManualConsidrant"/>
        <w:rPr>
          <w:noProof/>
        </w:rPr>
      </w:pPr>
      <w:r>
        <w:t>(6)</w:t>
      </w:r>
      <w:r>
        <w:tab/>
      </w:r>
      <w:r>
        <w:rPr>
          <w:noProof/>
        </w:rPr>
        <w:t>Det är därför lämpligt att fastställa den ståndpunkt beträffande ändringen av bilaga V till avtalet som ska intas på unionens vägnar i underkommittén för sanitära och fytosanitära frågor.</w:t>
      </w:r>
    </w:p>
    <w:p>
      <w:pPr>
        <w:pStyle w:val="Formuledadoption"/>
        <w:rPr>
          <w:noProof/>
        </w:rPr>
      </w:pPr>
      <w:r>
        <w:rPr>
          <w:noProof/>
        </w:rPr>
        <w:t xml:space="preserve">HÄRIGENOM FÖRESKRIVS FÖLJANDE. </w:t>
      </w:r>
    </w:p>
    <w:p>
      <w:pPr>
        <w:pStyle w:val="Titrearticle"/>
        <w:rPr>
          <w:noProof/>
        </w:rPr>
      </w:pPr>
      <w:r>
        <w:rPr>
          <w:noProof/>
        </w:rPr>
        <w:t>Artikel 1</w:t>
      </w:r>
    </w:p>
    <w:p>
      <w:pPr>
        <w:pStyle w:val="ManualNumPar1"/>
        <w:rPr>
          <w:noProof/>
        </w:rPr>
      </w:pPr>
      <w:r>
        <w:rPr>
          <w:noProof/>
        </w:rPr>
        <w:t>1.</w:t>
      </w:r>
      <w:r>
        <w:rPr>
          <w:noProof/>
        </w:rPr>
        <w:tab/>
        <w:t xml:space="preserve">Den ståndpunkt som unionen ska inta i den underkommitté för sanitära och fytosanitära frågor som inrättats genom artikel 74 i associeringsavtalet mellan Europeiska unionen och Europeiska atomenergigemenskapen och deras medlemsstater, å ena sidan, och Ukraina, å andra sidan (nedan </w:t>
      </w:r>
      <w:r>
        <w:rPr>
          <w:i/>
          <w:noProof/>
        </w:rPr>
        <w:t>kallat avtalet</w:t>
      </w:r>
      <w:r>
        <w:rPr>
          <w:noProof/>
        </w:rPr>
        <w:t>), när det gäller ändringen av bilaga V till avtalet, ska vara att stödja utkastet till beslut i bilagan.</w:t>
      </w:r>
    </w:p>
    <w:p>
      <w:pPr>
        <w:pStyle w:val="ManualNumPar1"/>
        <w:rPr>
          <w:noProof/>
        </w:rPr>
      </w:pPr>
      <w:r>
        <w:rPr>
          <w:noProof/>
        </w:rPr>
        <w:t>2.</w:t>
      </w:r>
      <w:r>
        <w:rPr>
          <w:noProof/>
        </w:rPr>
        <w:tab/>
        <w:t xml:space="preserve">Unionens företrädare i underkommittén för sanitära och fytosanitära frågor får gå med på mindre ändringar av utkastet till beslut utan något nytt beslut av rådet. </w:t>
      </w:r>
    </w:p>
    <w:p>
      <w:pPr>
        <w:pStyle w:val="Titrearticle"/>
        <w:rPr>
          <w:noProof/>
        </w:rPr>
      </w:pPr>
      <w:r>
        <w:rPr>
          <w:noProof/>
        </w:rPr>
        <w:t>Artikel 2</w:t>
      </w:r>
    </w:p>
    <w:p>
      <w:pPr>
        <w:rPr>
          <w:noProof/>
        </w:rPr>
      </w:pPr>
      <w:r>
        <w:rPr>
          <w:noProof/>
        </w:rPr>
        <w:t>Detta beslut träder i kraft samma dag som det antas.</w:t>
      </w:r>
    </w:p>
    <w:p>
      <w:pPr>
        <w:pStyle w:val="Fait"/>
        <w:rPr>
          <w:noProof/>
        </w:rPr>
      </w:pPr>
      <w:r>
        <w:rPr>
          <w:noProof/>
        </w:rP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2014/691/EU av den 29 september 2014 om ändring av beslut 2014/668/EU om undertecknande på Europeiska unionens vägnar och om provisorisk tillämpning av associeringsavtalet mellan Europeiska unionen och Europeiska atomenergigemenskapen och deras medlemsstater, å ena sidan, och Ukraina, å andra sidan, vad gäller avdelning III (med undantag för bestämmelserna om behandling av arbetstagare som är tredjelandsmedborgare och lagligen anställda på den andra partens territorium) och avdelningarna IV, V, VI och VII i avtalet, samt därtill hörande bilagor och protokoll (EUT L 289, 3.10.2014,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B4E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1831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866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06D6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5440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DB8A6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300FE0"/>
    <w:lvl w:ilvl="0">
      <w:start w:val="1"/>
      <w:numFmt w:val="decimal"/>
      <w:pStyle w:val="ListNumber"/>
      <w:lvlText w:val="%1."/>
      <w:lvlJc w:val="left"/>
      <w:pPr>
        <w:tabs>
          <w:tab w:val="num" w:pos="360"/>
        </w:tabs>
        <w:ind w:left="360" w:hanging="360"/>
      </w:pPr>
    </w:lvl>
  </w:abstractNum>
  <w:abstractNum w:abstractNumId="7">
    <w:nsid w:val="FFFFFF89"/>
    <w:multiLevelType w:val="singleLevel"/>
    <w:tmpl w:val="3F4CBD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38: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107D966129141D598390895BECBF395"/>
    <w:docVar w:name="LW_CROSSREFERENCE" w:val="&lt;UNUSED&gt;"/>
    <w:docVar w:name="LW_DocType" w:val="COM"/>
    <w:docVar w:name="LW_EMISSION" w:val="29.5.2017"/>
    <w:docVar w:name="LW_EMISSION_ISODATE" w:val="2017-05-29"/>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NLE"/>
    <w:docVar w:name="LW_REF.II.NEW.CP_NUMBER" w:val="0105"/>
    <w:docVar w:name="LW_REF.II.NEW.CP_YEAR" w:val="2017"/>
    <w:docVar w:name="LW_REF.INST.NEW" w:val="COM"/>
    <w:docVar w:name="LW_REF.INST.NEW_ADOPTED" w:val="final"/>
    <w:docVar w:name="LW_REF.INST.NEW_TEXT" w:val="(2017) 265"/>
    <w:docVar w:name="LW_REF.INTERNE" w:val="&lt;UNUSED&gt;"/>
    <w:docVar w:name="LW_SOUS.TITRE.OBJ.CP" w:val="&lt;UNUSED&gt;"/>
    <w:docVar w:name="LW_STATUT.CP" w:val="Förslag till"/>
    <w:docVar w:name="LW_SUPERTITRE" w:val="&lt;UNUSED&gt;"/>
    <w:docVar w:name="LW_TITRE.OBJ.CP" w:val="om den ståndpunkt som ska intas på unionens vägnar i den underkommitté för sanitära och fytosanitära frågor som inrättats genom associeringsavtalet mellan Europeiska unionen och Europeiska atomenergigemenskapen och deras medlemsstater, å ena sidan, och Ukraina, å andra sida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BEFA-8494-41B2-84DC-443B964F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1288</Words>
  <Characters>8105</Characters>
  <Application>Microsoft Office Word</Application>
  <DocSecurity>0</DocSecurity>
  <Lines>150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2017-04-28T11:19:00Z</dcterms:created>
  <dcterms:modified xsi:type="dcterms:W3CDTF">2017-05-18T08:38:00Z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