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BF" w:rsidRDefault="005E5E94" w:rsidP="005E5E9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073D70EF5BD4DAFAA76C3904FC862E7" style="width:450.45pt;height:411.25pt">
            <v:imagedata r:id="rId9" o:title=""/>
          </v:shape>
        </w:pict>
      </w:r>
    </w:p>
    <w:p w:rsidR="00B53FBF" w:rsidRDefault="00B53FBF">
      <w:pPr>
        <w:rPr>
          <w:noProof/>
        </w:rPr>
        <w:sectPr w:rsidR="00B53FBF" w:rsidSect="005E5E9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B53FBF" w:rsidRDefault="005E5E94">
      <w:pPr>
        <w:pStyle w:val="Annexetitre"/>
        <w:rPr>
          <w:noProof/>
        </w:rPr>
      </w:pPr>
      <w:bookmarkStart w:id="0" w:name="_GoBack"/>
      <w:bookmarkEnd w:id="0"/>
      <w:r>
        <w:rPr>
          <w:noProof/>
        </w:rPr>
        <w:lastRenderedPageBreak/>
        <w:t>PROJET</w:t>
      </w:r>
    </w:p>
    <w:p w:rsidR="00B53FBF" w:rsidRDefault="005E5E94">
      <w:pPr>
        <w:jc w:val="center"/>
        <w:rPr>
          <w:b/>
          <w:caps/>
          <w:noProof/>
        </w:rPr>
      </w:pPr>
      <w:r>
        <w:rPr>
          <w:b/>
          <w:caps/>
          <w:noProof/>
        </w:rPr>
        <w:t>DÉCISION Nº … DU SOUS-COMITÉ SANITAIRE ET PHYTOSANITAIRE UE-UKRAINE</w:t>
      </w:r>
    </w:p>
    <w:p w:rsidR="00B53FBF" w:rsidRDefault="005E5E94">
      <w:pPr>
        <w:jc w:val="center"/>
        <w:rPr>
          <w:b/>
          <w:noProof/>
        </w:rPr>
      </w:pPr>
      <w:r>
        <w:rPr>
          <w:b/>
          <w:noProof/>
        </w:rPr>
        <w:t xml:space="preserve">du … 2017 </w:t>
      </w:r>
    </w:p>
    <w:p w:rsidR="00B53FBF" w:rsidRDefault="005E5E94">
      <w:pPr>
        <w:spacing w:after="240"/>
        <w:jc w:val="center"/>
        <w:rPr>
          <w:b/>
          <w:noProof/>
          <w:szCs w:val="24"/>
        </w:rPr>
      </w:pPr>
      <w:r>
        <w:rPr>
          <w:b/>
          <w:noProof/>
        </w:rPr>
        <w:t xml:space="preserve">modifiant </w:t>
      </w:r>
      <w:r>
        <w:rPr>
          <w:b/>
          <w:noProof/>
        </w:rPr>
        <w:t>l’annexe V de l’accord d’association</w:t>
      </w:r>
    </w:p>
    <w:p w:rsidR="00B53FBF" w:rsidRDefault="005E5E94">
      <w:pPr>
        <w:spacing w:line="276" w:lineRule="auto"/>
        <w:rPr>
          <w:noProof/>
        </w:rPr>
      </w:pPr>
      <w:r>
        <w:rPr>
          <w:noProof/>
        </w:rPr>
        <w:t>LE SOUS-COMITÉ SANITAIRE ET PHYTOSANITAIRE,</w:t>
      </w:r>
    </w:p>
    <w:p w:rsidR="00B53FBF" w:rsidRDefault="005E5E94">
      <w:pPr>
        <w:rPr>
          <w:noProof/>
        </w:rPr>
      </w:pPr>
      <w:r>
        <w:rPr>
          <w:noProof/>
        </w:rPr>
        <w:t>vu l’accord d’association entre l’Union européenne et la Communauté européenne de l’énergie atomique et leurs États membres, d’une part, et l’Ukraine, d’autre part, signé à Br</w:t>
      </w:r>
      <w:r>
        <w:rPr>
          <w:noProof/>
        </w:rPr>
        <w:t>uxelles le XX, et notamment son article 74, paragraphe 2, point c),</w:t>
      </w:r>
    </w:p>
    <w:p w:rsidR="00B53FBF" w:rsidRDefault="005E5E94">
      <w:pPr>
        <w:rPr>
          <w:noProof/>
        </w:rPr>
      </w:pPr>
      <w:r>
        <w:rPr>
          <w:noProof/>
        </w:rPr>
        <w:t>considérant ce qui suit:</w:t>
      </w:r>
    </w:p>
    <w:p w:rsidR="00B53FBF" w:rsidRDefault="005E5E94">
      <w:pPr>
        <w:pStyle w:val="ManualNumPar1"/>
        <w:rPr>
          <w:noProof/>
          <w:color w:val="000000"/>
        </w:rPr>
      </w:pPr>
      <w:r>
        <w:rPr>
          <w:noProof/>
        </w:rPr>
        <w:t>(1)</w:t>
      </w:r>
      <w:r>
        <w:rPr>
          <w:noProof/>
        </w:rPr>
        <w:tab/>
        <w:t>Conformément à l’article 486 de l’accord d’association entre l’Union européenne et la Communauté européenne de l’énergie atomique et leurs États membres, d’une</w:t>
      </w:r>
      <w:r>
        <w:rPr>
          <w:noProof/>
        </w:rPr>
        <w:t xml:space="preserve"> part, et l’Ukraine, d’autre part (ci-après l’«accord»), certaines parties de l’accord, parmi lesquelles les dispositions relatives aux mesures sanitaires et phytosanitaires, sont appliquées à titre provisoire depuis le 1</w:t>
      </w:r>
      <w:r>
        <w:rPr>
          <w:noProof/>
          <w:vertAlign w:val="superscript"/>
        </w:rPr>
        <w:t>er</w:t>
      </w:r>
      <w:r>
        <w:rPr>
          <w:noProof/>
        </w:rPr>
        <w:t> janvier 2016.</w:t>
      </w:r>
    </w:p>
    <w:p w:rsidR="00B53FBF" w:rsidRDefault="005E5E94">
      <w:pPr>
        <w:pStyle w:val="ManualNumPar1"/>
        <w:rPr>
          <w:noProof/>
        </w:rPr>
      </w:pPr>
      <w:r>
        <w:rPr>
          <w:noProof/>
        </w:rPr>
        <w:t>(2)</w:t>
      </w:r>
      <w:r>
        <w:rPr>
          <w:noProof/>
        </w:rPr>
        <w:tab/>
        <w:t>L’article 64 d</w:t>
      </w:r>
      <w:r>
        <w:rPr>
          <w:noProof/>
        </w:rPr>
        <w:t>e l’accord prévoit que l’Ukraine procède au rapprochement progressif de sa législation sanitaire, phytosanitaire et relative au bien-être animal avec la législation de l’Union visée à l’annexe V de l’accord.</w:t>
      </w:r>
    </w:p>
    <w:p w:rsidR="00B53FBF" w:rsidRDefault="005E5E94">
      <w:pPr>
        <w:pStyle w:val="ManualNumPar1"/>
        <w:rPr>
          <w:noProof/>
        </w:rPr>
      </w:pPr>
      <w:r>
        <w:rPr>
          <w:noProof/>
        </w:rPr>
        <w:t>(3)</w:t>
      </w:r>
      <w:r>
        <w:rPr>
          <w:noProof/>
        </w:rPr>
        <w:tab/>
        <w:t>L’article 64, paragraphe 4, de l’accord fait</w:t>
      </w:r>
      <w:r>
        <w:rPr>
          <w:noProof/>
        </w:rPr>
        <w:t xml:space="preserve"> obligation à l’Ukraine de soumettre une liste de l’acquis de l’Union en matière sanitaire, phytosanitaire et de bien-être animal sur lequel elle a l’intention d’aligner sa législation interne. Cette liste de mesures de rapprochement doit servir de documen</w:t>
      </w:r>
      <w:r>
        <w:rPr>
          <w:noProof/>
        </w:rPr>
        <w:t>t de référence pour la mise en œuvre du chapitre 4 (Mesures sanitaires et phytosanitaires) du titre IV (Commerce et questions liées au commerce) de l’accord.</w:t>
      </w:r>
    </w:p>
    <w:p w:rsidR="00B53FBF" w:rsidRDefault="005E5E94">
      <w:pPr>
        <w:pStyle w:val="ManualNumPar1"/>
        <w:rPr>
          <w:noProof/>
        </w:rPr>
      </w:pPr>
      <w:r>
        <w:rPr>
          <w:noProof/>
        </w:rPr>
        <w:t>(4)</w:t>
      </w:r>
      <w:r>
        <w:rPr>
          <w:noProof/>
        </w:rPr>
        <w:tab/>
        <w:t xml:space="preserve">L’Ukraine a soumis à la Commission européenne en juin 2016 la liste susmentionnée de l’acquis </w:t>
      </w:r>
      <w:r>
        <w:rPr>
          <w:noProof/>
        </w:rPr>
        <w:t>de l’Union.</w:t>
      </w:r>
    </w:p>
    <w:p w:rsidR="00B53FBF" w:rsidRDefault="005E5E94">
      <w:pPr>
        <w:pStyle w:val="ManualNumPar1"/>
        <w:rPr>
          <w:noProof/>
        </w:rPr>
      </w:pPr>
      <w:r>
        <w:rPr>
          <w:noProof/>
        </w:rPr>
        <w:t>(5)</w:t>
      </w:r>
      <w:r>
        <w:rPr>
          <w:noProof/>
        </w:rPr>
        <w:tab/>
        <w:t>Il convient dès lors que le sous-comité sanitaire et phytosanitaire prenne une décision visant à remplacer l’annexe V existante par une nouvelle annexe,</w:t>
      </w:r>
    </w:p>
    <w:p w:rsidR="00B53FBF" w:rsidRDefault="005E5E94">
      <w:pPr>
        <w:rPr>
          <w:noProof/>
        </w:rPr>
      </w:pPr>
      <w:r>
        <w:rPr>
          <w:noProof/>
        </w:rPr>
        <w:t>A ADOPTÉ LA PRÉSENTE DÉCISION:</w:t>
      </w:r>
    </w:p>
    <w:p w:rsidR="00B53FBF" w:rsidRDefault="005E5E94">
      <w:pPr>
        <w:pStyle w:val="Titrearticle"/>
        <w:rPr>
          <w:noProof/>
        </w:rPr>
      </w:pPr>
      <w:r>
        <w:rPr>
          <w:noProof/>
        </w:rPr>
        <w:t>Article premier</w:t>
      </w:r>
    </w:p>
    <w:p w:rsidR="00B53FBF" w:rsidRDefault="005E5E94">
      <w:pPr>
        <w:rPr>
          <w:noProof/>
        </w:rPr>
      </w:pPr>
      <w:r>
        <w:rPr>
          <w:noProof/>
        </w:rPr>
        <w:t>L’annexe V de l’accord d’association ent</w:t>
      </w:r>
      <w:r>
        <w:rPr>
          <w:noProof/>
        </w:rPr>
        <w:t>re l’Union européenne et la Communauté européenne de l’énergie atomique et leurs États membres, d’une part, et l’Ukraine, d’autre part, est remplacée par l’annexe de la présente décision.</w:t>
      </w:r>
    </w:p>
    <w:p w:rsidR="00B53FBF" w:rsidRDefault="005E5E94">
      <w:pPr>
        <w:pStyle w:val="Titrearticle"/>
        <w:rPr>
          <w:i w:val="0"/>
          <w:noProof/>
        </w:rPr>
      </w:pPr>
      <w:r>
        <w:rPr>
          <w:noProof/>
        </w:rPr>
        <w:t>Article 2</w:t>
      </w:r>
    </w:p>
    <w:p w:rsidR="00B53FBF" w:rsidRDefault="005E5E94">
      <w:pPr>
        <w:rPr>
          <w:noProof/>
        </w:rPr>
      </w:pPr>
      <w:r>
        <w:rPr>
          <w:noProof/>
        </w:rPr>
        <w:t xml:space="preserve">La présente décision entre en vigueur le jour de son </w:t>
      </w:r>
      <w:r>
        <w:rPr>
          <w:noProof/>
        </w:rPr>
        <w:t>adoption.</w:t>
      </w:r>
    </w:p>
    <w:p w:rsidR="00B53FBF" w:rsidRDefault="005E5E94">
      <w:pPr>
        <w:rPr>
          <w:noProof/>
        </w:rPr>
      </w:pPr>
      <w:r>
        <w:rPr>
          <w:noProof/>
        </w:rPr>
        <w:t>Fait à …, le …</w:t>
      </w:r>
    </w:p>
    <w:tbl>
      <w:tblPr>
        <w:tblW w:w="0" w:type="auto"/>
        <w:tblLook w:val="04A0" w:firstRow="1" w:lastRow="0" w:firstColumn="1" w:lastColumn="0" w:noHBand="0" w:noVBand="1"/>
      </w:tblPr>
      <w:tblGrid>
        <w:gridCol w:w="4643"/>
        <w:gridCol w:w="4644"/>
      </w:tblGrid>
      <w:tr w:rsidR="00B53FBF">
        <w:tc>
          <w:tcPr>
            <w:tcW w:w="4643" w:type="dxa"/>
            <w:shd w:val="clear" w:color="auto" w:fill="auto"/>
          </w:tcPr>
          <w:p w:rsidR="00B53FBF" w:rsidRDefault="00B53FBF">
            <w:pPr>
              <w:pStyle w:val="Personnequisigne"/>
              <w:rPr>
                <w:noProof/>
              </w:rPr>
            </w:pPr>
          </w:p>
        </w:tc>
        <w:tc>
          <w:tcPr>
            <w:tcW w:w="4644" w:type="dxa"/>
            <w:shd w:val="clear" w:color="auto" w:fill="auto"/>
          </w:tcPr>
          <w:p w:rsidR="00B53FBF" w:rsidRDefault="005E5E94">
            <w:pPr>
              <w:pStyle w:val="Personnequisigne"/>
              <w:rPr>
                <w:noProof/>
              </w:rPr>
            </w:pPr>
            <w:r>
              <w:rPr>
                <w:noProof/>
              </w:rPr>
              <w:t>Pour le sous-comité sanitaire et phytosanitaire</w:t>
            </w:r>
          </w:p>
        </w:tc>
      </w:tr>
      <w:tr w:rsidR="00B53FBF">
        <w:tc>
          <w:tcPr>
            <w:tcW w:w="4643" w:type="dxa"/>
            <w:shd w:val="clear" w:color="auto" w:fill="auto"/>
          </w:tcPr>
          <w:p w:rsidR="00B53FBF" w:rsidRDefault="00B53FBF">
            <w:pPr>
              <w:rPr>
                <w:rFonts w:eastAsia="Times New Roman"/>
                <w:noProof/>
                <w:szCs w:val="24"/>
              </w:rPr>
            </w:pPr>
          </w:p>
        </w:tc>
        <w:tc>
          <w:tcPr>
            <w:tcW w:w="4644" w:type="dxa"/>
            <w:shd w:val="clear" w:color="auto" w:fill="auto"/>
          </w:tcPr>
          <w:p w:rsidR="00B53FBF" w:rsidRDefault="005E5E94">
            <w:pPr>
              <w:rPr>
                <w:rFonts w:eastAsia="Times New Roman"/>
                <w:i/>
                <w:noProof/>
                <w:szCs w:val="24"/>
              </w:rPr>
            </w:pPr>
            <w:r>
              <w:rPr>
                <w:i/>
                <w:noProof/>
              </w:rPr>
              <w:t>Le président</w:t>
            </w:r>
          </w:p>
        </w:tc>
      </w:tr>
    </w:tbl>
    <w:p w:rsidR="00B53FBF" w:rsidRDefault="00B53FBF">
      <w:pPr>
        <w:jc w:val="center"/>
        <w:rPr>
          <w:noProof/>
        </w:rPr>
        <w:sectPr w:rsidR="00B53FBF" w:rsidSect="005E5E94">
          <w:footerReference w:type="default" r:id="rId16"/>
          <w:footerReference w:type="first" r:id="rId17"/>
          <w:pgSz w:w="11907" w:h="16839"/>
          <w:pgMar w:top="1134" w:right="1418" w:bottom="1134" w:left="1418" w:header="720" w:footer="720" w:gutter="0"/>
          <w:cols w:space="720"/>
          <w:docGrid w:linePitch="326"/>
        </w:sectPr>
      </w:pPr>
    </w:p>
    <w:p w:rsidR="00B53FBF" w:rsidRDefault="005E5E94">
      <w:pPr>
        <w:spacing w:after="480"/>
        <w:jc w:val="right"/>
        <w:rPr>
          <w:b/>
          <w:noProof/>
          <w:u w:val="single"/>
        </w:rPr>
      </w:pPr>
      <w:r>
        <w:rPr>
          <w:b/>
          <w:noProof/>
          <w:u w:val="single"/>
        </w:rPr>
        <w:t>Annexe</w:t>
      </w:r>
    </w:p>
    <w:p w:rsidR="00B53FBF" w:rsidRDefault="005E5E94">
      <w:pPr>
        <w:spacing w:after="360"/>
        <w:jc w:val="center"/>
        <w:rPr>
          <w:b/>
          <w:caps/>
          <w:noProof/>
        </w:rPr>
      </w:pPr>
      <w:r>
        <w:rPr>
          <w:b/>
          <w:noProof/>
        </w:rPr>
        <w:t>MODIFICATION DE L’ANNEXE V DE L’ACCORD D’ASSOCIATION</w:t>
      </w:r>
    </w:p>
    <w:p w:rsidR="00B53FBF" w:rsidRDefault="005E5E94">
      <w:pPr>
        <w:spacing w:after="360"/>
        <w:rPr>
          <w:noProof/>
        </w:rPr>
      </w:pPr>
      <w:r>
        <w:rPr>
          <w:noProof/>
        </w:rPr>
        <w:t>L’annexe V est remplacée par le texte ci-après et se lit comme suit:</w:t>
      </w:r>
    </w:p>
    <w:p w:rsidR="00B53FBF" w:rsidRDefault="005E5E94">
      <w:pPr>
        <w:spacing w:after="360"/>
        <w:jc w:val="center"/>
        <w:rPr>
          <w:caps/>
          <w:noProof/>
        </w:rPr>
      </w:pPr>
      <w:r>
        <w:rPr>
          <w:caps/>
          <w:noProof/>
        </w:rPr>
        <w:t>«Annexe V</w:t>
      </w:r>
    </w:p>
    <w:p w:rsidR="00B53FBF" w:rsidRDefault="005E5E94">
      <w:pPr>
        <w:spacing w:after="360"/>
        <w:jc w:val="center"/>
        <w:rPr>
          <w:caps/>
          <w:noProof/>
        </w:rPr>
      </w:pPr>
      <w:r>
        <w:rPr>
          <w:caps/>
          <w:noProof/>
        </w:rPr>
        <w:t>Liste de la législation de l’Union avec laquelle l’UKRAINE doit rapprocher sa législation</w:t>
      </w:r>
    </w:p>
    <w:p w:rsidR="00B53FBF" w:rsidRDefault="005E5E94">
      <w:pPr>
        <w:widowControl w:val="0"/>
        <w:spacing w:before="0" w:after="240"/>
        <w:jc w:val="left"/>
        <w:rPr>
          <w:rFonts w:eastAsia="Times New Roman"/>
          <w:noProof/>
          <w:szCs w:val="24"/>
        </w:rPr>
      </w:pPr>
      <w:r>
        <w:rPr>
          <w:noProof/>
        </w:rPr>
        <w:t>L’Ukraine s’engage à procéder au rapprochement de sa législation avec la législation su</w:t>
      </w:r>
      <w:r>
        <w:rPr>
          <w:noProof/>
        </w:rPr>
        <w:t>ivante de l’Union dans les délais indiqués ci-dessous, conformément à l’article 64, paragraphe 4, du présent accord.</w:t>
      </w:r>
    </w:p>
    <w:p w:rsidR="00B53FBF" w:rsidRDefault="00B53FBF">
      <w:pPr>
        <w:widowControl w:val="0"/>
        <w:spacing w:before="0" w:after="0"/>
        <w:jc w:val="left"/>
        <w:rPr>
          <w:rFonts w:eastAsia="Times New Roman"/>
          <w:noProof/>
          <w:szCs w:val="24"/>
        </w:rPr>
        <w:sectPr w:rsidR="00B53FBF" w:rsidSect="005E5E94">
          <w:pgSz w:w="11900" w:h="16840"/>
          <w:pgMar w:top="652" w:right="880" w:bottom="533" w:left="1160" w:header="0" w:footer="0" w:gutter="0"/>
          <w:cols w:space="0" w:equalWidth="0">
            <w:col w:w="986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92"/>
      </w:tblGrid>
      <w:tr w:rsidR="00B53FBF">
        <w:tc>
          <w:tcPr>
            <w:tcW w:w="5495" w:type="dxa"/>
            <w:shd w:val="clear" w:color="auto" w:fill="auto"/>
          </w:tcPr>
          <w:p w:rsidR="00B53FBF" w:rsidRDefault="005E5E94">
            <w:pPr>
              <w:spacing w:after="360"/>
              <w:jc w:val="center"/>
              <w:rPr>
                <w:caps/>
                <w:noProof/>
              </w:rPr>
            </w:pPr>
            <w:bookmarkStart w:id="1" w:name="page2"/>
            <w:bookmarkEnd w:id="1"/>
            <w:r>
              <w:rPr>
                <w:noProof/>
              </w:rPr>
              <w:t>Législation de l’Union</w:t>
            </w:r>
          </w:p>
        </w:tc>
        <w:tc>
          <w:tcPr>
            <w:tcW w:w="3792" w:type="dxa"/>
            <w:shd w:val="clear" w:color="auto" w:fill="auto"/>
          </w:tcPr>
          <w:p w:rsidR="00B53FBF" w:rsidRDefault="005E5E94">
            <w:pPr>
              <w:spacing w:after="360"/>
              <w:jc w:val="center"/>
              <w:rPr>
                <w:caps/>
                <w:noProof/>
              </w:rPr>
            </w:pPr>
            <w:r>
              <w:rPr>
                <w:noProof/>
              </w:rPr>
              <w:t>Délai pour le rapprochement</w:t>
            </w:r>
          </w:p>
        </w:tc>
      </w:tr>
      <w:tr w:rsidR="00B53FBF">
        <w:tc>
          <w:tcPr>
            <w:tcW w:w="9287" w:type="dxa"/>
            <w:gridSpan w:val="2"/>
            <w:shd w:val="clear" w:color="auto" w:fill="auto"/>
          </w:tcPr>
          <w:p w:rsidR="00B53FBF" w:rsidRDefault="005E5E94">
            <w:pPr>
              <w:spacing w:after="360"/>
              <w:jc w:val="center"/>
              <w:rPr>
                <w:caps/>
                <w:noProof/>
              </w:rPr>
            </w:pPr>
            <w:r>
              <w:rPr>
                <w:noProof/>
              </w:rPr>
              <w:t>Chapitre I – Législation générale (santé publique)</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Règlement</w:t>
            </w:r>
            <w:r>
              <w:rPr>
                <w:rFonts w:ascii="TimesNewRoman" w:hAnsi="TimesNewRoman"/>
                <w:noProof/>
              </w:rPr>
              <w:t xml:space="preserve"> (CE) nº 178/2002 du Parlement européen et du Conseil du 28 janvier 2002 établissant les principes généraux et les prescriptions générales de la législation alimentaire, instituant l’Autorité européenne de sécurité des aliments et fixant des procédures rel</w:t>
            </w:r>
            <w:r>
              <w:rPr>
                <w:rFonts w:ascii="TimesNewRoman" w:hAnsi="TimesNewRoman"/>
                <w:noProof/>
              </w:rPr>
              <w:t>atives à la sécurité des denrées alimentaires</w:t>
            </w:r>
          </w:p>
        </w:tc>
        <w:tc>
          <w:tcPr>
            <w:tcW w:w="3792" w:type="dxa"/>
            <w:shd w:val="clear" w:color="auto" w:fill="auto"/>
          </w:tcPr>
          <w:p w:rsidR="00B53FBF" w:rsidRDefault="005E5E94">
            <w:pPr>
              <w:spacing w:after="360"/>
              <w:jc w:val="center"/>
              <w:rPr>
                <w:caps/>
                <w:noProof/>
              </w:rPr>
            </w:pPr>
            <w:r>
              <w:rPr>
                <w:caps/>
                <w:noProof/>
              </w:rPr>
              <w:t>2016</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Règlement (CE) nº 852/2004 du Parlement européen et du Conseil du 29 avril 2004 relatif à l’hygiène des denrées alimentaires</w:t>
            </w:r>
          </w:p>
        </w:tc>
        <w:tc>
          <w:tcPr>
            <w:tcW w:w="3792" w:type="dxa"/>
            <w:shd w:val="clear" w:color="auto" w:fill="auto"/>
          </w:tcPr>
          <w:p w:rsidR="00B53FBF" w:rsidRDefault="005E5E94">
            <w:pPr>
              <w:spacing w:after="360"/>
              <w:jc w:val="center"/>
              <w:rPr>
                <w:caps/>
                <w:noProof/>
              </w:rPr>
            </w:pPr>
            <w:r>
              <w:rPr>
                <w:caps/>
                <w:noProof/>
              </w:rPr>
              <w:t>2016</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Règlement (CE) nº 854/2004 du Parlement européen et du Conseil du </w:t>
            </w:r>
            <w:r>
              <w:rPr>
                <w:rFonts w:ascii="TimesNewRoman" w:hAnsi="TimesNewRoman"/>
                <w:noProof/>
              </w:rPr>
              <w:t>29 avril 2004 fixant les règles spécifiques d’organisation des contrôles officiels concernant les produits d’origine animale destinés à la consommation humaine</w:t>
            </w:r>
          </w:p>
        </w:tc>
        <w:tc>
          <w:tcPr>
            <w:tcW w:w="3792" w:type="dxa"/>
            <w:shd w:val="clear" w:color="auto" w:fill="auto"/>
          </w:tcPr>
          <w:p w:rsidR="00B53FBF" w:rsidRDefault="005E5E94">
            <w:pPr>
              <w:spacing w:after="360"/>
              <w:jc w:val="center"/>
              <w:rPr>
                <w:caps/>
                <w:noProof/>
              </w:rPr>
            </w:pPr>
            <w:r>
              <w:rPr>
                <w:caps/>
                <w:noProof/>
              </w:rPr>
              <w:t>2016</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Règlement (UE) nº 16/2011 de la Commission du 10 janvier 2011 portant modalités </w:t>
            </w:r>
            <w:r>
              <w:rPr>
                <w:rFonts w:ascii="TimesNewRoman" w:hAnsi="TimesNewRoman"/>
                <w:noProof/>
              </w:rPr>
              <w:t>d’application relatives au système d’alerte rapide pour les denrées alimentaires et les aliments pour animaux</w:t>
            </w:r>
          </w:p>
        </w:tc>
        <w:tc>
          <w:tcPr>
            <w:tcW w:w="3792" w:type="dxa"/>
            <w:shd w:val="clear" w:color="auto" w:fill="auto"/>
          </w:tcPr>
          <w:p w:rsidR="00B53FBF" w:rsidRDefault="005E5E94">
            <w:pPr>
              <w:spacing w:after="360"/>
              <w:jc w:val="center"/>
              <w:rPr>
                <w:caps/>
                <w:noProof/>
              </w:rPr>
            </w:pPr>
            <w:r>
              <w:rPr>
                <w:caps/>
                <w:noProof/>
              </w:rPr>
              <w:t>2018</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Règlement d’exécution (UE) nº 931/2011 de la Commission du 19 septembre 2011 relatif aux exigences de traçabilité définies par le règlement </w:t>
            </w:r>
            <w:r>
              <w:rPr>
                <w:rFonts w:ascii="TimesNewRoman" w:hAnsi="TimesNewRoman"/>
                <w:noProof/>
              </w:rPr>
              <w:t>(CE) nº 178/2002 du Parlement européen et du Conseil en ce qui concerne les denrées alimentaires d’origine animale</w:t>
            </w:r>
          </w:p>
        </w:tc>
        <w:tc>
          <w:tcPr>
            <w:tcW w:w="3792" w:type="dxa"/>
            <w:shd w:val="clear" w:color="auto" w:fill="auto"/>
          </w:tcPr>
          <w:p w:rsidR="00B53FBF" w:rsidRDefault="005E5E94">
            <w:pPr>
              <w:spacing w:after="360"/>
              <w:jc w:val="center"/>
              <w:rPr>
                <w:caps/>
                <w:noProof/>
              </w:rPr>
            </w:pPr>
            <w:r>
              <w:rPr>
                <w:caps/>
                <w:noProof/>
              </w:rPr>
              <w:t>2016</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Règlement d’exécution (UE) nº 208/2013 de la Commission du 11 mars 2013 sur les exigences en matière de traçabilité pour les germes et </w:t>
            </w:r>
            <w:r>
              <w:rPr>
                <w:rFonts w:ascii="TimesNewRoman" w:hAnsi="TimesNewRoman"/>
                <w:noProof/>
              </w:rPr>
              <w:t>les graines destinées à la production de germes</w:t>
            </w:r>
          </w:p>
        </w:tc>
        <w:tc>
          <w:tcPr>
            <w:tcW w:w="3792" w:type="dxa"/>
            <w:shd w:val="clear" w:color="auto" w:fill="auto"/>
          </w:tcPr>
          <w:p w:rsidR="00B53FBF" w:rsidRDefault="005E5E94">
            <w:pPr>
              <w:spacing w:after="360"/>
              <w:jc w:val="center"/>
              <w:rPr>
                <w:caps/>
                <w:noProof/>
              </w:rPr>
            </w:pPr>
            <w:r>
              <w:rPr>
                <w:caps/>
                <w:noProof/>
              </w:rPr>
              <w:t>2016</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Règlement (CE) nº 669/2009 de la Commission du 24 juillet 2009 portant modalités d’exécution du règlement (CE) nº 882/2004 du Parlement européen et du Conseil en ce qui concerne les contrôles officiels </w:t>
            </w:r>
            <w:r>
              <w:rPr>
                <w:rFonts w:ascii="TimesNewRoman" w:hAnsi="TimesNewRoman"/>
                <w:noProof/>
              </w:rPr>
              <w:t>renforcés à l’importation de certains aliments pour animaux et certaines denrées alimentaires d’origine non animale et modifiant la décision 2006/504/CE</w:t>
            </w:r>
          </w:p>
        </w:tc>
        <w:tc>
          <w:tcPr>
            <w:tcW w:w="3792" w:type="dxa"/>
            <w:shd w:val="clear" w:color="auto" w:fill="auto"/>
          </w:tcPr>
          <w:p w:rsidR="00B53FBF" w:rsidRDefault="005E5E94">
            <w:pPr>
              <w:spacing w:after="360"/>
              <w:jc w:val="center"/>
              <w:rPr>
                <w:caps/>
                <w:noProof/>
              </w:rPr>
            </w:pPr>
            <w:r>
              <w:rPr>
                <w:caps/>
                <w:noProof/>
              </w:rPr>
              <w:t>2016</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Règlement (CE) nº 853/2004 du Parlement européen et du Conseil du 29 avril 2004 fixant des règles</w:t>
            </w:r>
            <w:r>
              <w:rPr>
                <w:rFonts w:ascii="TimesNewRoman" w:hAnsi="TimesNewRoman"/>
                <w:noProof/>
              </w:rPr>
              <w:t xml:space="preserve"> spécifiques d’hygiène applicables aux denrées alimentaires d’origine animale</w:t>
            </w:r>
          </w:p>
        </w:tc>
        <w:tc>
          <w:tcPr>
            <w:tcW w:w="3792" w:type="dxa"/>
            <w:shd w:val="clear" w:color="auto" w:fill="auto"/>
          </w:tcPr>
          <w:p w:rsidR="00B53FBF" w:rsidRDefault="005E5E94">
            <w:pPr>
              <w:spacing w:after="360"/>
              <w:jc w:val="center"/>
              <w:rPr>
                <w:caps/>
                <w:noProof/>
              </w:rPr>
            </w:pPr>
            <w:r>
              <w:rPr>
                <w:caps/>
                <w:noProof/>
              </w:rPr>
              <w:t>2016</w:t>
            </w:r>
          </w:p>
        </w:tc>
      </w:tr>
      <w:tr w:rsidR="00B53FBF">
        <w:tc>
          <w:tcPr>
            <w:tcW w:w="5495" w:type="dxa"/>
            <w:shd w:val="clear" w:color="auto" w:fill="auto"/>
          </w:tcPr>
          <w:p w:rsidR="00B53FBF" w:rsidRDefault="005E5E94">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Règlement (CE) nº 882/2004 du Parlement européen et du Conseil du 29 avril 2004 relatif aux contrôles officiels effectués pour s’assurer de la conformité avec la </w:t>
            </w:r>
            <w:r>
              <w:rPr>
                <w:rFonts w:ascii="TimesNewRoman" w:hAnsi="TimesNewRoman"/>
                <w:noProof/>
              </w:rPr>
              <w:t>législation sur les aliments pour animaux et les denrées alimentaires et avec les dispositions relatives à la santé animale et au bien-être des animaux</w:t>
            </w:r>
          </w:p>
        </w:tc>
        <w:tc>
          <w:tcPr>
            <w:tcW w:w="3792" w:type="dxa"/>
            <w:shd w:val="clear" w:color="auto" w:fill="auto"/>
          </w:tcPr>
          <w:p w:rsidR="00B53FBF" w:rsidRDefault="005E5E94">
            <w:pPr>
              <w:spacing w:after="360"/>
              <w:jc w:val="center"/>
              <w:rPr>
                <w:caps/>
                <w:noProof/>
              </w:rPr>
            </w:pPr>
            <w:r>
              <w:rPr>
                <w:caps/>
                <w:noProof/>
              </w:rPr>
              <w:t>2016</w:t>
            </w:r>
          </w:p>
        </w:tc>
      </w:tr>
      <w:tr w:rsidR="00B53FBF">
        <w:tc>
          <w:tcPr>
            <w:tcW w:w="5495" w:type="dxa"/>
            <w:shd w:val="clear" w:color="auto" w:fill="auto"/>
          </w:tcPr>
          <w:p w:rsidR="00B53FBF" w:rsidRDefault="005E5E94">
            <w:pPr>
              <w:spacing w:after="0"/>
              <w:jc w:val="left"/>
              <w:rPr>
                <w:noProof/>
                <w:szCs w:val="24"/>
              </w:rPr>
            </w:pPr>
            <w:r>
              <w:rPr>
                <w:noProof/>
              </w:rPr>
              <w:t>Directive 97/78/CE du Conseil du 18 décembre 1997 fixant les principes relatifs à l’organisation d</w:t>
            </w:r>
            <w:r>
              <w:rPr>
                <w:noProof/>
              </w:rPr>
              <w:t>es contrôles vétérinaires pour les produits en provenance des pays tiers introduits dans la Communauté</w:t>
            </w:r>
          </w:p>
        </w:tc>
        <w:tc>
          <w:tcPr>
            <w:tcW w:w="3792" w:type="dxa"/>
            <w:shd w:val="clear" w:color="auto" w:fill="auto"/>
          </w:tcPr>
          <w:p w:rsidR="00B53FBF" w:rsidRDefault="005E5E94">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spacing w:after="0"/>
              <w:jc w:val="left"/>
              <w:rPr>
                <w:noProof/>
                <w:szCs w:val="24"/>
              </w:rPr>
            </w:pPr>
            <w:r>
              <w:rPr>
                <w:noProof/>
              </w:rPr>
              <w:t>Directive 91/496/CEE du Conseil du 15 juillet 1991 fixant les principes relatifs à l’organisation des contrôles vétérinaires pour les animaux en pr</w:t>
            </w:r>
            <w:r>
              <w:rPr>
                <w:noProof/>
              </w:rPr>
              <w:t>ovenance des pays tiers introduits dans la Communauté</w:t>
            </w:r>
          </w:p>
        </w:tc>
        <w:tc>
          <w:tcPr>
            <w:tcW w:w="3792" w:type="dxa"/>
            <w:shd w:val="clear" w:color="auto" w:fill="auto"/>
          </w:tcPr>
          <w:p w:rsidR="00B53FBF" w:rsidRDefault="005E5E94">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spacing w:after="0"/>
              <w:jc w:val="left"/>
              <w:rPr>
                <w:noProof/>
                <w:szCs w:val="24"/>
              </w:rPr>
            </w:pPr>
            <w:r>
              <w:rPr>
                <w:noProof/>
              </w:rPr>
              <w:t>Directive 2002/99/CE du Conseil du 16 décembre 2002 fixant les règles de police sanitaire régissant la production, la transformation, la distribution et l’introduction des produits d’origine anima</w:t>
            </w:r>
            <w:r>
              <w:rPr>
                <w:noProof/>
              </w:rPr>
              <w:t>le destinés à la consommation humaine</w:t>
            </w:r>
          </w:p>
        </w:tc>
        <w:tc>
          <w:tcPr>
            <w:tcW w:w="3792" w:type="dxa"/>
            <w:shd w:val="clear" w:color="auto" w:fill="auto"/>
          </w:tcPr>
          <w:p w:rsidR="00B53FBF" w:rsidRDefault="005E5E94">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B53FBF">
        <w:tc>
          <w:tcPr>
            <w:tcW w:w="9287" w:type="dxa"/>
            <w:gridSpan w:val="2"/>
            <w:shd w:val="clear" w:color="auto" w:fill="auto"/>
          </w:tcPr>
          <w:p w:rsidR="00B53FBF" w:rsidRDefault="00B53FBF">
            <w:pPr>
              <w:pStyle w:val="a"/>
              <w:spacing w:before="0"/>
              <w:ind w:firstLine="0"/>
              <w:rPr>
                <w:rFonts w:ascii="Times New Roman" w:hAnsi="Times New Roman"/>
                <w:noProof/>
                <w:sz w:val="24"/>
                <w:szCs w:val="24"/>
              </w:rPr>
            </w:pPr>
          </w:p>
          <w:p w:rsidR="00B53FBF" w:rsidRDefault="005E5E94">
            <w:pPr>
              <w:pStyle w:val="a"/>
              <w:spacing w:before="0"/>
              <w:ind w:firstLine="0"/>
              <w:jc w:val="center"/>
              <w:rPr>
                <w:rFonts w:ascii="Times New Roman" w:hAnsi="Times New Roman"/>
                <w:noProof/>
                <w:sz w:val="24"/>
                <w:szCs w:val="24"/>
              </w:rPr>
            </w:pPr>
            <w:r>
              <w:rPr>
                <w:rFonts w:ascii="Times New Roman" w:hAnsi="Times New Roman"/>
                <w:noProof/>
                <w:sz w:val="24"/>
              </w:rPr>
              <w:t>Étiquetage et information sur les denrées alimentaires</w:t>
            </w:r>
          </w:p>
          <w:p w:rsidR="00B53FBF" w:rsidRDefault="00B53FBF">
            <w:pPr>
              <w:pStyle w:val="a"/>
              <w:spacing w:before="0"/>
              <w:ind w:firstLine="0"/>
              <w:rPr>
                <w:rFonts w:ascii="Times New Roman" w:hAnsi="Times New Roman"/>
                <w:noProof/>
                <w:sz w:val="24"/>
                <w:szCs w:val="24"/>
              </w:rPr>
            </w:pPr>
          </w:p>
        </w:tc>
      </w:tr>
      <w:tr w:rsidR="00B53FBF">
        <w:trPr>
          <w:trHeight w:val="718"/>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1169/2011 du Parlement européen et du Conseil du 25 octobre 2011 concernant l’information des consommateurs sur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2011/91/UE du Parlement européen et du Conseil du 13 décembre 2011 relative aux mentions ou marques permettant d’identifier le lot auquel appartient une denrée alimentaire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1924/2006 du Parlement européen et du </w:t>
            </w:r>
            <w:r>
              <w:rPr>
                <w:rFonts w:ascii="Times New Roman" w:hAnsi="Times New Roman"/>
                <w:noProof/>
                <w:sz w:val="24"/>
              </w:rPr>
              <w:t>Conseil du 20 décembre 2006 concernant les allégations nutritionnelles et de santé portant sur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432/2011 de la Commission du 4 mai 2011 concernant le refus d’autoriser certaines allégations de santé portant s</w:t>
            </w:r>
            <w:r>
              <w:rPr>
                <w:rFonts w:ascii="Times New Roman" w:hAnsi="Times New Roman"/>
                <w:noProof/>
                <w:sz w:val="24"/>
              </w:rPr>
              <w:t>ur les denrées alimentaires, autres que celles faisant référence à la réduction du risque de maladie ainsi qu’au développement et à la santé des enfants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1925/2006 du Parlement européen et du Conseil du 20 décembre 2006 concernant </w:t>
            </w:r>
            <w:r>
              <w:rPr>
                <w:rFonts w:ascii="Times New Roman" w:hAnsi="Times New Roman"/>
                <w:noProof/>
                <w:sz w:val="24"/>
              </w:rPr>
              <w:t>l’adjonction de vitamines, de minéraux et de certaines autres substances aux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1170/2009 de la Commission du 30 novembre 2009 modifiant la directive 2002/46/CE du Parlement européen et du Conseil et le règlement (</w:t>
            </w:r>
            <w:r>
              <w:rPr>
                <w:rFonts w:ascii="Times New Roman" w:hAnsi="Times New Roman"/>
                <w:noProof/>
                <w:sz w:val="24"/>
              </w:rPr>
              <w:t>CE) nº 1925/2006 du Parlement européen et du Conseil en ce qui concerne la liste des vitamines et minéraux et celle de leurs formes, qui peuvent être ajoutés aux denrées alimentaires, y compris les compléments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432/2012 </w:t>
            </w:r>
            <w:r>
              <w:rPr>
                <w:rFonts w:ascii="Times New Roman" w:hAnsi="Times New Roman"/>
                <w:noProof/>
                <w:sz w:val="24"/>
              </w:rPr>
              <w:t>de la Commission du 16 mai 2012 établissant une liste des allégations de santé autorisées portant sur les denrées alimentaires, autres que celles faisant référence à la réduction du risque de maladie ainsi qu’au développement et à la santé infantiles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1047/2012 de la Commission du 8 novembre 2012 modifiant le règlement (CE) nº 1924/2006 en ce qui concerne la liste des allégations nutritionnelles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d’exécution 2013/63/UE de la Commission du 24 janvier 2013 portant adoption</w:t>
            </w:r>
            <w:r>
              <w:rPr>
                <w:rFonts w:ascii="Times New Roman" w:hAnsi="Times New Roman"/>
                <w:noProof/>
                <w:sz w:val="24"/>
              </w:rPr>
              <w:t xml:space="preserve"> d’orientations aux fins de l’application des conditions spécifiques concernant les allégations de santé énoncées à l’article 10 du règlement (CE) nº 1924/2006 du Parlement européen et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Mesures applicables aux produits animaux</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w:t>
            </w:r>
            <w:r>
              <w:rPr>
                <w:rFonts w:ascii="Times New Roman" w:hAnsi="Times New Roman"/>
                <w:noProof/>
                <w:sz w:val="24"/>
              </w:rPr>
              <w:t>(CE) nº 853/2004 du Parlement européen et du Conseil du 29 avril 2004 fixant des règles spécifiques d’hygiène applicables aux denrées alimentaires d’origine animale (chapitre I, appendice 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853/2004 du Parlement européen et du Con</w:t>
            </w:r>
            <w:r>
              <w:rPr>
                <w:rFonts w:ascii="Times New Roman" w:hAnsi="Times New Roman"/>
                <w:noProof/>
                <w:sz w:val="24"/>
              </w:rPr>
              <w:t>seil du 29 avril 2004 fixant des règles spécifiques d’hygiène applicables aux denrées alimentaires d’origine animale (chapitre V,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37/2005 de la Commission du 12 janvier 2005 relatif au contrôle des températures dans </w:t>
            </w:r>
            <w:r>
              <w:rPr>
                <w:rFonts w:ascii="Times New Roman" w:hAnsi="Times New Roman"/>
                <w:noProof/>
                <w:sz w:val="24"/>
              </w:rPr>
              <w:t>les moyens de transport et les locaux d’entreposage et de stockage des aliments surgelés destinés à l’alimentation humaine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853/2004 du Parlement européen et du Conseil du 29 avril 2004 fixant des règles spécifiques d’hygiène applica</w:t>
            </w:r>
            <w:r>
              <w:rPr>
                <w:rFonts w:ascii="Times New Roman" w:hAnsi="Times New Roman"/>
                <w:noProof/>
                <w:sz w:val="24"/>
              </w:rPr>
              <w:t>bles aux denrées alimentaires d’origine animale (chapitre VII,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rPr>
          <w:trHeight w:val="1004"/>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854/2004 du Parlement européen et du Conseil du 29 avril 2004 fixant les règles spécifiques d’organisation des contrôles officiels concernant les produits</w:t>
            </w:r>
            <w:r>
              <w:rPr>
                <w:rFonts w:ascii="Times New Roman" w:hAnsi="Times New Roman"/>
                <w:noProof/>
                <w:sz w:val="24"/>
              </w:rPr>
              <w:t xml:space="preserve"> d’origine animale destinés à la consommation humaine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2002/226/CE de la Commission du 15 mars 2002 instaurant des contrôles sanitaires spéciaux pour la récolte et le traitement de certains mollusques bivalves présentant un taux de toxine ASP</w:t>
            </w:r>
            <w:r>
              <w:rPr>
                <w:rFonts w:ascii="Times New Roman" w:hAnsi="Times New Roman"/>
                <w:noProof/>
                <w:sz w:val="24"/>
              </w:rPr>
              <w:t xml:space="preserve"> (Amnesic Shellfish Poison) supérieur à la limite fixée par la directive 91/492/CEE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853/2004 du Parlement européen et du Conseil du 29 avril 2004 fixant des règles spécifiques d’hygiène applicables aux denrées alimentaire</w:t>
            </w:r>
            <w:r>
              <w:rPr>
                <w:rFonts w:ascii="Times New Roman" w:hAnsi="Times New Roman"/>
                <w:noProof/>
                <w:sz w:val="24"/>
              </w:rPr>
              <w:t>s d’origine animale (chapitre VIII,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853/2004 du Parlement européen et du Conseil du 29 avril 2004 fixant des règles spécifiques d’hygiène applicables aux denrées alimentaires d’origine animale (chapitre IX, appendice </w:t>
            </w:r>
            <w:r>
              <w:rPr>
                <w:rFonts w:ascii="Times New Roman" w:hAnsi="Times New Roman"/>
                <w:noProof/>
                <w:sz w:val="24"/>
              </w:rPr>
              <w:t>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853/2004 du Parlement européen et du Conseil du 29 avril 2004 fixant des règles spécifiques d’hygiène applicables aux denrées alimentaires d’origine animale (chapitre X,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853/2004 du </w:t>
            </w:r>
            <w:r>
              <w:rPr>
                <w:rFonts w:ascii="Times New Roman" w:hAnsi="Times New Roman"/>
                <w:noProof/>
                <w:sz w:val="24"/>
              </w:rPr>
              <w:t>Parlement européen et du Conseil du 29 avril 2004 fixant des règles spécifiques d’hygiène applicables aux denrées alimentaires d’origine animale (chapitre XI,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853/2004 du Parlement européen et du Conseil du 29 avril </w:t>
            </w:r>
            <w:r>
              <w:rPr>
                <w:rFonts w:ascii="Times New Roman" w:hAnsi="Times New Roman"/>
                <w:noProof/>
                <w:sz w:val="24"/>
              </w:rPr>
              <w:t>2004 fixant des règles spécifiques d’hygiène applicables aux denrées alimentaires d’origine animale (chapitre XII,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853/2004 du Parlement européen et du Conseil du 29 avril 2004 fixant des règles spécifiques d’hygiène </w:t>
            </w:r>
            <w:r>
              <w:rPr>
                <w:rFonts w:ascii="Times New Roman" w:hAnsi="Times New Roman"/>
                <w:noProof/>
                <w:sz w:val="24"/>
              </w:rPr>
              <w:t>applicables aux denrées alimentaires d’origine animale (chapitre XIV,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853/2004 du Parlement européen et du Conseil du 29 avril 2004 fixant des règles spécifiques d’hygiène applicables aux denrées alimentaires d’origin</w:t>
            </w:r>
            <w:r>
              <w:rPr>
                <w:rFonts w:ascii="Times New Roman" w:hAnsi="Times New Roman"/>
                <w:noProof/>
                <w:sz w:val="24"/>
              </w:rPr>
              <w:t>e animale (chapitre XIII,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853/2004 du Parlement européen et du Conseil du 29 avril 2004 fixant des règles spécifiques d’hygiène applicables aux denrées alimentaires d’origine animale (chapitre XV, appendice III)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2001/110/CE du Conseil du 20 décembre 2001 relative au miel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rPr>
          <w:trHeight w:val="792"/>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1331/2008 du Parlement européen et du Conseil du 16 décembre 2008 établissant une procédure d’autorisation uniforme pour les additifs, enzymes et arômes alimenta</w:t>
            </w:r>
            <w:r>
              <w:rPr>
                <w:rFonts w:ascii="Times New Roman" w:hAnsi="Times New Roman"/>
                <w:noProof/>
                <w:sz w:val="24"/>
              </w:rPr>
              <w:t>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rPr>
          <w:trHeight w:val="520"/>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1333/2008 du Parlement européen et du Conseil du 16 décembre 2008 sur les additifs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231/2012 de la Commission du 9 mars 2012 établissant les spécifications des additifs alimentaires énumérés </w:t>
            </w:r>
            <w:r>
              <w:rPr>
                <w:rFonts w:ascii="Times New Roman" w:hAnsi="Times New Roman"/>
                <w:noProof/>
                <w:sz w:val="24"/>
              </w:rPr>
              <w:t>aux annexes II et III du règlement (CE) nº 1333/2008 du Parlement européen et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234/2011 de la Commission du 10 mars 2011 portant application du règlement (CE) nº 1331/2008 du Parlement européen et du Conseil établissant </w:t>
            </w:r>
            <w:r>
              <w:rPr>
                <w:rFonts w:ascii="Times New Roman" w:hAnsi="Times New Roman"/>
                <w:noProof/>
                <w:sz w:val="24"/>
              </w:rPr>
              <w:t>une procédure d’autorisation uniforme pour les additifs, enzymes et arômes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1334/2008 du Parlement européen et du Conseil du 16 décembre 2008 relatif aux arômes et à certains ingrédients alimentaires possédant des propri</w:t>
            </w:r>
            <w:r>
              <w:rPr>
                <w:rFonts w:ascii="Times New Roman" w:hAnsi="Times New Roman"/>
                <w:noProof/>
                <w:sz w:val="24"/>
              </w:rPr>
              <w:t>étés aromatisantes qui sont destinés à être utilisés dans et sur les denrées alimentaires [partiellement abrogé par le règlement (UE) nº 1169/2011]</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234/2011 de la Commission du 10 mars 2011 portant application du règlement (CE) nº 1</w:t>
            </w:r>
            <w:r>
              <w:rPr>
                <w:rFonts w:ascii="Times New Roman" w:hAnsi="Times New Roman"/>
                <w:noProof/>
                <w:sz w:val="24"/>
              </w:rPr>
              <w:t>331/2008 du Parlement européen et du Conseil établissant une procédure d’autorisation uniforme pour les additifs, enzymes et arômes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2065/2003 du Parlement européen et du Conseil du 10 novembre 2003 relatif aux arômes de</w:t>
            </w:r>
            <w:r>
              <w:rPr>
                <w:rFonts w:ascii="Times New Roman" w:hAnsi="Times New Roman"/>
                <w:noProof/>
                <w:sz w:val="24"/>
              </w:rPr>
              <w:t xml:space="preserve"> fumée utilisés ou destinés à être utilisés dans ou sur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872/2012 de la Commission du 1</w:t>
            </w:r>
            <w:r>
              <w:rPr>
                <w:rFonts w:ascii="Times New Roman" w:hAnsi="Times New Roman"/>
                <w:noProof/>
                <w:sz w:val="24"/>
                <w:vertAlign w:val="superscript"/>
              </w:rPr>
              <w:t>er</w:t>
            </w:r>
            <w:r>
              <w:rPr>
                <w:rFonts w:ascii="Times New Roman" w:hAnsi="Times New Roman"/>
                <w:noProof/>
                <w:sz w:val="24"/>
              </w:rPr>
              <w:t> octobre 2012 portant adoption de la liste de substances aromatisantes prévue par le règlement (CE) nº 2232</w:t>
            </w:r>
            <w:r>
              <w:rPr>
                <w:rFonts w:ascii="Times New Roman" w:hAnsi="Times New Roman"/>
                <w:noProof/>
                <w:sz w:val="24"/>
              </w:rPr>
              <w:t>/96 du Parlement européen et du Conseil, introduction de ladite liste dans l’annexe I du règlement (CE) nº 1334/2008 du Parlement européen et du Conseil et abrogation du règlement (CE) nº 1565/2000 de la Commission et de la décision 1999/217/CE de la Commi</w:t>
            </w:r>
            <w:r>
              <w:rPr>
                <w:rFonts w:ascii="Times New Roman" w:hAnsi="Times New Roman"/>
                <w:noProof/>
                <w:sz w:val="24"/>
              </w:rPr>
              <w:t>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873/2012 de la Commission du 1</w:t>
            </w:r>
            <w:r>
              <w:rPr>
                <w:rFonts w:ascii="Times New Roman" w:hAnsi="Times New Roman"/>
                <w:noProof/>
                <w:sz w:val="24"/>
                <w:vertAlign w:val="superscript"/>
              </w:rPr>
              <w:t>er</w:t>
            </w:r>
            <w:r>
              <w:rPr>
                <w:rFonts w:ascii="Times New Roman" w:hAnsi="Times New Roman"/>
                <w:noProof/>
                <w:sz w:val="24"/>
              </w:rPr>
              <w:t xml:space="preserve"> octobre 2012 relatif à des mesures transitoires en ce qui concerne la liste de l’Union des arômes et matériaux de base établie à l’annexe I du règlement (CE) nº 1334/2008 du Parlement européen </w:t>
            </w:r>
            <w:r>
              <w:rPr>
                <w:rFonts w:ascii="Times New Roman" w:hAnsi="Times New Roman"/>
                <w:noProof/>
                <w:sz w:val="24"/>
              </w:rPr>
              <w:t>et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1332/2008 du Parlement européen et du Conseil du 16 décembre 2008 concernant les enzymes alimentaires et modifiant la directive 83/417/CEE du Conseil, le règlement (CE) nº 1493/1999 du Conseil, la directive 2000/13/CE,</w:t>
            </w:r>
            <w:r>
              <w:rPr>
                <w:rFonts w:ascii="Times New Roman" w:hAnsi="Times New Roman"/>
                <w:noProof/>
                <w:sz w:val="24"/>
              </w:rPr>
              <w:t xml:space="preserve"> la directive 2001/112/CE du Conseil et le règlement (CE) nº 258/97 [partiellement abrogé par le règlement (UE) nº 1169/2011]</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Autres mesures</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1935/2004 du Parlement européen et du Conseil du 27 octobre 2004 concernant les </w:t>
            </w:r>
            <w:r>
              <w:rPr>
                <w:rFonts w:ascii="Times New Roman" w:hAnsi="Times New Roman"/>
                <w:noProof/>
                <w:sz w:val="24"/>
              </w:rPr>
              <w:t>matériaux et objets destinés à entrer en contact avec des denrées alimentaires et abrogeant les directives 80/590/CEE et 89/109/CEE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2023/2006 de la Commission du 22 décembre 2006 relatif aux bonnes pratiques de fabrication des matér</w:t>
            </w:r>
            <w:r>
              <w:rPr>
                <w:rFonts w:ascii="Times New Roman" w:hAnsi="Times New Roman"/>
                <w:noProof/>
                <w:sz w:val="24"/>
              </w:rPr>
              <w:t>iaux et objets destinés à entrer en contact avec des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82/711/CEE du Conseil du 18 octobre 1982 établissant les règles de base nécessaires à la vérification de la migration des constituants des matériaux et objets en mati</w:t>
            </w:r>
            <w:r>
              <w:rPr>
                <w:rFonts w:ascii="Times New Roman" w:hAnsi="Times New Roman"/>
                <w:noProof/>
                <w:sz w:val="24"/>
              </w:rPr>
              <w:t>ère plastique destinés à entrer en contact avec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85/572/CEE du Conseil du 19 décembre 1985 fixant la liste des simulants à utiliser pour vérifier la migration des constituants des matériaux et objets en matière </w:t>
            </w:r>
            <w:r>
              <w:rPr>
                <w:rFonts w:ascii="Times New Roman" w:hAnsi="Times New Roman"/>
                <w:noProof/>
                <w:sz w:val="24"/>
              </w:rPr>
              <w:t>plastique destinés à entrer en contact avec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78/142/CEE du Conseil du 30 janvier 1978 relative au rapprochement des législations des États membres en ce qui concerne les matériaux et objets contenant du chlorure de v</w:t>
            </w:r>
            <w:r>
              <w:rPr>
                <w:rFonts w:ascii="Times New Roman" w:hAnsi="Times New Roman"/>
                <w:noProof/>
                <w:sz w:val="24"/>
              </w:rPr>
              <w:t>inyle monomère destinés à entrer en contact avec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2010/169/UE de la Commission du 19 mars 2010 relative à la non-inscription du 2,4,4’-trichloro-2’-hydroxy diphényl éther sur la liste UE des additifs pouvant, conformé</w:t>
            </w:r>
            <w:r>
              <w:rPr>
                <w:rFonts w:ascii="Times New Roman" w:hAnsi="Times New Roman"/>
                <w:noProof/>
                <w:sz w:val="24"/>
              </w:rPr>
              <w:t>ment à la directive 2002/72/CE, entrer dans la fabrication des matériaux et objets en matière plastique destinés à entrer en contact avec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84/500/CEE du Conseil du 15 octobre 1984 relative au rapprochement des législ</w:t>
            </w:r>
            <w:r>
              <w:rPr>
                <w:rFonts w:ascii="Times New Roman" w:hAnsi="Times New Roman"/>
                <w:noProof/>
                <w:sz w:val="24"/>
              </w:rPr>
              <w:t>ations des États membres en ce qui concerne les objets céramiques destinés à entrer en contact avec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2007/42/CE de la Commission du 29 juin 2007 relative aux matériaux et aux objets en pellicule de cellulose régénéré</w:t>
            </w:r>
            <w:r>
              <w:rPr>
                <w:rFonts w:ascii="Times New Roman" w:hAnsi="Times New Roman"/>
                <w:noProof/>
                <w:sz w:val="24"/>
              </w:rPr>
              <w:t>e, destinés à entrer en contact avec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1895/2005 de la Commission du 18 novembre 2005 concernant la limitation de l’utilisation de certains dérivés époxydiques dans les matériaux et objets destinés à entrer en</w:t>
            </w:r>
            <w:r>
              <w:rPr>
                <w:rFonts w:ascii="Times New Roman" w:hAnsi="Times New Roman"/>
                <w:noProof/>
                <w:sz w:val="24"/>
              </w:rPr>
              <w:t xml:space="preserve"> contact avec des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450/2009 de la Commission du 29 mai 2009 concernant les matériaux et objets actifs et intelligents destinés à entrer en contact avec des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10/2011 de </w:t>
            </w:r>
            <w:r>
              <w:rPr>
                <w:rFonts w:ascii="Times New Roman" w:hAnsi="Times New Roman"/>
                <w:noProof/>
                <w:sz w:val="24"/>
              </w:rPr>
              <w:t>la Commission du 14 janvier 2011 concernant les matériaux et objets en matière plastique destinés à entrer en contact avec des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93/11/CEE de la Commission, du 15 mars 1993, concernant la libération de N-nitrosamines et d</w:t>
            </w:r>
            <w:r>
              <w:rPr>
                <w:rFonts w:ascii="Times New Roman" w:hAnsi="Times New Roman"/>
                <w:noProof/>
                <w:sz w:val="24"/>
              </w:rPr>
              <w:t>e substances N-nitrosables par les tétines et les sucettes en élastomère ou caoutchouc</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284/2011 de la Commission du 22 mars 2011 fixant des conditions particulières et des procédures détaillées pour l’importation d’ustensiles de cui</w:t>
            </w:r>
            <w:r>
              <w:rPr>
                <w:rFonts w:ascii="Times New Roman" w:hAnsi="Times New Roman"/>
                <w:noProof/>
                <w:sz w:val="24"/>
              </w:rPr>
              <w:t>sine en matière plastique polyamide et mélamine originaires ou en provenance de la République populaire de Chine et de la région administrative spéciale de Hong Kong, Chine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282/2008 de la Commission du 27 mars 2008 relatif aux matér</w:t>
            </w:r>
            <w:r>
              <w:rPr>
                <w:rFonts w:ascii="Times New Roman" w:hAnsi="Times New Roman"/>
                <w:noProof/>
                <w:sz w:val="24"/>
              </w:rPr>
              <w:t>iaux et aux objets en matière plastique recyclée destinés à entrer en contact avec des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28/2012 de la Commission du 11 janvier 2012 fixant les exigences de certification applicables à certains produits composés </w:t>
            </w:r>
            <w:r>
              <w:rPr>
                <w:rFonts w:ascii="Times New Roman" w:hAnsi="Times New Roman"/>
                <w:noProof/>
                <w:sz w:val="24"/>
              </w:rPr>
              <w:t>importés dans l’Union ou transitant par celle-ci, et modifiant la décision 2007/275/CE et le règlement (CE) nº 1162/2009</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2007/275/CE de la Commission du 17 avril 2007 relative aux listes des animaux et des produits devant faire l’objet de co</w:t>
            </w:r>
            <w:r>
              <w:rPr>
                <w:rFonts w:ascii="Times New Roman" w:hAnsi="Times New Roman"/>
                <w:noProof/>
                <w:sz w:val="24"/>
              </w:rPr>
              <w:t>ntrôles aux postes d’inspection frontaliers conformément aux directives du Conseil 91/496/CEE et 97/78/CE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641/2004 de la Commission du 6 avril 2004 fixant les modalités d’application du règlement (CE) nº 1829/2003 du Parlement europ</w:t>
            </w:r>
            <w:r>
              <w:rPr>
                <w:rFonts w:ascii="Times New Roman" w:hAnsi="Times New Roman"/>
                <w:noProof/>
                <w:sz w:val="24"/>
              </w:rPr>
              <w:t>éen et du Conseil en ce qui concerne la demande d’autorisation de nouvelles denrées alimentaires et de nouveaux aliments pour animaux génétiquement modifiés, la notification de produits existants et la présence fortuite ou techniquement inévitable de matér</w:t>
            </w:r>
            <w:r>
              <w:rPr>
                <w:rFonts w:ascii="Times New Roman" w:hAnsi="Times New Roman"/>
                <w:noProof/>
                <w:sz w:val="24"/>
              </w:rPr>
              <w:t>iel génétiquement modifié ayant fait l’objet d’une évaluation du risque et obtenu un avis favorable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1829/2003 du Parlement européen et du Conseil du 22 septembre 2003 concernant les denrées alimentaires et les aliments pour animaux </w:t>
            </w:r>
            <w:r>
              <w:rPr>
                <w:rFonts w:ascii="Times New Roman" w:hAnsi="Times New Roman"/>
                <w:noProof/>
                <w:sz w:val="24"/>
              </w:rPr>
              <w:t>génétiquement modifiés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1830/2003 du Parlement européen et du Conseil du 22 septembre 2003 concernant la traçabilité et l’étiquetage des organismes génétiquement modifiés et la traçabilité des produits destinés à l’alimentation </w:t>
            </w:r>
            <w:r>
              <w:rPr>
                <w:rFonts w:ascii="Times New Roman" w:hAnsi="Times New Roman"/>
                <w:noProof/>
                <w:sz w:val="24"/>
              </w:rPr>
              <w:t>humaine ou animale produits à partir d’organismes génétiquement modifiés, et modifiant la directive 2001/18/CE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Mesures à instaurer après le rapprochement des législations</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396/2005 du Parlement européen et du Conseil du 23 février</w:t>
            </w:r>
            <w:r>
              <w:rPr>
                <w:rFonts w:ascii="Times New Roman" w:hAnsi="Times New Roman"/>
                <w:noProof/>
                <w:sz w:val="24"/>
              </w:rPr>
              <w:t xml:space="preserve"> 2005 concernant les limites maximales applicables aux résidus de pesticides présents dans ou sur les denrées alimentaires et les aliments pour animaux d’origine végétale et animale et modifiant la directive 91/414/CEE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rPr>
          <w:trHeight w:val="681"/>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18</w:t>
            </w:r>
            <w:r>
              <w:rPr>
                <w:rFonts w:ascii="Times New Roman" w:hAnsi="Times New Roman"/>
                <w:noProof/>
                <w:sz w:val="24"/>
              </w:rPr>
              <w:t>81/2006 de la Commission du 19 décembre 2006 portant fixation de teneurs maximales pour certains contaminants dans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401/2006 de la Commission du 23 février 2006 portant fixation des modes de prélèvement </w:t>
            </w:r>
            <w:r>
              <w:rPr>
                <w:rFonts w:ascii="Times New Roman" w:hAnsi="Times New Roman"/>
                <w:noProof/>
                <w:sz w:val="24"/>
              </w:rPr>
              <w:t>d’échantillons et des méthodes d’analyse pour le contrôle officiel des teneurs en mycotoxines des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333/2007 de la Commission du 28 mars 2007 portant fixation des modes de prélèvement d’échantillons et des méthod</w:t>
            </w:r>
            <w:r>
              <w:rPr>
                <w:rFonts w:ascii="Times New Roman" w:hAnsi="Times New Roman"/>
                <w:noProof/>
                <w:sz w:val="24"/>
              </w:rPr>
              <w:t>es d’analyse pour le contrôle officiel des teneurs en plomb, en cadmium, en mercure, en étain inorganique, en 3-MCPD et en benzo(a)pyrène dans les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589/2014 de la Commission du 2 juin 2014 portant fixation des </w:t>
            </w:r>
            <w:r>
              <w:rPr>
                <w:rFonts w:ascii="Times New Roman" w:hAnsi="Times New Roman"/>
                <w:noProof/>
                <w:sz w:val="24"/>
              </w:rPr>
              <w:t>méthodes de prélèvement et d’analyse d’échantillons à utiliser pour le contrôle des teneurs en dioxines, en PCB de type dioxine et en PCB autres que ceux de type dioxine de certaines denrées alimentaires et abrogeant le règlement (UE) nº 252/2012</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w:t>
            </w:r>
            <w:r>
              <w:rPr>
                <w:rFonts w:ascii="Times New Roman" w:hAnsi="Times New Roman"/>
                <w:noProof/>
                <w:sz w:val="24"/>
              </w:rPr>
              <w:t>lement (CE) nº 1882/2006 de la Commission du 19 décembre 2006 portant fixation des méthodes de prélèvement et d’analyse d’échantillons utilisées pour le contrôle officiel des teneurs en nitrates de certaines denrées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2002/63/CE</w:t>
            </w:r>
            <w:r>
              <w:rPr>
                <w:rFonts w:ascii="Times New Roman" w:hAnsi="Times New Roman"/>
                <w:noProof/>
                <w:sz w:val="24"/>
              </w:rPr>
              <w:t xml:space="preserve"> de la Commission du 11 juillet 2002 fixant des méthodes communautaires de prélèvement d’échantillons pour le contrôle officiel des résidus de pesticides sur et dans les produits d’origine végétale et animale et abrogeant la directive 79/700/CEE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w:t>
            </w:r>
            <w:r>
              <w:rPr>
                <w:rFonts w:ascii="Times New Roman" w:hAnsi="Times New Roman"/>
                <w:noProof/>
                <w:sz w:val="24"/>
              </w:rPr>
              <w:t>ement (UE) nº 37/2010 de la Commission du 22 décembre 2009 relatif aux substances pharmacologiquement actives et à leur classification en ce qui concerne les limites maximales de résidus dans les aliments d’origine animale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rPr>
          <w:trHeight w:val="1375"/>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96/23/CE du Conse</w:t>
            </w:r>
            <w:r>
              <w:rPr>
                <w:rFonts w:ascii="Times New Roman" w:hAnsi="Times New Roman"/>
                <w:noProof/>
                <w:sz w:val="24"/>
              </w:rPr>
              <w:t>il du 29 avril 1996 relative aux mesures de contrôle à mettre en œuvre à l’égard de certaines substances et de leurs résidus dans les animaux vivants et leurs produits et abrogeant les directives 85/358/CEE et 86/469/CEE et les décisions 89/187/CEE et 91/6</w:t>
            </w:r>
            <w:r>
              <w:rPr>
                <w:rFonts w:ascii="Times New Roman" w:hAnsi="Times New Roman"/>
                <w:noProof/>
                <w:sz w:val="24"/>
              </w:rPr>
              <w:t>64/CEE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258/97 du Parlement européen et du Conseil du 27 janvier 1997 relatif aux nouveaux aliments et aux nouveaux ingrédients alimentaires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1999/2/CE du Parlement européen et du Conseil du 22 février 1999 relative au</w:t>
            </w:r>
            <w:r>
              <w:rPr>
                <w:rFonts w:ascii="Times New Roman" w:hAnsi="Times New Roman"/>
                <w:noProof/>
                <w:sz w:val="24"/>
              </w:rPr>
              <w:t xml:space="preserve"> rapprochement des législations des États membres sur les denrées et ingrédients alimentaires traités par ionisation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1999/3/CE du Parlement européen et du Conseil du 22 février 1999 établissant une liste communautaire de denrées et ingrédie</w:t>
            </w:r>
            <w:r>
              <w:rPr>
                <w:rFonts w:ascii="Times New Roman" w:hAnsi="Times New Roman"/>
                <w:noProof/>
                <w:sz w:val="24"/>
              </w:rPr>
              <w:t>nts alimentaires traités par ionisation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Chapitre II - Santé animale</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2010/57/UE de la Commission du 3 février 2010 établissant des garanties sanitaires pour le transit des équidés transportés à travers les territoires mentionnés à </w:t>
            </w:r>
            <w:r>
              <w:rPr>
                <w:rFonts w:ascii="Times New Roman" w:hAnsi="Times New Roman"/>
                <w:noProof/>
                <w:sz w:val="24"/>
              </w:rPr>
              <w:t>l’annexe I de la directive 97/78/CE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2009/712/CE de la Commission du 18 septembre 2009 portant modalités d’application de la directive 2008/73/CE du Conseil en ce qui concerne les pages d’information fondées sur l’internet </w:t>
            </w:r>
            <w:r>
              <w:rPr>
                <w:rFonts w:ascii="Times New Roman" w:hAnsi="Times New Roman"/>
                <w:noProof/>
                <w:sz w:val="24"/>
              </w:rPr>
              <w:t>contenant des listes d’établissements et de laboratoires agréés par les États membres conformément à la législation vétérinaire et zootechnique communautaire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2009/156/CE du Conseil du 30 novembre 2009 relative aux conditions de police sanit</w:t>
            </w:r>
            <w:r>
              <w:rPr>
                <w:rFonts w:ascii="Times New Roman" w:hAnsi="Times New Roman"/>
                <w:noProof/>
                <w:sz w:val="24"/>
              </w:rPr>
              <w:t>aire régissant les mouvements d’équidés et les importations d’équidés en provenance des pays tiers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2004/211/CE de la Commission du 6 janvier 2004 établissant la liste des pays tiers et des parties de territoires de ces pays en provenance </w:t>
            </w:r>
            <w:r>
              <w:rPr>
                <w:rFonts w:ascii="Times New Roman" w:hAnsi="Times New Roman"/>
                <w:noProof/>
                <w:sz w:val="24"/>
              </w:rPr>
              <w:t>desquels les États membres autorisent les importations d’équidés vivants et de sperme, d’ovules et d’embryons de l’espèce équine, et modifiant les décisions 93/195/CEE et 94/63/CE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93/197/CEE de la Commission du 5 février 1993 relative aux co</w:t>
            </w:r>
            <w:r>
              <w:rPr>
                <w:rFonts w:ascii="Times New Roman" w:hAnsi="Times New Roman"/>
                <w:noProof/>
                <w:sz w:val="24"/>
              </w:rPr>
              <w:t>nditions sanitaires et à la certification sanitaire requises pour les importations d’équidés enregistrés ainsi que d’équidés d’élevage et de rente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2010/471/UE de la Commission du 26 août 2001 relative aux importations de sperme, d’ovules et </w:t>
            </w:r>
            <w:r>
              <w:rPr>
                <w:rFonts w:ascii="Times New Roman" w:hAnsi="Times New Roman"/>
                <w:noProof/>
                <w:sz w:val="24"/>
              </w:rPr>
              <w:t>d’embryons d’équidés dans l’Union en ce qui concerne les listes des stations et des centres de collecte et de stockage de sperme et des équipes de collecte et de production d’embryons ainsi que les conditions de certification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64/432/CEE du </w:t>
            </w:r>
            <w:r>
              <w:rPr>
                <w:rFonts w:ascii="Times New Roman" w:hAnsi="Times New Roman"/>
                <w:noProof/>
                <w:sz w:val="24"/>
              </w:rPr>
              <w:t>Conseil du 26 juin 1964 relative à des problèmes de police sanitaire en matière d’échanges intracommunautaires d’animaux des espèces bovine et porcine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89/556/CEE du Conseil du 25 septembre 1989 fixant les conditions de police sanitaire </w:t>
            </w:r>
            <w:r>
              <w:rPr>
                <w:rFonts w:ascii="Times New Roman" w:hAnsi="Times New Roman"/>
                <w:noProof/>
                <w:sz w:val="24"/>
              </w:rPr>
              <w:t>régissant les échanges intracommunautaires et les importations en provenance des pays tiers d’embryons d’animaux domestiques de l’espèce bovine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rPr>
          <w:trHeight w:val="1052"/>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86/474/CEE de la Commission du 11 septembre 1986 relative à la mise en œuvre des contrôles sur pl</w:t>
            </w:r>
            <w:r>
              <w:rPr>
                <w:rFonts w:ascii="Times New Roman" w:hAnsi="Times New Roman"/>
                <w:noProof/>
                <w:sz w:val="24"/>
              </w:rPr>
              <w:t>ace effectués dans le cadre du régime applicable aux importations d’animaux des espèces bovine et porcine ainsi que de viandes fraîches en provenance des pays tiers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64/432/CEE du Conseil du 26 juin 1964 relative à des problèmes de police </w:t>
            </w:r>
            <w:r>
              <w:rPr>
                <w:rFonts w:ascii="Times New Roman" w:hAnsi="Times New Roman"/>
                <w:noProof/>
                <w:sz w:val="24"/>
              </w:rPr>
              <w:t>sanitaire en matière d’échanges intracommunautaires d’animaux des espèces bovine et porcine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rPr>
          <w:trHeight w:val="673"/>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90/429/CEE du Conseil du 26 juin 1990 fixant les exigences de police sanitaire applicables aux échanges intracommunautaires et aux importations de s</w:t>
            </w:r>
            <w:r>
              <w:rPr>
                <w:rFonts w:ascii="Times New Roman" w:hAnsi="Times New Roman"/>
                <w:noProof/>
                <w:sz w:val="24"/>
              </w:rPr>
              <w:t>perme d’animaux de l’espèce porcine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2008/185/CE de la Commission du 21 février 2008 établissant des garanties supplémentaires concernant la maladie d’Aujeszky pour les porcs destinés aux échanges intracommunautaires et fixant les critères re</w:t>
            </w:r>
            <w:r>
              <w:rPr>
                <w:rFonts w:ascii="Times New Roman" w:hAnsi="Times New Roman"/>
                <w:noProof/>
                <w:sz w:val="24"/>
              </w:rPr>
              <w:t>latifs aux renseignements à fournir sur cette maladie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2009/158/CE du Conseil du 30 novembre 2009 relative aux conditions de police sanitaire régissant les échanges intracommunautaires et les importations en provenance des pays tiers de </w:t>
            </w:r>
            <w:r>
              <w:rPr>
                <w:rFonts w:ascii="Times New Roman" w:hAnsi="Times New Roman"/>
                <w:noProof/>
                <w:sz w:val="24"/>
              </w:rPr>
              <w:t>volailles et d’œufs à couver</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798/2008 de la Commission du 8 août 2008 établissant une liste des pays tiers, territoires, zones ou compartiments en provenance desquels les volailles et les produits de volailles peuvent être importés </w:t>
            </w:r>
            <w:r>
              <w:rPr>
                <w:rFonts w:ascii="Times New Roman" w:hAnsi="Times New Roman"/>
                <w:noProof/>
                <w:sz w:val="24"/>
              </w:rPr>
              <w:t>dans la Communauté et transiter par celle-ci ainsi que les règles en matière de certification vétérinaire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2006/605/CE de la Commission du 6 septembre 2006 concernant certaines mesures de protection relatives aux échanges intracommunautaires </w:t>
            </w:r>
            <w:r>
              <w:rPr>
                <w:rFonts w:ascii="Times New Roman" w:hAnsi="Times New Roman"/>
                <w:noProof/>
                <w:sz w:val="24"/>
              </w:rPr>
              <w:t>de volailles destinées à la fourniture de gibier sauvage de repeuplement</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1251/2008 de la Commission du 12 décembre 2008 portant application de la directive 2006/88/CE du Conseil en ce qui concerne les conditions et les exigences de </w:t>
            </w:r>
            <w:r>
              <w:rPr>
                <w:rFonts w:ascii="Times New Roman" w:hAnsi="Times New Roman"/>
                <w:noProof/>
                <w:sz w:val="24"/>
              </w:rPr>
              <w:t>certification applicables à la mise sur le marché et à l’importation dans la Communauté d’animaux d’aquaculture et de produits issus de ces animaux et établissant une liste des espèces vectrices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2006/88/CE du Conseil du 24 octobre 2006 rela</w:t>
            </w:r>
            <w:r>
              <w:rPr>
                <w:rFonts w:ascii="Times New Roman" w:hAnsi="Times New Roman"/>
                <w:noProof/>
                <w:sz w:val="24"/>
              </w:rPr>
              <w:t>tive aux conditions de police sanitaire applicables aux animaux et aux produits d’aquaculture, et relative à la prévention de certaines maladies chez les animaux aquatiques et aux mesures de lutte contre ces maladies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2006/767/CE de la Commis</w:t>
            </w:r>
            <w:r>
              <w:rPr>
                <w:rFonts w:ascii="Times New Roman" w:hAnsi="Times New Roman"/>
                <w:noProof/>
                <w:sz w:val="24"/>
              </w:rPr>
              <w:t>sion du 6 novembre 2006 modifiant les décisions 2003/804/CE et 2003/858/CE en ce qui concerne les exigences de certification relatives aux mollusques vivants et aux poissons vivants issus de l’aquaculture ainsi qu’aux produits qui en sont dérivés, destinés</w:t>
            </w:r>
            <w:r>
              <w:rPr>
                <w:rFonts w:ascii="Times New Roman" w:hAnsi="Times New Roman"/>
                <w:noProof/>
                <w:sz w:val="24"/>
              </w:rPr>
              <w:t xml:space="preserve"> à la consommation humaine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2006/88/CE du Conseil du 24 octobre 2006 relative aux conditions de police sanitaire applicables aux animaux et aux produits d’aquaculture, et relative à la prévention de certaines maladies chez les animaux </w:t>
            </w:r>
            <w:r>
              <w:rPr>
                <w:rFonts w:ascii="Times New Roman" w:hAnsi="Times New Roman"/>
                <w:noProof/>
                <w:sz w:val="24"/>
              </w:rPr>
              <w:t>aquatiques et aux mesures de lutte contre ces maladies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1251/2008 de la Commission du 12 décembre 2008 portant application de la directive 2006/88/CE du Conseil en ce qui concerne les conditions et les exigences de certification appl</w:t>
            </w:r>
            <w:r>
              <w:rPr>
                <w:rFonts w:ascii="Times New Roman" w:hAnsi="Times New Roman"/>
                <w:noProof/>
                <w:sz w:val="24"/>
              </w:rPr>
              <w:t>icables à la mise sur le marché et à l’importation dans la Communauté d’animaux d’aquaculture et de produits issus de ces animaux et établissant une liste des espèces vectrices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853/2004 du Parlement européen et du Conseil du 29 avri</w:t>
            </w:r>
            <w:r>
              <w:rPr>
                <w:rFonts w:ascii="Times New Roman" w:hAnsi="Times New Roman"/>
                <w:noProof/>
                <w:sz w:val="24"/>
              </w:rPr>
              <w:t>l 2004 fixant des règles spécifiques d’hygiène applicables aux denrées alimentaires d’origine animale (chapitre VII)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1251/2008 de la Commission du 12 décembre 2008 portant application de la directive 2006/88/CE du Conseil en ce qui </w:t>
            </w:r>
            <w:r>
              <w:rPr>
                <w:rFonts w:ascii="Times New Roman" w:hAnsi="Times New Roman"/>
                <w:noProof/>
                <w:sz w:val="24"/>
              </w:rPr>
              <w:t>concerne les conditions et les exigences de certification applicables à la mise sur le marché et à l’importation dans la Communauté d’animaux d’aquaculture et de produits issus de ces animaux et établissant une liste des espèces vectrices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w:t>
            </w:r>
            <w:r>
              <w:rPr>
                <w:rFonts w:ascii="Times New Roman" w:hAnsi="Times New Roman"/>
                <w:noProof/>
                <w:sz w:val="24"/>
              </w:rPr>
              <w:t>009/158/CE du Conseil du 30 novembre 2009 relative aux conditions de police sanitaire régissant les échanges intracommunautaires et les importations en provenance des pays tiers de volailles et d’œufs à couver</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88/407/CEE du Conseil du </w:t>
            </w:r>
            <w:r>
              <w:rPr>
                <w:rFonts w:ascii="Times New Roman" w:hAnsi="Times New Roman"/>
                <w:noProof/>
                <w:sz w:val="24"/>
              </w:rPr>
              <w:t>14 juin 1988 fixant les exigences de police sanitaire applicables aux échanges intracommunautaires et aux importations de sperme surgelé d’animaux de l’espèce bovine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92/65/CEE du Conseil du 13 juillet 1992 définissant les conditions de poli</w:t>
            </w:r>
            <w:r>
              <w:rPr>
                <w:rFonts w:ascii="Times New Roman" w:hAnsi="Times New Roman"/>
                <w:noProof/>
                <w:sz w:val="24"/>
              </w:rPr>
              <w:t>ce sanitaire régissant les échanges et les importations dans la Communauté d’animaux, de spermes, d’ovules et d’embryons non soumis, en ce qui concerne les conditions de police sanitaire, aux réglementations communautaires spécifiques visées à l’annexe A s</w:t>
            </w:r>
            <w:r>
              <w:rPr>
                <w:rFonts w:ascii="Times New Roman" w:hAnsi="Times New Roman"/>
                <w:noProof/>
                <w:sz w:val="24"/>
              </w:rPr>
              <w:t>ection I de la directive 90/425/CEE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2004/211/CE de la Commission du 6 janvier 2004 établissant la liste des pays tiers et des parties de territoires de ces pays en provenance desquels les États membres autorisent les importations d’équidés v</w:t>
            </w:r>
            <w:r>
              <w:rPr>
                <w:rFonts w:ascii="Times New Roman" w:hAnsi="Times New Roman"/>
                <w:noProof/>
                <w:sz w:val="24"/>
              </w:rPr>
              <w:t>ivants et de sperme, d’ovules et d’embryons de l’espèce équine, et modifiant les décisions 93/195/CEE et 94/63/CE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d’exécution 2011/630/UE de la Commission du 20 septembre 2011 relative aux importations dans l’Union de sperme d’animaux domest</w:t>
            </w:r>
            <w:r>
              <w:rPr>
                <w:rFonts w:ascii="Times New Roman" w:hAnsi="Times New Roman"/>
                <w:noProof/>
                <w:sz w:val="24"/>
              </w:rPr>
              <w:t>iques de l’espèce bovine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90/429/CEE du Conseil du 26 juin 1990 fixant les exigences de police sanitaire applicables aux échanges intracommunautaires et aux importations de sperme d’animaux de l’espèce porcine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d’exécution 2012</w:t>
            </w:r>
            <w:r>
              <w:rPr>
                <w:rFonts w:ascii="Times New Roman" w:hAnsi="Times New Roman"/>
                <w:noProof/>
                <w:sz w:val="24"/>
              </w:rPr>
              <w:t>/137/UE de la Commission du 1</w:t>
            </w:r>
            <w:r>
              <w:rPr>
                <w:rFonts w:ascii="Times New Roman" w:hAnsi="Times New Roman"/>
                <w:noProof/>
                <w:sz w:val="24"/>
                <w:vertAlign w:val="superscript"/>
              </w:rPr>
              <w:t>er</w:t>
            </w:r>
            <w:r>
              <w:rPr>
                <w:rFonts w:ascii="Times New Roman" w:hAnsi="Times New Roman"/>
                <w:noProof/>
                <w:sz w:val="24"/>
              </w:rPr>
              <w:t> mars 2012 relative à l’importation dans l’Union de sperme d’animaux domestiques de l’espèce porcine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2010/471/UE de la Commission du 26 août 2010 relative aux importations de sperme, d’ovules et d’embryons </w:t>
            </w:r>
            <w:r>
              <w:rPr>
                <w:rFonts w:ascii="Times New Roman" w:hAnsi="Times New Roman"/>
                <w:noProof/>
                <w:sz w:val="24"/>
              </w:rPr>
              <w:t>d’équidés dans l’Union en ce qui concerne les listes des stations et des centres de collecte et de stockage de sperme et des équipes de collecte et de production d’embryons ainsi que les conditions de certification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2010/472/UE de la Commissi</w:t>
            </w:r>
            <w:r>
              <w:rPr>
                <w:rFonts w:ascii="Times New Roman" w:hAnsi="Times New Roman"/>
                <w:noProof/>
                <w:sz w:val="24"/>
              </w:rPr>
              <w:t>on du 26 août 2010 relative aux importations dans l’Union de sperme, d’ovules et d’embryons d’ovins et de caprins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89/556/CEE du Conseil du 25 septembre 1989 fixant les conditions de police sanitaire régissant les échanges intracommunautaire</w:t>
            </w:r>
            <w:r>
              <w:rPr>
                <w:rFonts w:ascii="Times New Roman" w:hAnsi="Times New Roman"/>
                <w:noProof/>
                <w:sz w:val="24"/>
              </w:rPr>
              <w:t>s et les importations en provenance des pays tiers d’embryons d’animaux domestiques de l’espèce bovine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2006/168/CE de la Commission du 4 janvier 2006 établissant les conditions de police sanitaire et la certification vétérinaire relatives à </w:t>
            </w:r>
            <w:r>
              <w:rPr>
                <w:rFonts w:ascii="Times New Roman" w:hAnsi="Times New Roman"/>
                <w:noProof/>
                <w:sz w:val="24"/>
              </w:rPr>
              <w:t>l’importation dans la Communauté d’embryons de bovins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1739/2005 de la Commission du 21 octobre 2005 définissant les conditions de police sanitaire relatives aux mouvements d’animaux de cirque entre les États membres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w:t>
            </w:r>
            <w:r>
              <w:rPr>
                <w:rFonts w:ascii="Times New Roman" w:hAnsi="Times New Roman"/>
                <w:noProof/>
                <w:sz w:val="24"/>
              </w:rPr>
              <w:t>(CE) nº 338/97 du Conseil du 9 décembre 1996 relatif à la protection des espèces de faune et de flore sauvages par le contrôle de leur commerce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2010/270/UE de la Commission du 6 mai 2010 modifiant la première et la deuxième partie de </w:t>
            </w:r>
            <w:r>
              <w:rPr>
                <w:rFonts w:ascii="Times New Roman" w:hAnsi="Times New Roman"/>
                <w:noProof/>
                <w:sz w:val="24"/>
              </w:rPr>
              <w:t>l’annexe E de la directive 92/65/CEE du Conseil relatives aux modèles des certificats sanitaires pour les animaux provenant des exploitations et pour les abeilles et les bourdons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Maladies animales</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92/119/CEE du Conseil du 17 décembre </w:t>
            </w:r>
            <w:r>
              <w:rPr>
                <w:rFonts w:ascii="Times New Roman" w:hAnsi="Times New Roman"/>
                <w:noProof/>
                <w:sz w:val="24"/>
              </w:rPr>
              <w:t>1992 établissant des mesures communautaires générales de lutte contre certaines maladies animales ainsi que des mesures spécifiques à l’égard de la maladie vésiculeuse du porc</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2000/428/CE de la Commission du 4 juillet 2000 établissant des procédures de diagnostic, des méthodes d’échantillonnage et des critères pour l’appréciation des résultats des tests en laboratoire de confirmation et de diagnostic différentiel de la </w:t>
            </w:r>
            <w:r>
              <w:rPr>
                <w:rFonts w:ascii="Times New Roman" w:hAnsi="Times New Roman"/>
                <w:noProof/>
                <w:sz w:val="24"/>
              </w:rPr>
              <w:t>maladie vésiculeuse du porc</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92/119/CEE du Conseil du 17 décembre 1992 établissant des mesures communautaires générales de lutte contre certaines maladies animales ainsi que des mesures spécifiques à l’égard de la maladie vésiculeuse du porc</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82/894/CEE du Conseil du 21 décembre 1982 concernant la notification des maladies des animaux dans la Communauté</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92/35/CEE du Conseil du 29 avril 1992 établissant les règles de contrôle et les mesures de lutte contre la </w:t>
            </w:r>
            <w:r>
              <w:rPr>
                <w:rFonts w:ascii="Times New Roman" w:hAnsi="Times New Roman"/>
                <w:noProof/>
                <w:sz w:val="24"/>
              </w:rPr>
              <w:t>peste équine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2009/3/CE de la Commission du 18 décembre 2008 constituant des réserves communautaires de vaccins contre la peste équine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2000/75/CE du Conseil du 20 novembre 2000 arrêtant des dispositions spécifiques relatives a</w:t>
            </w:r>
            <w:r>
              <w:rPr>
                <w:rFonts w:ascii="Times New Roman" w:hAnsi="Times New Roman"/>
                <w:noProof/>
                <w:sz w:val="24"/>
              </w:rPr>
              <w:t xml:space="preserve">ux mesures de lutte et d’éradication de la fièvre catarrhale du mouton ou </w:t>
            </w:r>
            <w:r>
              <w:rPr>
                <w:rFonts w:ascii="Times New Roman" w:hAnsi="Times New Roman"/>
                <w:i/>
                <w:noProof/>
                <w:sz w:val="24"/>
              </w:rPr>
              <w:t>bluetongue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789/2009 de la Commission du 28 août 2009 modifiant le règlement (CE) nº 1266/2007 en ce qui concerne la protection contre les attaques des vecteur</w:t>
            </w:r>
            <w:r>
              <w:rPr>
                <w:rFonts w:ascii="Times New Roman" w:hAnsi="Times New Roman"/>
                <w:noProof/>
                <w:sz w:val="24"/>
              </w:rPr>
              <w:t>s et les exigences minimales applicables aux programmes de suivi et de surveillance de la fièvre catarrhale du mouton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2008/855/CE de la Commission du 3 novembre 2008 concernant des mesures zoosanitaires de lutte contre la peste porcine class</w:t>
            </w:r>
            <w:r>
              <w:rPr>
                <w:rFonts w:ascii="Times New Roman" w:hAnsi="Times New Roman"/>
                <w:noProof/>
                <w:sz w:val="24"/>
              </w:rPr>
              <w:t>ique dans certains États membres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2001/89/CE du Conseil du 23 octobre 2001 relative à des mesures communautaires de lutte contre la peste porcine classique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92/119/CEE du Conseil du 17 décembre 1992 établissant des mesures </w:t>
            </w:r>
            <w:r>
              <w:rPr>
                <w:rFonts w:ascii="Times New Roman" w:hAnsi="Times New Roman"/>
                <w:noProof/>
                <w:sz w:val="24"/>
              </w:rPr>
              <w:t>communautaires générales de lutte contre certaines maladies animales ainsi que des mesures spécifiques à l’égard de la maladie vésiculeuse du porc</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2005/217/CE de la Commission du 9 mars 2005 établissant les conditions de police sanitaire et </w:t>
            </w:r>
            <w:r>
              <w:rPr>
                <w:rFonts w:ascii="Times New Roman" w:hAnsi="Times New Roman"/>
                <w:noProof/>
                <w:sz w:val="24"/>
              </w:rPr>
              <w:t>la certification vétérinaire relatives à l’importation dans la Communauté d’embryons de bovins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92/119/CEE du Conseil du 17 décembre 1992 établissant des mesures communautaires générales de lutte contre certaines maladies animales ainsi que </w:t>
            </w:r>
            <w:r>
              <w:rPr>
                <w:rFonts w:ascii="Times New Roman" w:hAnsi="Times New Roman"/>
                <w:noProof/>
                <w:sz w:val="24"/>
              </w:rPr>
              <w:t>des mesures spécifiques à l’égard de la maladie vésiculeuse du porc</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82/894/CEE du Conseil du 21 décembre 1982 concernant la notification des maladies des animaux dans la Communauté</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92/260/CEE de la Commission du 10 avril 1992</w:t>
            </w:r>
            <w:r>
              <w:rPr>
                <w:rFonts w:ascii="Times New Roman" w:hAnsi="Times New Roman"/>
                <w:noProof/>
                <w:sz w:val="24"/>
              </w:rPr>
              <w:t xml:space="preserve"> relative aux conditions sanitaires et à la certification sanitaire requises pour l’admission temporaire de chevaux enregistrés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93/197/CEE de la Commission du 5 février 1993 relative aux conditions sanitaires et à la certification sanitaire </w:t>
            </w:r>
            <w:r>
              <w:rPr>
                <w:rFonts w:ascii="Times New Roman" w:hAnsi="Times New Roman"/>
                <w:noProof/>
                <w:sz w:val="24"/>
              </w:rPr>
              <w:t>requises pour les importations d’équidés enregistrés ainsi que d’équidés d’élevage et de rente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2002/60/CE du Conseil du 27 juin 2002 établissant des dispositions spécifiques pour la lutte contre la peste porcine africaine et modifiant la di</w:t>
            </w:r>
            <w:r>
              <w:rPr>
                <w:rFonts w:ascii="Times New Roman" w:hAnsi="Times New Roman"/>
                <w:noProof/>
                <w:sz w:val="24"/>
              </w:rPr>
              <w:t>rective 92/119/CEE, en ce qui concerne la maladie de Teschen et la peste porcine africaine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2003/634/CE de la Commission du 28 août 2003 approuvant des programmes visant à obtenir le statut de zones agréées et de fermes d’élevage agréées </w:t>
            </w:r>
            <w:r>
              <w:rPr>
                <w:rFonts w:ascii="Times New Roman" w:hAnsi="Times New Roman"/>
                <w:noProof/>
                <w:sz w:val="24"/>
              </w:rPr>
              <w:t>situées dans des zones non agréées au regard des maladies des poissons que sont la septicémie hémorragique virale (SHV) et la nécrose hématopoïétique infectieuse (NHI)</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2003/466/CE de la Commission du 13 juin 2003 établissant les critères de </w:t>
            </w:r>
            <w:r>
              <w:rPr>
                <w:rFonts w:ascii="Times New Roman" w:hAnsi="Times New Roman"/>
                <w:noProof/>
                <w:sz w:val="24"/>
              </w:rPr>
              <w:t>zonage et les mesures de surveillance officielle à adopter après suspicion ou confirmation de la présence de l’anémie infectieuse du saumon (AIS)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Identification et enregistrement des animaux</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(UE) 2015/262 de la Commission du </w:t>
            </w:r>
            <w:r>
              <w:rPr>
                <w:rFonts w:ascii="Times New Roman" w:hAnsi="Times New Roman"/>
                <w:noProof/>
                <w:sz w:val="24"/>
              </w:rPr>
              <w:t>17 février 2015 établissant des règles conformément aux directives du Conseil 90/427/CEE et 2009/156/CE en ce qui concerne les méthodes d’identification des équidés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1760/2000 du Parlement européen et du Conseil du 17 juillet 2000 ét</w:t>
            </w:r>
            <w:r>
              <w:rPr>
                <w:rFonts w:ascii="Times New Roman" w:hAnsi="Times New Roman"/>
                <w:noProof/>
                <w:sz w:val="24"/>
              </w:rPr>
              <w:t>ablissant un système d’identification et d’enregistrement des bovins et concernant l’étiquetage de la viande bovine et des produits à base de viande bovine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911/2004 de la Commission du 29 avril 2004 portant dispositions d’exécution </w:t>
            </w:r>
            <w:r>
              <w:rPr>
                <w:rFonts w:ascii="Times New Roman" w:hAnsi="Times New Roman"/>
                <w:noProof/>
                <w:sz w:val="24"/>
              </w:rPr>
              <w:t>du règlement (CE) nº 1760/2000 du Parlement européen et du Conseil en ce qui concerne les marques auriculaires, les passeports et les registres d’exploitation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2006/28/CE de la Commission du 18 janvier 2006 concernant la prolongation du délai</w:t>
            </w:r>
            <w:r>
              <w:rPr>
                <w:rFonts w:ascii="Times New Roman" w:hAnsi="Times New Roman"/>
                <w:noProof/>
                <w:sz w:val="24"/>
              </w:rPr>
              <w:t xml:space="preserve"> maximal prévu pour l’apposition de marques auriculaires sur certains bovins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494/98 de la Commission du 27 février 1998 arrêtant certaines modalités d’application du règlement (CE) nº 820/97 du Conseil concernant l’application de sa</w:t>
            </w:r>
            <w:r>
              <w:rPr>
                <w:rFonts w:ascii="Times New Roman" w:hAnsi="Times New Roman"/>
                <w:noProof/>
                <w:sz w:val="24"/>
              </w:rPr>
              <w:t>nctions administratives minimales dans le cadre du système d’identification et d’enregistrement des bovins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1082/2003 de la Commission du 23 juin 2003 fixant les modalités d’application du règlement (CE) nº 1760/2000 du Parlement eur</w:t>
            </w:r>
            <w:r>
              <w:rPr>
                <w:rFonts w:ascii="Times New Roman" w:hAnsi="Times New Roman"/>
                <w:noProof/>
                <w:sz w:val="24"/>
              </w:rPr>
              <w:t>opéen et du Conseil en ce qui concerne les contrôles minimaux à effectuer dans le cadre du système d’identification et d’enregistrement des bovins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1505/2006 de la Commission du 11 octobre 2006 portant application du règlement (CE) n</w:t>
            </w:r>
            <w:r>
              <w:rPr>
                <w:rFonts w:ascii="Times New Roman" w:hAnsi="Times New Roman"/>
                <w:noProof/>
                <w:sz w:val="24"/>
              </w:rPr>
              <w:t>º 21/2004 du Conseil en ce qui concerne les contrôles minimaux à effectuer en rapport avec l’identification et l’enregistrement des animaux des espèces ovine et caprine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21/2004 du Conseil du 17 décembre 2003 établissant un système </w:t>
            </w:r>
            <w:r>
              <w:rPr>
                <w:rFonts w:ascii="Times New Roman" w:hAnsi="Times New Roman"/>
                <w:noProof/>
                <w:sz w:val="24"/>
              </w:rPr>
              <w:t>d’identification et d’enregistrement des animaux des espèces ovine et caprine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2006/968/CE de la Commission du 15 décembre 2006 portant application du règlement (CE) nº 21/2004 du Conseil en ce qui concerne les lignes directrices et procédure</w:t>
            </w:r>
            <w:r>
              <w:rPr>
                <w:rFonts w:ascii="Times New Roman" w:hAnsi="Times New Roman"/>
                <w:noProof/>
                <w:sz w:val="24"/>
              </w:rPr>
              <w:t>s relatives à l’identification électronique des animaux des espèces ovine et caprine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2008/71/CE du Conseil du 15 juillet 2008 concernant l’identification et l’enregistrement des animaux de l’espèce porcine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rPr>
          <w:trHeight w:val="836"/>
        </w:trPr>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2000/678/CE de la C</w:t>
            </w:r>
            <w:r>
              <w:rPr>
                <w:rFonts w:ascii="Times New Roman" w:hAnsi="Times New Roman"/>
                <w:noProof/>
                <w:sz w:val="24"/>
              </w:rPr>
              <w:t>ommission du 23 octobre 2000 établissant les modalités d’enregistrement des exploitations dans les bases de données nationales concernant les animaux de l’espèce porcine conformément à la directive 64/432/CEE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Sous-produits animaux</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1069/2009 du Parlement européen et du Conseil du 21 octobre 2009 établissant des règles sanitaires applicables aux sous-produits animaux et produits dérivés non destinés à la consommation humaine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142/2011 de la </w:t>
            </w:r>
            <w:r>
              <w:rPr>
                <w:rFonts w:ascii="Times New Roman" w:hAnsi="Times New Roman"/>
                <w:noProof/>
                <w:sz w:val="24"/>
              </w:rPr>
              <w:t>Commission du 25 février 2011 portant application du règlement (CE) nº 1069/2009 du Parlement européen et du Conseil établissant des règles sanitaires applicables aux sous-produits animaux et produits dérivés non destinés à la consommation humaine et porta</w:t>
            </w:r>
            <w:r>
              <w:rPr>
                <w:rFonts w:ascii="Times New Roman" w:hAnsi="Times New Roman"/>
                <w:noProof/>
                <w:sz w:val="24"/>
              </w:rPr>
              <w:t>nt application de la directive 97/78/CE du Conseil en ce qui concerne certains échantillons et articles exemptés des contrôles vétérinaires effectués aux frontières en vertu de cette directive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749/2011 de la Commission du 29 juillet</w:t>
            </w:r>
            <w:r>
              <w:rPr>
                <w:rFonts w:ascii="Times New Roman" w:hAnsi="Times New Roman"/>
                <w:noProof/>
                <w:sz w:val="24"/>
              </w:rPr>
              <w:t xml:space="preserve"> 2011 modifiant le règlement (UE) nº 142/2011 portant application du règlement (CE) nº 1069/2009 du Parlement européen et du Conseil établissant des règles sanitaires applicables aux sous-produits animaux et produits dérivés non destinés à la consommation </w:t>
            </w:r>
            <w:r>
              <w:rPr>
                <w:rFonts w:ascii="Times New Roman" w:hAnsi="Times New Roman"/>
                <w:noProof/>
                <w:sz w:val="24"/>
              </w:rPr>
              <w:t>humaine et portant application de la directive 97/78/CE du Conseil en ce qui concerne certains échantillons et articles exemptés des contrôles vétérinaires effectués aux frontières en vertu de cette directive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2160/2003 du Parlement </w:t>
            </w:r>
            <w:r>
              <w:rPr>
                <w:rFonts w:ascii="Times New Roman" w:hAnsi="Times New Roman"/>
                <w:noProof/>
                <w:sz w:val="24"/>
              </w:rPr>
              <w:t>européen et du Conseil du 17 novembre 2003 sur le contrôle des salmonelles et d’autres agents zoonotiques spécifiques présents dans la chaîne alimentaire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2003/99/CEE du Parlement européen et du Conseil du 17 novembre 2003 sur la </w:t>
            </w:r>
            <w:r>
              <w:rPr>
                <w:rFonts w:ascii="Times New Roman" w:hAnsi="Times New Roman"/>
                <w:noProof/>
                <w:sz w:val="24"/>
              </w:rPr>
              <w:t>surveillance des zoonoses et des agents zoonotiques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Mesures applicables aux aliments pour animaux et additifs pour l’alimentation animale</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183/2005 du Parlement européen et du Conseil du 12 janvier 2005 établissant des exigences </w:t>
            </w:r>
            <w:r>
              <w:rPr>
                <w:rFonts w:ascii="Times New Roman" w:hAnsi="Times New Roman"/>
                <w:noProof/>
                <w:sz w:val="24"/>
              </w:rPr>
              <w:t>en matière d’hygiène des aliments pour 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1831/2003 du Parlement européen et du Conseil du 22 septembre 2003 relatif aux additifs destinés à l’alimentation des 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16/2011 de la Commission du </w:t>
            </w:r>
            <w:r>
              <w:rPr>
                <w:rFonts w:ascii="Times New Roman" w:hAnsi="Times New Roman"/>
                <w:noProof/>
                <w:sz w:val="24"/>
              </w:rPr>
              <w:t>10 janvier 2011 portant modalités d’application relatives au système d’alerte rapide pour les denrées alimentaires et les aliments pour 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429/2008 de la Commission du 25 avril 2008 relatif aux modalités d’application du règlem</w:t>
            </w:r>
            <w:r>
              <w:rPr>
                <w:rFonts w:ascii="Times New Roman" w:hAnsi="Times New Roman"/>
                <w:noProof/>
                <w:sz w:val="24"/>
              </w:rPr>
              <w:t>ent (CE) nº 1831/2003 du Parlement européen et du Conseil en ce qui concerne l’établissement et la présentation des demandes ainsi que l’évaluation et l’autorisation des additifs pour l’alimentation animale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1876/2006 de la Commissio</w:t>
            </w:r>
            <w:r>
              <w:rPr>
                <w:rFonts w:ascii="Times New Roman" w:hAnsi="Times New Roman"/>
                <w:noProof/>
                <w:sz w:val="24"/>
              </w:rPr>
              <w:t>n du 18 décembre 2006 portant autorisation provisoire ou permanente de certains additifs dans l’alimentation des 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378/2005 de la Commission du 4 mars 2005 portant modalités de mise en œuvre du règlement (CE) nº 1831/2003 du P</w:t>
            </w:r>
            <w:r>
              <w:rPr>
                <w:rFonts w:ascii="Times New Roman" w:hAnsi="Times New Roman"/>
                <w:noProof/>
                <w:sz w:val="24"/>
              </w:rPr>
              <w:t>arlement européen et du Conseil s’agissant des fonctions et tâches du laboratoire communautaire de référence concernant les demandes d’autorisation d’additifs pour l’alimentation animale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1270/2009 de la Commission du 21 décembre 200</w:t>
            </w:r>
            <w:r>
              <w:rPr>
                <w:rFonts w:ascii="Times New Roman" w:hAnsi="Times New Roman"/>
                <w:noProof/>
                <w:sz w:val="24"/>
              </w:rPr>
              <w:t>9 concernant l’autorisation permanente de certains additifs dans l’alimentation des 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892/2010 de la Commission du 8 octobre 2010 concernant le statut de certains produits au regard des additifs pour l’alimentation animale rel</w:t>
            </w:r>
            <w:r>
              <w:rPr>
                <w:rFonts w:ascii="Times New Roman" w:hAnsi="Times New Roman"/>
                <w:noProof/>
                <w:sz w:val="24"/>
              </w:rPr>
              <w:t>evant du champ d’application du règlement (CE) nº 1831/2003 du Parlement européen et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767/2009 du Parlement européen et du Conseil du 13 juillet 2009 concernant la mise sur le marché et l’utilisation des aliments pour </w:t>
            </w:r>
            <w:r>
              <w:rPr>
                <w:rFonts w:ascii="Times New Roman" w:hAnsi="Times New Roman"/>
                <w:noProof/>
                <w:sz w:val="24"/>
              </w:rPr>
              <w:t>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2008/38/CE de la Commission du 5 mars 2008 établissant une liste des destinations des aliments pour animaux visant des objectifs nutritionnels particuliers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Recommandation 2011/25/UE de la Commission du 14 janvier 2011 arrêtant</w:t>
            </w:r>
            <w:r>
              <w:rPr>
                <w:rFonts w:ascii="Times New Roman" w:hAnsi="Times New Roman"/>
                <w:noProof/>
                <w:sz w:val="24"/>
              </w:rPr>
              <w:t xml:space="preserve"> des lignes directrices pour la distinction entre les matières premières pour aliments des animaux, les additifs pour l’alimentation animale, les produits biocides et les médicaments vétérinaires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68/2013 de la Commission du 16 janvi</w:t>
            </w:r>
            <w:r>
              <w:rPr>
                <w:rFonts w:ascii="Times New Roman" w:hAnsi="Times New Roman"/>
                <w:noProof/>
                <w:sz w:val="24"/>
              </w:rPr>
              <w:t>er 2013 relatif au catalogue des matières premières pour aliments des 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Recommandation 2004/704/CE de la Commission du 11 octobre 2004 relative au contrôle des niveaux de fond de dioxines et de PCB de type dioxine dans les aliments pour 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90/167/CEE du Conseil du 26 mars 1990 établissant les conditions de préparation, de mise sur le marché et d’utilisation des aliments médicamenteux pour animaux dans la Communauté</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2001/82/CE du Parlement européen et du </w:t>
            </w:r>
            <w:r>
              <w:rPr>
                <w:rFonts w:ascii="Times New Roman" w:hAnsi="Times New Roman"/>
                <w:noProof/>
                <w:sz w:val="24"/>
              </w:rPr>
              <w:t>Conseil du 6 novembre 2001 instituant un code communautaire relatif aux médicaments vétérinaires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2004/28/CE du Parlement européen et du Conseil du 31 mars 2004 modifiant la directive 2001/82/CE instituant un code communautaire relatif aux m</w:t>
            </w:r>
            <w:r>
              <w:rPr>
                <w:rFonts w:ascii="Times New Roman" w:hAnsi="Times New Roman"/>
                <w:noProof/>
                <w:sz w:val="24"/>
              </w:rPr>
              <w:t>édicaments vétérinaires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37/2010 de la Commission du 22 décembre 2009 relatif aux substances pharmacologiquement actives et à leur classification en ce qui concerne les limites maximales de résidus dans les aliments d’origine animale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470/2009 du Parlement européen et du Conseil du 6 mai 2009 établissant des procédures communautaires pour la fixation des limites de résidus des substances pharmacologiquement actives dans les aliments d’origine animale, abrogeant </w:t>
            </w:r>
            <w:r>
              <w:rPr>
                <w:rFonts w:ascii="Times New Roman" w:hAnsi="Times New Roman"/>
                <w:noProof/>
                <w:sz w:val="24"/>
              </w:rPr>
              <w:t>le règlement (CEE) nº 2377/90 du Conseil et modifiant la directive 2001/82/CE du Parlement européen et du Conseil et le règlement (CE) nº 726/2004 du Parlement européen et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Bien-être des animaux</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1099/2009 du Conseil du </w:t>
            </w:r>
            <w:r>
              <w:rPr>
                <w:rFonts w:ascii="Times New Roman" w:hAnsi="Times New Roman"/>
                <w:noProof/>
                <w:sz w:val="24"/>
              </w:rPr>
              <w:t>24 septembre 2009 sur la protection des animaux au moment de leur mise à mort</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d’exécution 2013/188/UE de la Commission du 18 avril 2013 relative aux rapports annuels à établir concernant les inspections non discriminatoires réalisées conform</w:t>
            </w:r>
            <w:r>
              <w:rPr>
                <w:rFonts w:ascii="Times New Roman" w:hAnsi="Times New Roman"/>
                <w:noProof/>
                <w:sz w:val="24"/>
              </w:rPr>
              <w:t>ément au règlement (CE) nº 1/2005 du Conseil relatif à la protection des animaux pendant le transport et les opérations annexes et modifiant les directives 64/432/CEE et 93/119/CE et le règlement (CE) nº 1255/97</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2006/778/CE de la Commission </w:t>
            </w:r>
            <w:r>
              <w:rPr>
                <w:rFonts w:ascii="Times New Roman" w:hAnsi="Times New Roman"/>
                <w:noProof/>
                <w:sz w:val="24"/>
              </w:rPr>
              <w:t>du 14 novembre 2006 concernant les exigences minimales relatives à la collecte d’informations lors des inspections de sites de production de certains animaux d’élevage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1999/74/CE du Conseil du 19 juillet 1999 établissant les normes minimale</w:t>
            </w:r>
            <w:r>
              <w:rPr>
                <w:rFonts w:ascii="Times New Roman" w:hAnsi="Times New Roman"/>
                <w:noProof/>
                <w:sz w:val="24"/>
              </w:rPr>
              <w:t>s relatives à la protection des poules pondeuses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2002/4/CE de la Commission du 30 janvier 2002 concernant l’enregistrement des établissements d’élevage de poules pondeuses relevant de la directive 1999/74/CE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2007/</w:t>
            </w:r>
            <w:r>
              <w:rPr>
                <w:rFonts w:ascii="Times New Roman" w:hAnsi="Times New Roman"/>
                <w:noProof/>
                <w:sz w:val="24"/>
              </w:rPr>
              <w:t>43/CE du Conseil du 28 juin 2007 fixant des règles minimales relatives à la protection des poulets destinés à la production de viande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2008/119/CE du Conseil du 18 décembre 2008 établissant les normes minimales relatives à la protection des </w:t>
            </w:r>
            <w:r>
              <w:rPr>
                <w:rFonts w:ascii="Times New Roman" w:hAnsi="Times New Roman"/>
                <w:noProof/>
                <w:sz w:val="24"/>
              </w:rPr>
              <w:t>veaux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2016</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2008/120/CE du Conseil du 18 décembre 2008 établissant les normes minimales relatives à la protection des porcs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1/2005 du Conseil du 22 décembre 2004 relatif à la protection des animaux pendant le transport et </w:t>
            </w:r>
            <w:r>
              <w:rPr>
                <w:rFonts w:ascii="Times New Roman" w:hAnsi="Times New Roman"/>
                <w:noProof/>
                <w:sz w:val="24"/>
              </w:rPr>
              <w:t>les opérations annexes et modifiant les directives 64/432/CEE et 93/119/CE et le règlement (CE) nº 1255/97</w:t>
            </w:r>
          </w:p>
        </w:tc>
        <w:tc>
          <w:tcPr>
            <w:tcW w:w="3792" w:type="dxa"/>
            <w:shd w:val="clear" w:color="auto" w:fill="auto"/>
          </w:tcPr>
          <w:p w:rsidR="00B53FBF" w:rsidRDefault="005E5E94">
            <w:pPr>
              <w:pStyle w:val="BalloonText"/>
              <w:jc w:val="center"/>
              <w:rPr>
                <w:rFonts w:ascii="Times New Roman" w:hAnsi="Times New Roman"/>
                <w:noProof/>
                <w:color w:val="000000"/>
                <w:sz w:val="24"/>
                <w:szCs w:val="24"/>
              </w:rPr>
            </w:pPr>
            <w:r>
              <w:rPr>
                <w:rFonts w:ascii="Times New Roman" w:hAnsi="Times New Roman"/>
                <w:noProof/>
                <w:color w:val="000000"/>
                <w:sz w:val="24"/>
              </w:rPr>
              <w:t>2016</w:t>
            </w:r>
          </w:p>
        </w:tc>
      </w:tr>
      <w:tr w:rsidR="00B53FBF">
        <w:tc>
          <w:tcPr>
            <w:tcW w:w="9287" w:type="dxa"/>
            <w:gridSpan w:val="2"/>
            <w:shd w:val="clear" w:color="auto" w:fill="auto"/>
          </w:tcPr>
          <w:p w:rsidR="00B53FBF" w:rsidRDefault="00B53FBF">
            <w:pPr>
              <w:pStyle w:val="BalloonText"/>
              <w:jc w:val="left"/>
              <w:rPr>
                <w:rFonts w:ascii="Times New Roman" w:hAnsi="Times New Roman"/>
                <w:noProof/>
                <w:sz w:val="24"/>
                <w:szCs w:val="24"/>
              </w:rPr>
            </w:pPr>
          </w:p>
          <w:p w:rsidR="00B53FBF" w:rsidRDefault="005E5E94">
            <w:pPr>
              <w:pStyle w:val="BalloonText"/>
              <w:jc w:val="center"/>
              <w:rPr>
                <w:rFonts w:ascii="Times New Roman" w:hAnsi="Times New Roman"/>
                <w:noProof/>
                <w:sz w:val="24"/>
                <w:szCs w:val="24"/>
              </w:rPr>
            </w:pPr>
            <w:r>
              <w:rPr>
                <w:rFonts w:ascii="Times New Roman" w:hAnsi="Times New Roman"/>
                <w:noProof/>
                <w:sz w:val="24"/>
              </w:rPr>
              <w:t>Chapitre III - Mesures phytosanitaires</w:t>
            </w:r>
          </w:p>
          <w:p w:rsidR="00B53FBF" w:rsidRDefault="00B53FBF">
            <w:pPr>
              <w:pStyle w:val="BalloonText"/>
              <w:jc w:val="left"/>
              <w:rPr>
                <w:rFonts w:ascii="Times New Roman" w:hAnsi="Times New Roman"/>
                <w:noProof/>
                <w:sz w:val="24"/>
                <w:szCs w:val="24"/>
              </w:rPr>
            </w:pP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2000/29/CE du Conseil du 8 mai 2000 concernant les mesures de protection contre </w:t>
            </w:r>
            <w:r>
              <w:rPr>
                <w:rFonts w:ascii="Times New Roman" w:hAnsi="Times New Roman"/>
                <w:noProof/>
                <w:sz w:val="24"/>
              </w:rPr>
              <w:t>l’introduction dans la Communauté d’organismes nuisibles aux végétaux ou aux produits végétaux et contre leur propagation à l’intérieur de la Communauté</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d’exécution 2014/83/UE de la Commission du 25 juin 2014 modifiant les annexes I, II, II</w:t>
            </w:r>
            <w:r>
              <w:rPr>
                <w:rFonts w:ascii="Times New Roman" w:hAnsi="Times New Roman"/>
                <w:noProof/>
                <w:sz w:val="24"/>
              </w:rPr>
              <w:t>I, IV et V de la directive 2000/29/CE du Conseil concernant les mesures de protection contre l’introduction dans la Communauté d’organismes nuisibles aux végétaux ou aux produits végétaux et contre leur propagation à l’intérieur de la Communauté</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98/22/CE de la Commission du 15 avril 1998 fixant les conditions minimales pour la réalisation des contrôles phytosanitaires dans la Communauté, à des postes d’inspection autres que ceux situés au lieu de destination, de végétaux, produits végéta</w:t>
            </w:r>
            <w:r>
              <w:rPr>
                <w:rFonts w:ascii="Times New Roman" w:hAnsi="Times New Roman"/>
                <w:noProof/>
                <w:sz w:val="24"/>
              </w:rPr>
              <w:t>ux ou autres objets en provenance de pays tiers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92/90/CEE de la Commission du 3 novembre 1992 établissant certaines obligations auxquelles sont soumis les producteurs et importateurs de végétaux, produits végétaux ou autres objets ainsi que</w:t>
            </w:r>
            <w:r>
              <w:rPr>
                <w:rFonts w:ascii="Times New Roman" w:hAnsi="Times New Roman"/>
                <w:noProof/>
                <w:sz w:val="24"/>
              </w:rPr>
              <w:t xml:space="preserve"> les modalités de leur immatriculation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93/51/CEE de la Commission du 24 juin 1993 établissant des règles pour la circulation de certains végétaux, produits végétaux ou autres objets traversant une zone protégée et pour la circulation de tel</w:t>
            </w:r>
            <w:r>
              <w:rPr>
                <w:rFonts w:ascii="Times New Roman" w:hAnsi="Times New Roman"/>
                <w:noProof/>
                <w:sz w:val="24"/>
              </w:rPr>
              <w:t>s végétaux, produits végétaux ou autres objets originaires de et circulant à l’intérieur d’une telle zone protégée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92/105/CEE de la Commission du 3 décembre 1992 établissant une certaine normalisation des passeports phytosanitaires à utilis</w:t>
            </w:r>
            <w:r>
              <w:rPr>
                <w:rFonts w:ascii="Times New Roman" w:hAnsi="Times New Roman"/>
                <w:noProof/>
                <w:sz w:val="24"/>
              </w:rPr>
              <w:t>er pour les mouvements de certains végétaux, produits végétaux ou autres objets à l’intérieur de la Communauté et fixant les modalités relatives à la délivrance de tels passeports phytosanitaires, ainsi que les conditions et modalités de leur remplacement</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2004/102/CE de la Commission du 5 octobre 2004 modifiant les annexes II, III, IV et V de la directive 2000/29/CE du Conseil concernant les mesures de protection contre l’introduction dans la Communauté d’organismes nuisibles aux végétaux ou</w:t>
            </w:r>
            <w:r>
              <w:rPr>
                <w:rFonts w:ascii="Times New Roman" w:hAnsi="Times New Roman"/>
                <w:noProof/>
                <w:sz w:val="24"/>
              </w:rPr>
              <w:t xml:space="preserve"> aux produits végétaux et contre leur propagation à l’intérieur de la Communauté</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94/3/CE de la Commission du 21 janvier 1994 établissant une procédure de notification d’interception d’un envoi ou d’un organisme nuisible en provenance de pay</w:t>
            </w:r>
            <w:r>
              <w:rPr>
                <w:rFonts w:ascii="Times New Roman" w:hAnsi="Times New Roman"/>
                <w:noProof/>
                <w:sz w:val="24"/>
              </w:rPr>
              <w:t>s tiers et présentant un danger phytosanitaire imminent</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2004/103/CE de la Commission du 7 octobre 2004 relative aux contrôles d’identité et aux contrôles sanitaires des végétaux, produits végétaux et autres objets inscrits à l’annexe V, par</w:t>
            </w:r>
            <w:r>
              <w:rPr>
                <w:rFonts w:ascii="Times New Roman" w:hAnsi="Times New Roman"/>
                <w:noProof/>
                <w:sz w:val="24"/>
              </w:rPr>
              <w:t>tie B, de la directive 2000/29/CE du Conseil, qui peuvent être effectués dans un autre lieu que le point d’entrée dans la Communauté ou dans un endroit situé à proximité, et établissant les conditions régissant ces contrôles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2004/105/CE de </w:t>
            </w:r>
            <w:r>
              <w:rPr>
                <w:rFonts w:ascii="Times New Roman" w:hAnsi="Times New Roman"/>
                <w:noProof/>
                <w:sz w:val="24"/>
              </w:rPr>
              <w:t xml:space="preserve">la Commission du 15 octobre 2004 établissant les modèles de certificats phytosanitaires ou de certificats phytosanitaires de réexportation officiels, accompagnant des végétaux, des produits végétaux ou autres objets réglementés par la directive 2000/29/CE </w:t>
            </w:r>
            <w:r>
              <w:rPr>
                <w:rFonts w:ascii="Times New Roman" w:hAnsi="Times New Roman"/>
                <w:noProof/>
                <w:sz w:val="24"/>
              </w:rPr>
              <w:t>du Conseil, en provenance de pays tiers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2018</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69/464/CEE du Conseil du 8 décembre 1969 concernant la lutte contre la galle verruqueuse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93/85/CEE du Conseil du 4 octobre 1993 concernant la lutte contre le flétrissement bactérien de</w:t>
            </w:r>
            <w:r>
              <w:rPr>
                <w:rFonts w:ascii="Times New Roman" w:hAnsi="Times New Roman"/>
                <w:noProof/>
                <w:sz w:val="24"/>
              </w:rPr>
              <w:t xml:space="preserve"> la pomme de terre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98/57/CE du Conseil du 20 juillet 1998 concernant la lutte contre </w:t>
            </w:r>
            <w:r>
              <w:rPr>
                <w:rFonts w:ascii="Times New Roman" w:hAnsi="Times New Roman"/>
                <w:i/>
                <w:noProof/>
                <w:sz w:val="24"/>
              </w:rPr>
              <w:t>Ralstonia solanacearum (Smith) Yabuuchi et al.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2007/33/CE du Conseil du 11 juin 2007 concernant la lutte contre les nématodes à kystes de l</w:t>
            </w:r>
            <w:r>
              <w:rPr>
                <w:rFonts w:ascii="Times New Roman" w:hAnsi="Times New Roman"/>
                <w:noProof/>
                <w:sz w:val="24"/>
              </w:rPr>
              <w:t>a pomme de terre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d’exécution 2011/787/UE de la Commission du 29 novembre 2011 autorisant les États membres à prendre provisoirement des mesures d’urgence en vue de se protéger contre la propagation de </w:t>
            </w:r>
            <w:r>
              <w:rPr>
                <w:rFonts w:ascii="Times New Roman" w:hAnsi="Times New Roman"/>
                <w:i/>
                <w:noProof/>
                <w:sz w:val="24"/>
              </w:rPr>
              <w:t>Ralstonia solanacearum</w:t>
            </w:r>
            <w:r>
              <w:rPr>
                <w:rFonts w:ascii="Times New Roman" w:hAnsi="Times New Roman"/>
                <w:noProof/>
                <w:sz w:val="24"/>
              </w:rPr>
              <w:t xml:space="preserve"> (Smith) Yabuuchi et al. en provenance d’Égypte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d’exécution 2012/535/UE de la Commission du 26 septembre 2012 relative aux mesures d’urgence destinées à prévenir la propagation, dans l’Union, de </w:t>
            </w:r>
            <w:r>
              <w:rPr>
                <w:rFonts w:ascii="Times New Roman" w:hAnsi="Times New Roman"/>
                <w:i/>
                <w:noProof/>
                <w:sz w:val="24"/>
              </w:rPr>
              <w:t>Bursaphelenchus xylophilus</w:t>
            </w:r>
            <w:r>
              <w:rPr>
                <w:rFonts w:ascii="Times New Roman" w:hAnsi="Times New Roman"/>
                <w:noProof/>
                <w:sz w:val="24"/>
              </w:rPr>
              <w:t xml:space="preserve"> (Steiner et Buhrer)</w:t>
            </w:r>
            <w:r>
              <w:rPr>
                <w:rFonts w:ascii="Times New Roman" w:hAnsi="Times New Roman"/>
                <w:noProof/>
                <w:sz w:val="24"/>
              </w:rPr>
              <w:t xml:space="preserve"> Nickle </w:t>
            </w:r>
            <w:r>
              <w:rPr>
                <w:rFonts w:ascii="Times New Roman" w:hAnsi="Times New Roman"/>
                <w:i/>
                <w:noProof/>
                <w:sz w:val="24"/>
              </w:rPr>
              <w:t>et al.</w:t>
            </w:r>
            <w:r>
              <w:rPr>
                <w:rFonts w:ascii="Times New Roman" w:hAnsi="Times New Roman"/>
                <w:noProof/>
                <w:sz w:val="24"/>
              </w:rPr>
              <w:t xml:space="preserve"> (nématode du pin)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d’exécution 2012/138/UE de la Commission du 1</w:t>
            </w:r>
            <w:r>
              <w:rPr>
                <w:rFonts w:ascii="Times New Roman" w:hAnsi="Times New Roman"/>
                <w:noProof/>
                <w:sz w:val="24"/>
                <w:vertAlign w:val="superscript"/>
              </w:rPr>
              <w:t>er</w:t>
            </w:r>
            <w:r>
              <w:rPr>
                <w:rFonts w:ascii="Times New Roman" w:hAnsi="Times New Roman"/>
                <w:noProof/>
                <w:sz w:val="24"/>
              </w:rPr>
              <w:t> mars 2012 relative à des mesures d’urgence destinées à éviter l’introduction et la propagation d’</w:t>
            </w:r>
            <w:r>
              <w:rPr>
                <w:rFonts w:ascii="Times New Roman" w:hAnsi="Times New Roman"/>
                <w:i/>
                <w:noProof/>
                <w:sz w:val="24"/>
              </w:rPr>
              <w:t>Anoplophora chinensis</w:t>
            </w:r>
            <w:r>
              <w:rPr>
                <w:rFonts w:ascii="Times New Roman" w:hAnsi="Times New Roman"/>
                <w:noProof/>
                <w:sz w:val="24"/>
              </w:rPr>
              <w:t xml:space="preserve"> (Forster) dans l’Union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w:t>
            </w:r>
            <w:r>
              <w:rPr>
                <w:rFonts w:ascii="Times New Roman" w:hAnsi="Times New Roman"/>
                <w:noProof/>
                <w:sz w:val="24"/>
              </w:rPr>
              <w:t>(CE) nº 1756/2004 de la Commission du 11 octobre 2004 fixant les conditions spécifiques relatives aux éléments probants requis et les critères relatifs aux type et niveau de réduction des contrôles phytosanitaires de certains végétaux, produits végétaux ou</w:t>
            </w:r>
            <w:r>
              <w:rPr>
                <w:rFonts w:ascii="Times New Roman" w:hAnsi="Times New Roman"/>
                <w:noProof/>
                <w:sz w:val="24"/>
              </w:rPr>
              <w:t xml:space="preserve"> autres objets énumérés à l’annexe V, partie B, de la directive 2000/29/CE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2008/61/CE de la Commission du 17 juin 2008 fixant les conditions dans lesquelles certains organismes nuisibles, végétaux, produits végétaux et autres obj</w:t>
            </w:r>
            <w:r>
              <w:rPr>
                <w:rFonts w:ascii="Times New Roman" w:hAnsi="Times New Roman"/>
                <w:noProof/>
                <w:sz w:val="24"/>
              </w:rPr>
              <w:t>ets énumérés aux annexes I à V de la directive 2000/29/CE du Conseil peuvent être introduits ou circuler dans la Communauté ou dans certaines zones protégées de la Communauté pour des travaux à des fins d’essai ou à des fins scientifiques ou pour des trava</w:t>
            </w:r>
            <w:r>
              <w:rPr>
                <w:rFonts w:ascii="Times New Roman" w:hAnsi="Times New Roman"/>
                <w:noProof/>
                <w:sz w:val="24"/>
              </w:rPr>
              <w:t>ux sur les sélections variétales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97/46/CE de la Commission du 25 juillet 1997 modifiant la directive 95/44/CE fixant les conditions dans lesquelles certains organismes nuisibles, végétaux, produits végétaux et autres objets énumérés aux ann</w:t>
            </w:r>
            <w:r>
              <w:rPr>
                <w:rFonts w:ascii="Times New Roman" w:hAnsi="Times New Roman"/>
                <w:noProof/>
                <w:sz w:val="24"/>
              </w:rPr>
              <w:t>exes I à V de la directive 77/93/CEE du Conseil peuvent être introduits ou circuler dans la Communauté ou dans certaines zones protégées de la Communauté pour des travaux à des fins d’essai ou à des fins scientifiques ou pour des travaux sur les sélections</w:t>
            </w:r>
            <w:r>
              <w:rPr>
                <w:rFonts w:ascii="Times New Roman" w:hAnsi="Times New Roman"/>
                <w:noProof/>
                <w:sz w:val="24"/>
              </w:rPr>
              <w:t xml:space="preserve"> variétales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2020</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2100/94 du Conseil du 27 juillet 1994 instituant un régime de protection communautaire des obtentions végétales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2506/95 du Conseil du 25 octobre 1995 modifiant le règlement (CE) nº 2100/94 </w:t>
            </w:r>
            <w:r>
              <w:rPr>
                <w:rFonts w:ascii="Times New Roman" w:hAnsi="Times New Roman"/>
                <w:noProof/>
                <w:sz w:val="24"/>
              </w:rPr>
              <w:t>instituant un régime de protection communautaire des obtentions végétales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2470/96 du Conseil du 17 décembre 1996 prorogeant la durée de la protection communautaire des obtentions végétales en ce qui concerne les pommes de terre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1238/95 de la Commission du 31 mai 1995 établissant les règles d’exécution du règlement (CE) nº 2100/94 du Conseil en ce qui concerne les taxes dues à l’Office communautaire des variétés végétales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1768/95 de la C</w:t>
            </w:r>
            <w:r>
              <w:rPr>
                <w:rFonts w:ascii="Times New Roman" w:hAnsi="Times New Roman"/>
                <w:noProof/>
                <w:sz w:val="24"/>
              </w:rPr>
              <w:t>ommission du 24 juillet 1995 établissant les modalités d’application de la dérogation prévue à l’article 14, paragraphe 3 du règlement (CE) nº 2100/94 du Conseil instituant un régime de protection communautaire des obtentions végétales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w:t>
            </w:r>
            <w:r>
              <w:rPr>
                <w:rFonts w:ascii="Times New Roman" w:hAnsi="Times New Roman"/>
                <w:noProof/>
                <w:sz w:val="24"/>
              </w:rPr>
              <w:t xml:space="preserve"> nº 874/2009 de la Commission du 17 septembre 2009 établissant les modalités d’application du règlement (CE) nº 2100/94 du Conseil en ce qui concerne la procédure devant l’Office communautaire des variétés végétales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2605/98 de la </w:t>
            </w:r>
            <w:r>
              <w:rPr>
                <w:rFonts w:ascii="Times New Roman" w:hAnsi="Times New Roman"/>
                <w:noProof/>
                <w:sz w:val="24"/>
              </w:rPr>
              <w:t xml:space="preserve">Commission du 3 décembre 1998 modifiant le règlement (CE) nº 1768/95 établissant les modalités d’application de la dérogation prévue à l’article 14, paragraphe 3, du règlement (CE) nº 2100/94 du Conseil instituant un régime de protection communautaire des </w:t>
            </w:r>
            <w:r>
              <w:rPr>
                <w:rFonts w:ascii="Times New Roman" w:hAnsi="Times New Roman"/>
                <w:noProof/>
                <w:sz w:val="24"/>
              </w:rPr>
              <w:t>obtentions végétales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188/2011 de la Commission du 25 février 2011 portant modalités d’application de la directive 91/414/CEE du Conseil en ce qui concerne la procédure d’évaluation des substances actives qui n’étaient pas sur le mar</w:t>
            </w:r>
            <w:r>
              <w:rPr>
                <w:rFonts w:ascii="Times New Roman" w:hAnsi="Times New Roman"/>
                <w:noProof/>
                <w:sz w:val="24"/>
              </w:rPr>
              <w:t>ché deux ans après la date de notification de ladite directive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(UE) nº 540/2011 de la Commission du 25 mai 2011 portant application du règlement (CE) nº 1107/2009 du Parlement européen et du Conseil, en ce qui concerne la liste </w:t>
            </w:r>
            <w:r>
              <w:rPr>
                <w:rFonts w:ascii="Times New Roman" w:hAnsi="Times New Roman"/>
                <w:noProof/>
                <w:sz w:val="24"/>
              </w:rPr>
              <w:t>des substances actives approuvées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541/2011 de la Commission du 1</w:t>
            </w:r>
            <w:r>
              <w:rPr>
                <w:rFonts w:ascii="Times New Roman" w:hAnsi="Times New Roman"/>
                <w:noProof/>
                <w:sz w:val="24"/>
                <w:vertAlign w:val="superscript"/>
              </w:rPr>
              <w:t>er</w:t>
            </w:r>
            <w:r>
              <w:rPr>
                <w:rFonts w:ascii="Times New Roman" w:hAnsi="Times New Roman"/>
                <w:noProof/>
                <w:sz w:val="24"/>
              </w:rPr>
              <w:t> juin 2011 modifiant le règlement d’exécution (UE) nº 540/2011 portant exécution du règlement (CE) nº 1107/2009 du Parlement européen et du Conseil ce qui</w:t>
            </w:r>
            <w:r>
              <w:rPr>
                <w:rFonts w:ascii="Times New Roman" w:hAnsi="Times New Roman"/>
                <w:noProof/>
                <w:sz w:val="24"/>
              </w:rPr>
              <w:t xml:space="preserve"> concerne la liste des substances actives approuvées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(UE) nº 544/2011 de la Commission du 10 juin 2011 portant application du règlement (CE) nº 1107/2009 du Parlement européen et du Conseil en ce qui concerne les exigences en matière de don</w:t>
            </w:r>
            <w:r>
              <w:rPr>
                <w:rFonts w:ascii="Times New Roman" w:hAnsi="Times New Roman"/>
                <w:noProof/>
                <w:sz w:val="24"/>
              </w:rPr>
              <w:t>nées applicables aux substances actives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545/2011 de la Commission du 10 juin 2011 portant application du règlement (CE) nº 1107/2009 du Parlement européen et du Conseil en ce qui concerne les exigences en matière de données </w:t>
            </w:r>
            <w:r>
              <w:rPr>
                <w:rFonts w:ascii="Times New Roman" w:hAnsi="Times New Roman"/>
                <w:noProof/>
                <w:sz w:val="24"/>
              </w:rPr>
              <w:t>applicables aux produits phytopharmaceutiques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(UE) nº 547/2011 de la Commission du 8 juin 2011 portant application du règlement (CE) nº 1107/2009 du Parlement européen et du Conseil concernant les exigences en matière d’étiquetage de </w:t>
            </w:r>
            <w:r>
              <w:rPr>
                <w:rFonts w:ascii="Times New Roman" w:hAnsi="Times New Roman"/>
                <w:noProof/>
                <w:sz w:val="24"/>
              </w:rPr>
              <w:t>produits phytopharmaceutiques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702/2011 de la Commission du 20 juillet 2011 portant approbation de la substance active prohexadione, conformément au règlement (CE) nº 1107/2009 du Parlement européen et du Conseil concerna</w:t>
            </w:r>
            <w:r>
              <w:rPr>
                <w:rFonts w:ascii="Times New Roman" w:hAnsi="Times New Roman"/>
                <w:noProof/>
                <w:sz w:val="24"/>
              </w:rPr>
              <w:t>nt la mise sur le marché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703/2011 de la Commission du 20 juillet 2011 portant approbation de la substanc</w:t>
            </w:r>
            <w:r>
              <w:rPr>
                <w:rFonts w:ascii="Times New Roman" w:hAnsi="Times New Roman"/>
                <w:noProof/>
                <w:sz w:val="24"/>
              </w:rPr>
              <w:t>e active azoxystrobine, conformément au règlement (CE) nº 1107/2009 du Parlement européen et du Conseil concernant la mise sur le marché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w:t>
            </w:r>
            <w:r>
              <w:rPr>
                <w:rFonts w:ascii="Times New Roman" w:hAnsi="Times New Roman"/>
                <w:noProof/>
                <w:sz w:val="24"/>
              </w:rPr>
              <w:t>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704/2011 de la Commission du 20 juillet 2011 portant approbation de la substance active azimsulfuron, conformément au règlement (CE) nº 1107/2009 du Parlement européen et du Conseil concernant la mise sur le marché des prod</w:t>
            </w:r>
            <w:r>
              <w:rPr>
                <w:rFonts w:ascii="Times New Roman" w:hAnsi="Times New Roman"/>
                <w:noProof/>
                <w:sz w:val="24"/>
              </w:rPr>
              <w:t>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705/2011 de la Commission du 20 juillet 2011 portant approbation de la substance active imazalil, conformément a</w:t>
            </w:r>
            <w:r>
              <w:rPr>
                <w:rFonts w:ascii="Times New Roman" w:hAnsi="Times New Roman"/>
                <w:noProof/>
                <w:sz w:val="24"/>
              </w:rPr>
              <w:t>u règlement (CE) nº 1107/2009 du Parlement européen et du Conseil concernant la mise sur le marché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(UE) </w:t>
            </w:r>
            <w:r>
              <w:rPr>
                <w:rFonts w:ascii="Times New Roman" w:hAnsi="Times New Roman"/>
                <w:noProof/>
                <w:sz w:val="24"/>
              </w:rPr>
              <w:t>nº 706/2011 de la Commission du 20 juillet 2011 approuvant la substance active profoxydime, conformément au règlement (CE) nº 1107/2009 du Parlement européen et du Conseil concernant la mise sur le marché des produits phytopharmaceutiques, et modifiant l’a</w:t>
            </w:r>
            <w:r>
              <w:rPr>
                <w:rFonts w:ascii="Times New Roman" w:hAnsi="Times New Roman"/>
                <w:noProof/>
                <w:sz w:val="24"/>
              </w:rPr>
              <w:t>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736/2011 de la Commission du 26 juillet 2011 approuvant la substance active fluroxypyr, conformément au règlement (CE) nº 1107/2009 du Parlement européen e</w:t>
            </w:r>
            <w:r>
              <w:rPr>
                <w:rFonts w:ascii="Times New Roman" w:hAnsi="Times New Roman"/>
                <w:noProof/>
                <w:sz w:val="24"/>
              </w:rPr>
              <w:t>t du Conseil concernant la mise sur le marché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740/2011 de la Commission du 27 juillet 2011 approuvant la</w:t>
            </w:r>
            <w:r>
              <w:rPr>
                <w:rFonts w:ascii="Times New Roman" w:hAnsi="Times New Roman"/>
                <w:noProof/>
                <w:sz w:val="24"/>
              </w:rPr>
              <w:t xml:space="preserve"> substance active bispyribac, conformément au règlement (CE) nº 1107/2009 du Parlement européen et du Conseil concernant la mise sur le marché des produits phytopharmaceutiques, et modifiant l’annexe du règlement d’exécution (UE) nº 540/2011 de la Commissi</w:t>
            </w:r>
            <w:r>
              <w:rPr>
                <w:rFonts w:ascii="Times New Roman" w:hAnsi="Times New Roman"/>
                <w:noProof/>
                <w:sz w:val="24"/>
              </w:rPr>
              <w:t>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786/2011 de la Commission du 5 août 2011 approuvant la substance active «1-naphthylacétamide» conformément au règlement (CE) nº 1107/2009 du Parlement européen et du Conseil concernant la mise sur le marché des produi</w:t>
            </w:r>
            <w:r>
              <w:rPr>
                <w:rFonts w:ascii="Times New Roman" w:hAnsi="Times New Roman"/>
                <w:noProof/>
                <w:sz w:val="24"/>
              </w:rPr>
              <w:t>ts phytopharmaceutiques et modifiant l’annexe du règlement d’exécution (UE) nº 540/2011 de la Commission ainsi que l’annexe de la décision 2008/941/CE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787/2011 de la Commission du 5 août 2011 portant app</w:t>
            </w:r>
            <w:r>
              <w:rPr>
                <w:rFonts w:ascii="Times New Roman" w:hAnsi="Times New Roman"/>
                <w:noProof/>
                <w:sz w:val="24"/>
              </w:rPr>
              <w:t>robation de la substance active acide 1-naphthylacétique conformément au règlement (CE) nº 1107/2009 du Parlement européen et du Conseil concernant la mise sur le marché des produits phytopharmaceutiques, et modifiant l’annexe du règlement d’exécution (UE)</w:t>
            </w:r>
            <w:r>
              <w:rPr>
                <w:rFonts w:ascii="Times New Roman" w:hAnsi="Times New Roman"/>
                <w:noProof/>
                <w:sz w:val="24"/>
              </w:rPr>
              <w:t xml:space="preserve"> nº 540/2011 de la Commission et la décision 2008/941/CE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788/2011 de la Commission du 5 août 2011 approuvant la substance active fluazifop-P, conformément au règlement (CE) nº 1107/2009 du Parlement euro</w:t>
            </w:r>
            <w:r>
              <w:rPr>
                <w:rFonts w:ascii="Times New Roman" w:hAnsi="Times New Roman"/>
                <w:noProof/>
                <w:sz w:val="24"/>
              </w:rPr>
              <w:t>péen et du Conseil concernant la mise sur le marché des produits phytopharmaceutiques, et modifiant l’annexe du règlement d’exécution (UE) nº 540/2011 de la Commission ainsi que la décision 2008/934/CE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(UE) </w:t>
            </w:r>
            <w:r>
              <w:rPr>
                <w:rFonts w:ascii="Times New Roman" w:hAnsi="Times New Roman"/>
                <w:noProof/>
                <w:sz w:val="24"/>
              </w:rPr>
              <w:t>nº 797/2011 de la Commission du 9 août 2011 portant approbation de la substance active «spiroxamine» conformément au règlement (CE) nº 1107/2009 du Parlement européen et du Conseil concernant la mise sur le marché des produits phytopharmaceutiques et modif</w:t>
            </w:r>
            <w:r>
              <w:rPr>
                <w:rFonts w:ascii="Times New Roman" w:hAnsi="Times New Roman"/>
                <w:noProof/>
                <w:sz w:val="24"/>
              </w:rPr>
              <w:t>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798/2011 de la Commission du 9 août 2011 portant approbation de la substance active «oxyfluorfène» conformément au règlement (CE) nº 1107/2009 du P</w:t>
            </w:r>
            <w:r>
              <w:rPr>
                <w:rFonts w:ascii="Times New Roman" w:hAnsi="Times New Roman"/>
                <w:noProof/>
                <w:sz w:val="24"/>
              </w:rPr>
              <w:t>arlement européen et du Conseil concernant la mise sur le marché des produits phytopharmaceutiques et modifiant l’annexe du règlement d’exécution (UE) nº 540/2011 de la Commission ainsi que l’annexe de la décision 2008/934/CE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w:t>
            </w:r>
            <w:r>
              <w:rPr>
                <w:rFonts w:ascii="Times New Roman" w:hAnsi="Times New Roman"/>
                <w:noProof/>
                <w:sz w:val="24"/>
              </w:rPr>
              <w:t>nt d’exécution (UE) nº 800/2011 de la Commission du 9 août 2011 portant approbation de la substance active téfluthrine, conformément au règlement (CE) nº 1107/2009 du Parlement européen et du Conseil concernant la mise sur le marché des produits phytopharm</w:t>
            </w:r>
            <w:r>
              <w:rPr>
                <w:rFonts w:ascii="Times New Roman" w:hAnsi="Times New Roman"/>
                <w:noProof/>
                <w:sz w:val="24"/>
              </w:rPr>
              <w:t>aceutiques, et modifiant l’annexe du règlement d’exécution (UE) nº 540/2011 de la Commission et la décision 2008/934/CE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807/2011 de la Commission du 10 août 2011 portant approbation de la substance activ</w:t>
            </w:r>
            <w:r>
              <w:rPr>
                <w:rFonts w:ascii="Times New Roman" w:hAnsi="Times New Roman"/>
                <w:noProof/>
                <w:sz w:val="24"/>
              </w:rPr>
              <w:t>e «triazoxide», conformément au règlement (CE) nº 1107/2009 du Parlement européen et du Conseil concernant la mise sur le marché des produits phytopharmaceutiques, et modifiant l’annexe du règlement d’exécution (UE) nº 540/2011</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w:t>
            </w:r>
            <w:r>
              <w:rPr>
                <w:rFonts w:ascii="Times New Roman" w:hAnsi="Times New Roman"/>
                <w:noProof/>
                <w:sz w:val="24"/>
              </w:rPr>
              <w:t>(UE) nº 810/2011 de la Commission du 11 août 2011 portant approbation de la substance active krésoxim-méthyl, conformément au règlement (CE) nº 1107/2009 du Parlement européen et du Conseil concernant la mise sur le marché des produits phytopharmaceutiques</w:t>
            </w:r>
            <w:r>
              <w:rPr>
                <w:rFonts w:ascii="Times New Roman" w:hAnsi="Times New Roman"/>
                <w:noProof/>
                <w:sz w:val="24"/>
              </w:rPr>
              <w:t>,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(UE) nº 974/2011 de la Commission du 29 septembre 2011 portant approbation de la substance active acrinathrine, conformément au règlement (CE) </w:t>
            </w:r>
            <w:r>
              <w:rPr>
                <w:rFonts w:ascii="Times New Roman" w:hAnsi="Times New Roman"/>
                <w:noProof/>
                <w:sz w:val="24"/>
              </w:rPr>
              <w:t>nº 1107/2009 du Parlement européen et du Conseil concernant la mise sur le marché des produits phytopharmaceutiques, et modifiant l’annexe du règlement d’exécution (UE) nº 540/2011 de la Commission et la décision 2008/934/CE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w:t>
            </w:r>
            <w:r>
              <w:rPr>
                <w:rFonts w:ascii="Times New Roman" w:hAnsi="Times New Roman"/>
                <w:noProof/>
                <w:sz w:val="24"/>
              </w:rPr>
              <w:t>t d’exécution (UE) nº 993/2011 de la Commission du 6 octobre 2011 portant approbation de la substance active hydroxy-8-quinoléine, conformément au règlement (CE) nº 1107/2009 du Parlement européen et du Conseil concernant la mise sur le marché des produits</w:t>
            </w:r>
            <w:r>
              <w:rPr>
                <w:rFonts w:ascii="Times New Roman" w:hAnsi="Times New Roman"/>
                <w:noProof/>
                <w:sz w:val="24"/>
              </w:rPr>
              <w:t xml:space="preserve">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1143/2011 de la Commission du 10 novembre 2011 portant approbation de la substance active prochloraz conformément au</w:t>
            </w:r>
            <w:r>
              <w:rPr>
                <w:rFonts w:ascii="Times New Roman" w:hAnsi="Times New Roman"/>
                <w:noProof/>
                <w:sz w:val="24"/>
              </w:rPr>
              <w:t xml:space="preserve"> règlement (CE) nº 1107/2009 du Parlement européen et du Conseil concernant la mise sur le marché des produits phytopharmaceutiques et modifiant l’annexe du règlement d’exécution (UE) nº 540/2011 de la Commission ainsi que l’annexe de la décision 2008/934/</w:t>
            </w:r>
            <w:r>
              <w:rPr>
                <w:rFonts w:ascii="Times New Roman" w:hAnsi="Times New Roman"/>
                <w:noProof/>
                <w:sz w:val="24"/>
              </w:rPr>
              <w:t>CE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359/2012 de la Commission du 25 avril 2012 portant approbation de la substance active métam conformément au règlement (CE) nº 1107/2009 du Parlement européen et du Conseil concernant la mise sur le ma</w:t>
            </w:r>
            <w:r>
              <w:rPr>
                <w:rFonts w:ascii="Times New Roman" w:hAnsi="Times New Roman"/>
                <w:noProof/>
                <w:sz w:val="24"/>
              </w:rPr>
              <w:t>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882/2004 du Parlement européen et du Conseil du 29 avril 2004 relatif aux contrôles officiels effectués pour s’</w:t>
            </w:r>
            <w:r>
              <w:rPr>
                <w:rFonts w:ascii="Times New Roman" w:hAnsi="Times New Roman"/>
                <w:noProof/>
                <w:sz w:val="24"/>
              </w:rPr>
              <w:t>assurer de la conformité avec la législation sur les aliments pour animaux et les denrées alimentaires et avec les dispositions relatives à la santé animale et au bien-être des animaux</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2009/128/CE du Parlement européen et du Conseil du 21 o</w:t>
            </w:r>
            <w:r>
              <w:rPr>
                <w:rFonts w:ascii="Times New Roman" w:hAnsi="Times New Roman"/>
                <w:noProof/>
                <w:sz w:val="24"/>
              </w:rPr>
              <w:t>ctobre 2009 instaurant un cadre d’action communautaire pour parvenir à une utilisation des pesticides compatible avec le développement durable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(CE) nº 1107/2009 du Parlement européen et du Conseil du 21 octobre 2009 concernant la mise sur </w:t>
            </w:r>
            <w:r>
              <w:rPr>
                <w:rFonts w:ascii="Times New Roman" w:hAnsi="Times New Roman"/>
                <w:noProof/>
                <w:sz w:val="24"/>
              </w:rPr>
              <w:t>le marché des produits phytopharmaceutiques et abrogeant les directives 79/117/CEE et 91/414/CEE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582/2012 de la Commission du 2 juillet 2012 portant approbation de la substance active bifenthrine, conformément</w:t>
            </w:r>
            <w:r>
              <w:rPr>
                <w:rFonts w:ascii="Times New Roman" w:hAnsi="Times New Roman"/>
                <w:noProof/>
                <w:sz w:val="24"/>
              </w:rPr>
              <w:t xml:space="preserve"> au règlement (CE) nº 1107/2009 du Parlement européen et du Conseil concernant la mise sur le marché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589</w:t>
            </w:r>
            <w:r>
              <w:rPr>
                <w:rFonts w:ascii="Times New Roman" w:hAnsi="Times New Roman"/>
                <w:noProof/>
                <w:sz w:val="24"/>
              </w:rPr>
              <w:t xml:space="preserve">/2012 de la Commission du 4 juillet 2012 approuvant la substance active fluxapyroxad, conformément au règlement (CE) nº 1107/2009 du Parlement européen et du Conseil concernant la mise sur le marché des produits phytopharmaceutiques, et modifiant l’annexe </w:t>
            </w:r>
            <w:r>
              <w:rPr>
                <w:rFonts w:ascii="Times New Roman" w:hAnsi="Times New Roman"/>
                <w:noProof/>
                <w:sz w:val="24"/>
              </w:rPr>
              <w:t>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595/2012 de la Commission du 5 juillet 2012 approuvant la substance active fenpyrazamine, conformément au règlement (CE) nº 1107/2009 du Parlement européen et du</w:t>
            </w:r>
            <w:r>
              <w:rPr>
                <w:rFonts w:ascii="Times New Roman" w:hAnsi="Times New Roman"/>
                <w:noProof/>
                <w:sz w:val="24"/>
              </w:rPr>
              <w:t xml:space="preserve"> Conseil concernant la mise sur le marché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(UE) nº 746/2012 de la Commission du 16 août 2012 portant approbation </w:t>
            </w:r>
            <w:r>
              <w:rPr>
                <w:rFonts w:ascii="Times New Roman" w:hAnsi="Times New Roman"/>
                <w:noProof/>
                <w:sz w:val="24"/>
              </w:rPr>
              <w:t xml:space="preserve">de la substance active </w:t>
            </w:r>
            <w:r>
              <w:rPr>
                <w:rFonts w:ascii="Times New Roman" w:hAnsi="Times New Roman"/>
                <w:i/>
                <w:noProof/>
                <w:sz w:val="24"/>
              </w:rPr>
              <w:t>Adoxophyes orana granulovirus</w:t>
            </w:r>
            <w:r>
              <w:rPr>
                <w:rFonts w:ascii="Times New Roman" w:hAnsi="Times New Roman"/>
                <w:noProof/>
                <w:sz w:val="24"/>
              </w:rPr>
              <w:t xml:space="preserve"> conformément au règlement (CE) nº 1107/2009 du Parlement européen et du Conseil concernant la mise sur le marché des produits phytopharmaceutiques, et modifiant l’annexe du règlement d’exécution (UE) nº </w:t>
            </w:r>
            <w:r>
              <w:rPr>
                <w:rFonts w:ascii="Times New Roman" w:hAnsi="Times New Roman"/>
                <w:noProof/>
                <w:sz w:val="24"/>
              </w:rPr>
              <w:t>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d’exécution (UE) nº 571/2014 de la Commission du 26 mai 2014 portant approbation de la substance active «ipconazole», conformément au règlement (CE) nº 1107/2009 du Parlement européen et du Conseil concernant la mi</w:t>
            </w:r>
            <w:r>
              <w:rPr>
                <w:rFonts w:ascii="Times New Roman" w:hAnsi="Times New Roman"/>
                <w:noProof/>
                <w:sz w:val="24"/>
              </w:rPr>
              <w:t>se sur le marché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(UE) nº 632/2014 de la Commission du 13 mai 2014 portant approbation de la substance active </w:t>
            </w:r>
            <w:r>
              <w:rPr>
                <w:rFonts w:ascii="Times New Roman" w:hAnsi="Times New Roman"/>
                <w:noProof/>
                <w:sz w:val="24"/>
              </w:rPr>
              <w:t>«flubendiamide», conformément au règlement (CE) nº 1107/2009 du Parlement européen et du Conseil concernant la mise sur le marché des produits phytopharmaceutiques, et modifiant l’annexe du règlement d’exécution (UE) nº 540/2011 de la Commission</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w:t>
            </w:r>
            <w:r>
              <w:rPr>
                <w:rFonts w:ascii="Times New Roman" w:hAnsi="Times New Roman"/>
                <w:noProof/>
                <w:sz w:val="24"/>
              </w:rPr>
              <w:t>ement (CE) nº 396/2005 du Parlement européen et du Conseil du 23 février 2005 concernant les limites maximales applicables aux résidus de pesticides présents dans ou sur les denrées alimentaires et les aliments pour animaux d’origine végétale et animale et</w:t>
            </w:r>
            <w:r>
              <w:rPr>
                <w:rFonts w:ascii="Times New Roman" w:hAnsi="Times New Roman"/>
                <w:noProof/>
                <w:sz w:val="24"/>
              </w:rPr>
              <w:t xml:space="preserve"> modifiant la directive 91/414/CEE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2019</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2003/2003 du Parlement européen et du Conseil du 13 octobre 2003 relatif aux engrais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2021</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1829/2003 du Parlement européen et du Conseil du 22 septembre 2003 concernant</w:t>
            </w:r>
            <w:r>
              <w:rPr>
                <w:rFonts w:ascii="Times New Roman" w:hAnsi="Times New Roman"/>
                <w:noProof/>
                <w:sz w:val="24"/>
              </w:rPr>
              <w:t xml:space="preserve"> les denrées alimentaires et les aliments pour animaux génétiquement modifiés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1830/2003 du Parlement européen et du Conseil du 22 septembre 2003 concernant la traçabilité et l’étiquetage des organismes génétiquement modifiés et la t</w:t>
            </w:r>
            <w:r>
              <w:rPr>
                <w:rFonts w:ascii="Times New Roman" w:hAnsi="Times New Roman"/>
                <w:noProof/>
                <w:sz w:val="24"/>
              </w:rPr>
              <w:t>raçabilité des produits destinés à l’alimentation humaine ou animale produits à partir d’organismes génétiquement modifiés, et modifiant la directive 2001/18/CE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Règlement d’exécution (UE) nº 485/2013 de la Commission du 24 mai 2013 modifiant le </w:t>
            </w:r>
            <w:r>
              <w:rPr>
                <w:rFonts w:ascii="Times New Roman" w:hAnsi="Times New Roman"/>
                <w:noProof/>
                <w:sz w:val="24"/>
              </w:rPr>
              <w:t>règlement d’exécution (UE) nº 540/2011 en ce qui concerne les conditions d’approbation des substances actives clothianidine, thiaméthoxame et imidaclopride et interdisant l’utilisation et la vente de semences traitées avec des produits phytopharmaceutiques</w:t>
            </w:r>
            <w:r>
              <w:rPr>
                <w:rFonts w:ascii="Times New Roman" w:hAnsi="Times New Roman"/>
                <w:noProof/>
                <w:sz w:val="24"/>
              </w:rPr>
              <w:t xml:space="preserve"> contenant ces substances actives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66/401/CEE du Conseil du 14 juin 1966 concernant la commercialisation des semences de plantes fourragères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66/402/CEE du Conseil du 14 juin 1966 concernant la commercialisation des semences </w:t>
            </w:r>
            <w:r>
              <w:rPr>
                <w:rFonts w:ascii="Times New Roman" w:hAnsi="Times New Roman"/>
                <w:noProof/>
                <w:sz w:val="24"/>
              </w:rPr>
              <w:t>de céréales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98/56/CE du Conseil du 20 juillet 1998 concernant la commercialisation des matériels de multiplication des plantes ornementales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2002/54/CE du Conseil du 13 juin 2002 concernant la commercialisation des semences d</w:t>
            </w:r>
            <w:r>
              <w:rPr>
                <w:rFonts w:ascii="Times New Roman" w:hAnsi="Times New Roman"/>
                <w:noProof/>
                <w:sz w:val="24"/>
              </w:rPr>
              <w:t>e betteraves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2002/55/CE du Conseil du 13 juin 2002 concernant la commercialisation des semences de légumes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2002/56/CE du Conseil du 13 juin 2002 concernant la commercialisation des plants de pommes de terre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w:t>
            </w:r>
            <w:r>
              <w:rPr>
                <w:rFonts w:ascii="Times New Roman" w:hAnsi="Times New Roman"/>
                <w:noProof/>
                <w:sz w:val="24"/>
              </w:rPr>
              <w:t>2002/57/CE du Conseil du 13 juin 2002 concernant la commercialisation des semences de plantes oléagineuses et à fibres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2008/72/CE du Conseil du 15 juillet 2008 concernant la commercialisation des plants de légumes et des matériels de multip</w:t>
            </w:r>
            <w:r>
              <w:rPr>
                <w:rFonts w:ascii="Times New Roman" w:hAnsi="Times New Roman"/>
                <w:noProof/>
                <w:sz w:val="24"/>
              </w:rPr>
              <w:t>lication de légumes autres que les semences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2008/90/CE du Conseil du 29 septembre 2008 concernant la commercialisation des matériels de multiplication de plantes fruitières et des plantes fruitières destinées à la production de fruits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d’exécution 2014/20/UE de la Commission du 6 février 2014 portant définition des classes de l’Union de plants de pommes de terre de base et de plants de pommes de terre certifiés, ainsi que les conditions et dénominations applicables à ces class</w:t>
            </w:r>
            <w:r>
              <w:rPr>
                <w:rFonts w:ascii="Times New Roman" w:hAnsi="Times New Roman"/>
                <w:noProof/>
                <w:sz w:val="24"/>
              </w:rPr>
              <w:t>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d’exécution 2014/21/UE de la Commission du 6 février 2014 portant définition de conditions minimales et de classes de l’Union pour les plants de pommes de terre prébase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d’exécution 2014/96/UE de la Commission du </w:t>
            </w:r>
            <w:r>
              <w:rPr>
                <w:rFonts w:ascii="Times New Roman" w:hAnsi="Times New Roman"/>
                <w:noProof/>
                <w:sz w:val="24"/>
              </w:rPr>
              <w:t>15 octobre 2014 relative aux prescriptions en matière d’étiquetage, de fermeture et d’emballage des matériels de multiplication de plantes fruitières et des plantes fruitières destinées à la production de fruits relevant du champ d’application de la direct</w:t>
            </w:r>
            <w:r>
              <w:rPr>
                <w:rFonts w:ascii="Times New Roman" w:hAnsi="Times New Roman"/>
                <w:noProof/>
                <w:sz w:val="24"/>
              </w:rPr>
              <w:t>ive 2008/90/CE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d’exécution 2014/97/UE de la Commission du 15 octobre 2014 portant mesures d’exécution de la directive 2008/90/CE du Conseil en ce qui concerne l’enregistrement des fournisseurs et des variétés et la liste commune </w:t>
            </w:r>
            <w:r>
              <w:rPr>
                <w:rFonts w:ascii="Times New Roman" w:hAnsi="Times New Roman"/>
                <w:noProof/>
                <w:sz w:val="24"/>
              </w:rPr>
              <w:t>des variétés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Directive d’exécution 2014/98/UE de la Commission du 15 octobre 2014 portant mesures d’exécution de la directive 2008/90/CE du Conseil en ce qui concerne les prescriptions spécifiques applicables aux genres et aux espèces de plantes frui</w:t>
            </w:r>
            <w:r>
              <w:rPr>
                <w:rFonts w:ascii="Times New Roman" w:hAnsi="Times New Roman"/>
                <w:noProof/>
                <w:sz w:val="24"/>
              </w:rPr>
              <w:t>tières visés à l’annexe I de ladite directive, les prescriptions spécifiques applicables par les fournisseurs et les règles détaillées des inspections officielles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d’exécution 2012/340/UE de la Commission du 25 juin 2012 relative à l’organisa</w:t>
            </w:r>
            <w:r>
              <w:rPr>
                <w:rFonts w:ascii="Times New Roman" w:hAnsi="Times New Roman"/>
                <w:noProof/>
                <w:sz w:val="24"/>
              </w:rPr>
              <w:t>tion d’une expérience temporaire conformément aux directives 66/401/CEE, 66/402/CEE, 2002/54/CE, 2002/55/CE et 2002/57/CE du Conseil en ce qui concerne l’inspection sur pied sous contrôle officiel des semences de base et des semences de sélection de généra</w:t>
            </w:r>
            <w:r>
              <w:rPr>
                <w:rFonts w:ascii="Times New Roman" w:hAnsi="Times New Roman"/>
                <w:noProof/>
                <w:sz w:val="24"/>
              </w:rPr>
              <w:t>tions antérieures aux semences de base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Règlement (CE) nº 217/2006 de la Commission du 8 février 2006 portant modalités d’application des directives 66/401/CEE, 66/402/CEE, 2002/54/CE, 2002/55/CE et 2002/57/CE du Conseil en ce qui concerne l’autorisat</w:t>
            </w:r>
            <w:r>
              <w:rPr>
                <w:rFonts w:ascii="Times New Roman" w:hAnsi="Times New Roman"/>
                <w:noProof/>
                <w:sz w:val="24"/>
              </w:rPr>
              <w:t>ion accordée aux États membres de permettre la commercialisation temporaire de semences ne satisfaisant pas aux exigences en matière de faculté germinative minimale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d’exécution 2014/367/UE de la Commission du 16 juin 2014 modifiant la </w:t>
            </w:r>
            <w:r>
              <w:rPr>
                <w:rFonts w:ascii="Times New Roman" w:hAnsi="Times New Roman"/>
                <w:noProof/>
                <w:sz w:val="24"/>
              </w:rPr>
              <w:t>directive 2002/56/CE du Conseil en ce qui concerne la date fixée à l’article 21, paragraphe 3, jusqu’à laquelle les États membres sont autorisés à prolonger la durée de validité des décisions relatives à l’équivalence de plants de pommes de terre provenant</w:t>
            </w:r>
            <w:r>
              <w:rPr>
                <w:rFonts w:ascii="Times New Roman" w:hAnsi="Times New Roman"/>
                <w:noProof/>
                <w:sz w:val="24"/>
              </w:rPr>
              <w:t xml:space="preserve"> de pays tiers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d’exécution 2014/362/UE de la Commission du 13 juin 2014 modifiant la décision 2009/109/CE relative à l’organisation d’une expérience temporaire impliquant l’octroi de certaines dérogations en vue de la commercialisation de mé</w:t>
            </w:r>
            <w:r>
              <w:rPr>
                <w:rFonts w:ascii="Times New Roman" w:hAnsi="Times New Roman"/>
                <w:noProof/>
                <w:sz w:val="24"/>
              </w:rPr>
              <w:t>langes de semences destinés à être utilisés comme plantes fourragères conformément à la directive 66/401/CEE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2003/17/CE du Conseil du 16 décembre 2002 concernant l’équivalence des inspections sur pied des cultures productrices de </w:t>
            </w:r>
            <w:r>
              <w:rPr>
                <w:rFonts w:ascii="Times New Roman" w:hAnsi="Times New Roman"/>
                <w:noProof/>
                <w:sz w:val="24"/>
              </w:rPr>
              <w:t>semences effectuées dans des pays tiers et l’équivalence des semences produites dans des pays tiers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Recommandation 2010/C 200/01 de la Commission du 13 juillet 2010 établissant des lignes directrices pour l’élaboration de mesures nationales de coexis</w:t>
            </w:r>
            <w:r>
              <w:rPr>
                <w:rFonts w:ascii="Times New Roman" w:hAnsi="Times New Roman"/>
                <w:noProof/>
                <w:sz w:val="24"/>
              </w:rPr>
              <w:t>tence visant à éviter la présence accidentelle d’OGM dans les cultures conventionnelles et biologiques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2008/495/CE de la Commission du 7 mai 2008 concernant l’interdiction provisoire de l’utilisation et de la vente, en Autriche, de maïs géné</w:t>
            </w:r>
            <w:r>
              <w:rPr>
                <w:rFonts w:ascii="Times New Roman" w:hAnsi="Times New Roman"/>
                <w:noProof/>
                <w:sz w:val="24"/>
              </w:rPr>
              <w:t>tiquement modifié (</w:t>
            </w:r>
            <w:r>
              <w:rPr>
                <w:rFonts w:ascii="Times New Roman" w:hAnsi="Times New Roman"/>
                <w:i/>
                <w:noProof/>
                <w:sz w:val="24"/>
              </w:rPr>
              <w:t>Zea mays</w:t>
            </w:r>
            <w:r>
              <w:rPr>
                <w:rFonts w:ascii="Times New Roman" w:hAnsi="Times New Roman"/>
                <w:noProof/>
                <w:sz w:val="24"/>
              </w:rPr>
              <w:t xml:space="preserve"> L. lignée MON810), conformément à la directive 2001/18/CE du Parlement européen et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2009/244/CE de la Commission du 16 mars 2009 concernant la mise sur le marché, conformément à la directive 2001/18/CE d</w:t>
            </w:r>
            <w:r>
              <w:rPr>
                <w:rFonts w:ascii="Times New Roman" w:hAnsi="Times New Roman"/>
                <w:noProof/>
                <w:sz w:val="24"/>
              </w:rPr>
              <w:t>u Parlement européen et du Conseil, d’un œillet (</w:t>
            </w:r>
            <w:r>
              <w:rPr>
                <w:rFonts w:ascii="Times New Roman" w:hAnsi="Times New Roman"/>
                <w:i/>
                <w:noProof/>
                <w:sz w:val="24"/>
              </w:rPr>
              <w:t>Dianthus caryophyllus</w:t>
            </w:r>
            <w:r>
              <w:rPr>
                <w:rFonts w:ascii="Times New Roman" w:hAnsi="Times New Roman"/>
                <w:noProof/>
                <w:sz w:val="24"/>
              </w:rPr>
              <w:t xml:space="preserve"> L., lignée 123.8.12) génétiquement modifié pour changer la couleur de la fleur</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Directive 2009/41/CE du Parlement européen et du Conseil du 6 mai 2009 relative à l’utilisation </w:t>
            </w:r>
            <w:r>
              <w:rPr>
                <w:rFonts w:ascii="Times New Roman" w:hAnsi="Times New Roman"/>
                <w:noProof/>
                <w:sz w:val="24"/>
              </w:rPr>
              <w:t>confinée de micro-organismes génétiquement modifiés</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Décision 2009/770/CE de la Commission du 13 octobre 2009 établissant des formulaires types pour la présentation des résultats de la surveillance relative à la dissémination volontaire dans l’environ</w:t>
            </w:r>
            <w:r>
              <w:rPr>
                <w:rFonts w:ascii="Times New Roman" w:hAnsi="Times New Roman"/>
                <w:noProof/>
                <w:sz w:val="24"/>
              </w:rPr>
              <w:t>nement d’organismes génétiquement modifiés, en tant que produits ou éléments de produits, aux fins de leur mise sur le marché, conformément à la directive 2001/18/CE du Parlement européen et du Conseil</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r w:rsidR="00B53FBF">
        <w:tc>
          <w:tcPr>
            <w:tcW w:w="5495" w:type="dxa"/>
            <w:shd w:val="clear" w:color="auto" w:fill="auto"/>
          </w:tcPr>
          <w:p w:rsidR="00B53FBF" w:rsidRDefault="005E5E94">
            <w:pPr>
              <w:pStyle w:val="a"/>
              <w:spacing w:before="0"/>
              <w:ind w:firstLine="0"/>
              <w:rPr>
                <w:rFonts w:ascii="Times New Roman" w:hAnsi="Times New Roman"/>
                <w:noProof/>
                <w:sz w:val="24"/>
                <w:szCs w:val="24"/>
              </w:rPr>
            </w:pPr>
            <w:r>
              <w:rPr>
                <w:rFonts w:ascii="Times New Roman" w:hAnsi="Times New Roman"/>
                <w:noProof/>
                <w:sz w:val="24"/>
              </w:rPr>
              <w:t xml:space="preserve">Décision 2010/135/UE de la Commission du 2 mars </w:t>
            </w:r>
            <w:r>
              <w:rPr>
                <w:rFonts w:ascii="Times New Roman" w:hAnsi="Times New Roman"/>
                <w:noProof/>
                <w:sz w:val="24"/>
              </w:rPr>
              <w:t>2010 concernant la mise sur le marché, conformément à la directive 2001/18/CE du Parlement européen et du Conseil, d’une pomme de terre (</w:t>
            </w:r>
            <w:r>
              <w:rPr>
                <w:rFonts w:ascii="Times New Roman" w:hAnsi="Times New Roman"/>
                <w:i/>
                <w:noProof/>
                <w:sz w:val="24"/>
              </w:rPr>
              <w:t>Solanum tuberosum</w:t>
            </w:r>
            <w:r>
              <w:rPr>
                <w:rFonts w:ascii="Times New Roman" w:hAnsi="Times New Roman"/>
                <w:noProof/>
                <w:sz w:val="24"/>
              </w:rPr>
              <w:t xml:space="preserve"> L. lignée EH92-527-1) génétiquement modifiée pour l’obtention d’un amidon à teneur accrue en amylopec</w:t>
            </w:r>
            <w:r>
              <w:rPr>
                <w:rFonts w:ascii="Times New Roman" w:hAnsi="Times New Roman"/>
                <w:noProof/>
                <w:sz w:val="24"/>
              </w:rPr>
              <w:t>tine</w:t>
            </w:r>
          </w:p>
        </w:tc>
        <w:tc>
          <w:tcPr>
            <w:tcW w:w="3792" w:type="dxa"/>
            <w:shd w:val="clear" w:color="auto" w:fill="auto"/>
          </w:tcPr>
          <w:p w:rsidR="00B53FBF" w:rsidRDefault="005E5E94">
            <w:pPr>
              <w:pStyle w:val="BalloonText"/>
              <w:jc w:val="center"/>
              <w:rPr>
                <w:rFonts w:ascii="Times New Roman" w:hAnsi="Times New Roman"/>
                <w:noProof/>
                <w:sz w:val="24"/>
                <w:szCs w:val="24"/>
              </w:rPr>
            </w:pPr>
            <w:r>
              <w:rPr>
                <w:rFonts w:ascii="Times New Roman" w:hAnsi="Times New Roman"/>
                <w:noProof/>
                <w:sz w:val="24"/>
              </w:rPr>
              <w:t>2017</w:t>
            </w:r>
          </w:p>
        </w:tc>
      </w:tr>
    </w:tbl>
    <w:p w:rsidR="00B53FBF" w:rsidRDefault="00B53FBF">
      <w:pPr>
        <w:rPr>
          <w:noProof/>
        </w:rPr>
      </w:pPr>
    </w:p>
    <w:sectPr w:rsidR="00B53FBF" w:rsidSect="005E5E9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BF" w:rsidRDefault="005E5E94">
      <w:pPr>
        <w:spacing w:before="0" w:after="0"/>
      </w:pPr>
      <w:r>
        <w:separator/>
      </w:r>
    </w:p>
  </w:endnote>
  <w:endnote w:type="continuationSeparator" w:id="0">
    <w:p w:rsidR="00B53FBF" w:rsidRDefault="005E5E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00"/>
    <w:family w:val="swiss"/>
    <w:pitch w:val="variable"/>
    <w:sig w:usb0="20002A87" w:usb1="00000000" w:usb2="00000000" w:usb3="00000000" w:csb0="000001FF" w:csb1="00000000"/>
  </w:font>
  <w:font w:name="TimesNewRoman">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94" w:rsidRPr="005E5E94" w:rsidRDefault="005E5E94" w:rsidP="005E5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BF" w:rsidRPr="005E5E94" w:rsidRDefault="005E5E94" w:rsidP="005E5E94">
    <w:pPr>
      <w:pStyle w:val="Footer"/>
      <w:rPr>
        <w:rFonts w:ascii="Arial" w:hAnsi="Arial" w:cs="Arial"/>
        <w:b/>
        <w:sz w:val="48"/>
      </w:rPr>
    </w:pPr>
    <w:r w:rsidRPr="005E5E94">
      <w:rPr>
        <w:rFonts w:ascii="Arial" w:hAnsi="Arial" w:cs="Arial"/>
        <w:b/>
        <w:sz w:val="48"/>
      </w:rPr>
      <w:t>FR</w:t>
    </w:r>
    <w:r w:rsidRPr="005E5E94">
      <w:rPr>
        <w:rFonts w:ascii="Arial" w:hAnsi="Arial" w:cs="Arial"/>
        <w:b/>
        <w:sz w:val="48"/>
      </w:rPr>
      <w:tab/>
    </w:r>
    <w:r w:rsidRPr="005E5E94">
      <w:rPr>
        <w:rFonts w:ascii="Arial" w:hAnsi="Arial" w:cs="Arial"/>
        <w:b/>
        <w:sz w:val="48"/>
      </w:rPr>
      <w:tab/>
    </w:r>
    <w:fldSimple w:instr=" DOCVARIABLE &quot;LW_Confidence&quot; \* MERGEFORMAT ">
      <w:r>
        <w:t xml:space="preserve"> </w:t>
      </w:r>
    </w:fldSimple>
    <w:r w:rsidRPr="005E5E94">
      <w:tab/>
    </w:r>
    <w:proofErr w:type="spellStart"/>
    <w:r w:rsidRPr="005E5E94">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94" w:rsidRPr="005E5E94" w:rsidRDefault="005E5E94" w:rsidP="005E5E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94" w:rsidRPr="005E5E94" w:rsidRDefault="005E5E94" w:rsidP="005E5E94">
    <w:pPr>
      <w:pStyle w:val="Footer"/>
      <w:rPr>
        <w:rFonts w:ascii="Arial" w:hAnsi="Arial" w:cs="Arial"/>
        <w:b/>
        <w:sz w:val="48"/>
      </w:rPr>
    </w:pPr>
    <w:r w:rsidRPr="005E5E94">
      <w:rPr>
        <w:rFonts w:ascii="Arial" w:hAnsi="Arial" w:cs="Arial"/>
        <w:b/>
        <w:sz w:val="48"/>
      </w:rPr>
      <w:t>FR</w:t>
    </w:r>
    <w:r w:rsidRPr="005E5E94">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fldSimple w:instr=" DOCVARIABLE &quot;LW_Confidence&quot; \* MERGEFORMAT ">
      <w:r>
        <w:t xml:space="preserve"> </w:t>
      </w:r>
    </w:fldSimple>
    <w:r w:rsidRPr="005E5E94">
      <w:tab/>
    </w:r>
    <w:r w:rsidRPr="005E5E94">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94" w:rsidRPr="005E5E94" w:rsidRDefault="005E5E94" w:rsidP="005E5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BF" w:rsidRDefault="005E5E94">
      <w:pPr>
        <w:spacing w:before="0" w:after="0"/>
      </w:pPr>
      <w:r>
        <w:separator/>
      </w:r>
    </w:p>
  </w:footnote>
  <w:footnote w:type="continuationSeparator" w:id="0">
    <w:p w:rsidR="00B53FBF" w:rsidRDefault="005E5E9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94" w:rsidRPr="005E5E94" w:rsidRDefault="005E5E94" w:rsidP="005E5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94" w:rsidRPr="005E5E94" w:rsidRDefault="005E5E94" w:rsidP="005E5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94" w:rsidRPr="005E5E94" w:rsidRDefault="005E5E94" w:rsidP="005E5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9E74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A82F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D865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92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B0AB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BA7B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1E4FE2"/>
    <w:lvl w:ilvl="0">
      <w:start w:val="1"/>
      <w:numFmt w:val="decimal"/>
      <w:pStyle w:val="ListNumber"/>
      <w:lvlText w:val="%1."/>
      <w:lvlJc w:val="left"/>
      <w:pPr>
        <w:tabs>
          <w:tab w:val="num" w:pos="360"/>
        </w:tabs>
        <w:ind w:left="360" w:hanging="360"/>
      </w:pPr>
    </w:lvl>
  </w:abstractNum>
  <w:abstractNum w:abstractNumId="7">
    <w:nsid w:val="FFFFFF89"/>
    <w:multiLevelType w:val="singleLevel"/>
    <w:tmpl w:val="EB3031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0:39: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à la"/>
    <w:docVar w:name="LW_ACCOMPAGNANT.CP" w:val="à la"/>
    <w:docVar w:name="LW_ANNEX_NBR_FIRST" w:val="1"/>
    <w:docVar w:name="LW_ANNEX_NBR_LAST" w:val="1"/>
    <w:docVar w:name="LW_CONFIDENCE" w:val=" "/>
    <w:docVar w:name="LW_CONST_RESTREINT_UE" w:val="RESTREINT UE/EU RESTRICTED"/>
    <w:docVar w:name="LW_CORRIGENDUM" w:val="&lt;UNUSED&gt;"/>
    <w:docVar w:name="LW_COVERPAGE_GUID" w:val="7073D70EF5BD4DAFAA76C3904FC862E7"/>
    <w:docVar w:name="LW_CROSSREFERENCE" w:val="&lt;UNUSED&gt;"/>
    <w:docVar w:name="LW_DocType" w:val="ANNEX"/>
    <w:docVar w:name="LW_EMISSION" w:val="29.5.2017"/>
    <w:docVar w:name="LW_EMISSION_ISODATE" w:val="2017-05-29"/>
    <w:docVar w:name="LW_EMISSION_LOCATION" w:val="BRX"/>
    <w:docVar w:name="LW_EMISSION_PREFIX" w:val="Bruxelles,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 w:val="relative à la position à prendre au nom de l\u8217?Union au sein du sous-comité sanitaire et phytosanitaire institué par l\u8217?accord d\u8217?association entre l\u8217?Union européenne et la Communauté européenne de l\u8217?énergie atomique et leurs États membres, d\u8217?une part, et l\u8217?Ukraine, d\u8217?autre part"/>
    <w:docVar w:name="LW_OBJETACTEPRINCIPAL.CP" w:val="relative à la position à prendre au nom de l\u8217?Union au sein du sous-comité sanitaire et phytosanitaire institué par l\u8217?accord d\u8217?association entre l\u8217?Union européenne et la Communauté européenne de l\u8217?énergie atomique et leurs États membres, d\u8217?une part, et l\u8217?Ukraine, d\u8217?autre part"/>
    <w:docVar w:name="LW_PART_NBR" w:val="1"/>
    <w:docVar w:name="LW_PART_NBR_TOTAL" w:val="1"/>
    <w:docVar w:name="LW_REF.INST.NEW" w:val="COM"/>
    <w:docVar w:name="LW_REF.INST.NEW_ADOPTED" w:val="final"/>
    <w:docVar w:name="LW_REF.INST.NEW_TEXT" w:val="(2017) 265"/>
    <w:docVar w:name="LW_REF.INTERNE" w:val="&lt;UNUSED&gt;"/>
    <w:docVar w:name="LW_SUPERTITRE" w:val="&lt;UNUSED&gt;"/>
    <w:docVar w:name="LW_TITRE.OBJ.CP" w:val="&lt;UNUSED&gt;"/>
    <w:docVar w:name="LW_TYPE.DOC" w:val="ANNEXE"/>
    <w:docVar w:name="LW_TYPE.DOC.CP" w:val="ANNEXE"/>
    <w:docVar w:name="LW_TYPEACTEPRINCIPAL" w:val="Proposition de décision du Conseil"/>
    <w:docVar w:name="LW_TYPEACTEPRINCIPAL.CP" w:val="Proposition de décision du Conseil"/>
  </w:docVars>
  <w:rsids>
    <w:rsidRoot w:val="00B53FBF"/>
    <w:rsid w:val="005E5E94"/>
    <w:rsid w:val="00B5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val="fr-FR" w:eastAsia="fr-FR"/>
    </w:rPr>
  </w:style>
  <w:style w:type="paragraph" w:customStyle="1" w:styleId="a">
    <w:name w:val="Нормальний текст"/>
    <w:basedOn w:val="Normal"/>
    <w:pPr>
      <w:spacing w:after="0"/>
      <w:ind w:firstLine="567"/>
      <w:jc w:val="left"/>
    </w:pPr>
    <w:rPr>
      <w:rFonts w:ascii="Antiqua" w:eastAsia="Calibri" w:hAnsi="Antiqua"/>
      <w:sz w:val="26"/>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5E5E9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E5E9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E5E94"/>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val="fr-FR" w:eastAsia="fr-FR"/>
    </w:rPr>
  </w:style>
  <w:style w:type="paragraph" w:customStyle="1" w:styleId="a">
    <w:name w:val="Нормальний текст"/>
    <w:basedOn w:val="Normal"/>
    <w:pPr>
      <w:spacing w:after="0"/>
      <w:ind w:firstLine="567"/>
      <w:jc w:val="left"/>
    </w:pPr>
    <w:rPr>
      <w:rFonts w:ascii="Antiqua" w:eastAsia="Calibri" w:hAnsi="Antiqua"/>
      <w:sz w:val="26"/>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5E5E9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E5E9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E5E94"/>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0546">
      <w:bodyDiv w:val="1"/>
      <w:marLeft w:val="0"/>
      <w:marRight w:val="0"/>
      <w:marTop w:val="0"/>
      <w:marBottom w:val="0"/>
      <w:divBdr>
        <w:top w:val="none" w:sz="0" w:space="0" w:color="auto"/>
        <w:left w:val="none" w:sz="0" w:space="0" w:color="auto"/>
        <w:bottom w:val="none" w:sz="0" w:space="0" w:color="auto"/>
        <w:right w:val="none" w:sz="0" w:space="0" w:color="auto"/>
      </w:divBdr>
    </w:div>
    <w:div w:id="19000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7A20-CE55-4EC8-A021-22D1E92E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10573</Words>
  <Characters>60481</Characters>
  <Application>Microsoft Office Word</Application>
  <DocSecurity>0</DocSecurity>
  <Lines>1832</Lines>
  <Paragraphs>670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WADHWANIA Nadia (MARE-EXT)</cp:lastModifiedBy>
  <cp:revision>8</cp:revision>
  <cp:lastPrinted>2017-01-16T11:02:00Z</cp:lastPrinted>
  <dcterms:created xsi:type="dcterms:W3CDTF">2017-04-27T12:07:00Z</dcterms:created>
  <dcterms:modified xsi:type="dcterms:W3CDTF">2017-05-29T13:14:00Z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