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9E" w:rsidRDefault="00C77FD5" w:rsidP="00C77FD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596A2F303744D819A0D92F0E40862E0" style="width:450.8pt;height:339.6pt">
            <v:imagedata r:id="rId9" o:title=""/>
          </v:shape>
        </w:pict>
      </w:r>
    </w:p>
    <w:p w:rsidR="008B299E" w:rsidRDefault="008B299E">
      <w:pPr>
        <w:rPr>
          <w:noProof/>
        </w:rPr>
        <w:sectPr w:rsidR="008B299E" w:rsidSect="00C77FD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B299E" w:rsidRDefault="008B299E">
      <w:pPr>
        <w:pStyle w:val="Exposdesmotifstitre"/>
        <w:rPr>
          <w:noProof/>
        </w:rPr>
      </w:pPr>
      <w:bookmarkStart w:id="0" w:name="_GoBack"/>
      <w:bookmarkEnd w:id="0"/>
    </w:p>
    <w:p w:rsidR="008B299E" w:rsidRDefault="008B299E">
      <w:pPr>
        <w:pBdr>
          <w:top w:val="nil"/>
          <w:left w:val="nil"/>
          <w:bottom w:val="nil"/>
          <w:right w:val="nil"/>
          <w:between w:val="nil"/>
          <w:bar w:val="nil"/>
        </w:pBdr>
        <w:spacing w:before="0" w:after="240"/>
        <w:rPr>
          <w:rFonts w:eastAsia="Arial Unicode MS"/>
          <w:noProof/>
        </w:rPr>
      </w:pPr>
    </w:p>
    <w:p w:rsidR="008B299E" w:rsidRDefault="00C77FD5" w:rsidP="00C77FD5">
      <w:pPr>
        <w:pStyle w:val="Statut"/>
        <w:rPr>
          <w:noProof/>
        </w:rPr>
      </w:pPr>
      <w:r w:rsidRPr="00C77FD5">
        <w:t>Henstilling med henblik på</w:t>
      </w:r>
    </w:p>
    <w:p w:rsidR="008B299E" w:rsidRDefault="00C77FD5" w:rsidP="00C77FD5">
      <w:pPr>
        <w:pStyle w:val="Typedudocument"/>
        <w:rPr>
          <w:noProof/>
        </w:rPr>
      </w:pPr>
      <w:r w:rsidRPr="00C77FD5">
        <w:t>RÅDETS AFGØRELSE</w:t>
      </w:r>
    </w:p>
    <w:p w:rsidR="008B299E" w:rsidRDefault="00C77FD5" w:rsidP="00C77FD5">
      <w:pPr>
        <w:pStyle w:val="Titreobjet"/>
        <w:rPr>
          <w:noProof/>
        </w:rPr>
      </w:pPr>
      <w:r w:rsidRPr="00C77FD5">
        <w:t>om ophævelse af afgørelse 2010/288/EU om et uforholdsmæssigt stort underskud i Portugal</w:t>
      </w:r>
    </w:p>
    <w:p w:rsidR="008B299E" w:rsidRDefault="00C77FD5">
      <w:pPr>
        <w:pStyle w:val="Institutionquiagit"/>
        <w:rPr>
          <w:noProof/>
        </w:rPr>
      </w:pPr>
      <w:r>
        <w:rPr>
          <w:noProof/>
        </w:rPr>
        <w:t>RÅDET FOR DEN EUROPÆISKE UNION HAR —</w:t>
      </w:r>
    </w:p>
    <w:p w:rsidR="008B299E" w:rsidRDefault="00C77FD5">
      <w:pPr>
        <w:rPr>
          <w:noProof/>
        </w:rPr>
      </w:pPr>
      <w:r>
        <w:rPr>
          <w:rStyle w:val="Corpsdutexte"/>
          <w:noProof/>
        </w:rPr>
        <w:t>under henvisning til traktaten om Den Europæiske Unions funktionsmåde, særlig artikel 126, stk. 12,</w:t>
      </w:r>
    </w:p>
    <w:p w:rsidR="008B299E" w:rsidRDefault="00C77FD5">
      <w:pPr>
        <w:rPr>
          <w:noProof/>
        </w:rPr>
      </w:pPr>
      <w:r>
        <w:rPr>
          <w:rStyle w:val="Corpsdutexte"/>
          <w:noProof/>
        </w:rPr>
        <w:t>under henvisning til henstilling fra Europa-Kommissionen, og</w:t>
      </w:r>
    </w:p>
    <w:p w:rsidR="008B299E" w:rsidRDefault="00C77FD5">
      <w:pPr>
        <w:rPr>
          <w:noProof/>
        </w:rPr>
      </w:pPr>
      <w:r>
        <w:rPr>
          <w:rStyle w:val="Corpsdutexte"/>
          <w:noProof/>
        </w:rPr>
        <w:t>ud fra følgend</w:t>
      </w:r>
      <w:r>
        <w:rPr>
          <w:rStyle w:val="Corpsdutexte"/>
          <w:noProof/>
        </w:rPr>
        <w:t>e betragtninger:</w:t>
      </w:r>
    </w:p>
    <w:p w:rsidR="008B299E" w:rsidRDefault="00C77FD5">
      <w:pPr>
        <w:pStyle w:val="ManualConsidrant"/>
        <w:rPr>
          <w:noProof/>
        </w:rPr>
      </w:pPr>
      <w:r>
        <w:t>(1)</w:t>
      </w:r>
      <w:r>
        <w:tab/>
      </w:r>
      <w:r>
        <w:rPr>
          <w:rStyle w:val="Corpsdutexte"/>
          <w:noProof/>
        </w:rPr>
        <w:t>Den 2. december 2009</w:t>
      </w:r>
      <w:r>
        <w:rPr>
          <w:noProof/>
        </w:rPr>
        <w:t xml:space="preserve"> vedtog Rådet efter henstilling fra Kommissionen afgørelse </w:t>
      </w:r>
      <w:r>
        <w:rPr>
          <w:rStyle w:val="Corpsdutexte2"/>
          <w:noProof/>
        </w:rPr>
        <w:t>2010/288/EU</w:t>
      </w:r>
      <w:r>
        <w:rPr>
          <w:rStyle w:val="FootnoteReference"/>
          <w:noProof/>
        </w:rPr>
        <w:footnoteReference w:id="1"/>
      </w:r>
      <w:r>
        <w:rPr>
          <w:noProof/>
        </w:rPr>
        <w:t xml:space="preserve"> </w:t>
      </w:r>
      <w:r>
        <w:rPr>
          <w:rStyle w:val="Corpsdutexte"/>
          <w:noProof/>
        </w:rPr>
        <w:t xml:space="preserve">om et uforholdsmæssigt stort underskud i Portugal, jf. traktatens artikel 126, stk. 6. Rådet bemærkede, at det forventede underskud for 2009 </w:t>
      </w:r>
      <w:r>
        <w:rPr>
          <w:rStyle w:val="Corpsdutexte"/>
          <w:noProof/>
        </w:rPr>
        <w:t>var på</w:t>
      </w:r>
      <w:r>
        <w:rPr>
          <w:noProof/>
        </w:rPr>
        <w:t xml:space="preserve"> 5,9 % af BNP, hvilket er over referenceværdien i traktaten på 3 % af BNP. Den offentlige bruttogæld (som siden 2005 har ligget over referenceværdien i traktaten på 60 % af BNP) forventedes at udgøre 74,5 % af BNP i 2009.</w:t>
      </w:r>
    </w:p>
    <w:p w:rsidR="008B299E" w:rsidRDefault="00C77FD5">
      <w:pPr>
        <w:pStyle w:val="ManualConsidrant"/>
        <w:rPr>
          <w:rStyle w:val="Corpsdutexte"/>
          <w:noProof/>
        </w:rPr>
      </w:pPr>
      <w:r>
        <w:rPr>
          <w:rStyle w:val="Corpsdutexte"/>
        </w:rPr>
        <w:t>(2)</w:t>
      </w:r>
      <w:r>
        <w:rPr>
          <w:rStyle w:val="Corpsdutexte"/>
        </w:rPr>
        <w:tab/>
      </w:r>
      <w:r>
        <w:rPr>
          <w:noProof/>
        </w:rPr>
        <w:t>På samme dato rettede Rå</w:t>
      </w:r>
      <w:r>
        <w:rPr>
          <w:noProof/>
        </w:rPr>
        <w:t>det på grundlag af en henstilling fra Kommissionen i henhold til traktatens artikel 126, stk. 7, og artikel 3, stk. 4, i forordning (EF) nr. 1467/97</w:t>
      </w:r>
      <w:r>
        <w:rPr>
          <w:rStyle w:val="FootnoteReference"/>
          <w:noProof/>
        </w:rPr>
        <w:footnoteReference w:id="2"/>
      </w:r>
      <w:r>
        <w:rPr>
          <w:noProof/>
        </w:rPr>
        <w:t xml:space="preserve"> en henstilling til Portugal med henblik på at bringe situationen med et uforholdsmæssigt stort underskud t</w:t>
      </w:r>
      <w:r>
        <w:rPr>
          <w:noProof/>
        </w:rPr>
        <w:t xml:space="preserve">il ophør senest i 2013. </w:t>
      </w:r>
      <w:r>
        <w:rPr>
          <w:rStyle w:val="Corpsdutexte"/>
          <w:noProof/>
        </w:rPr>
        <w:t>Rådet fastsatte ligeledes, at der skulle træffes virkningsfulde foranstaltninger senest den 2. juni 2010.</w:t>
      </w:r>
    </w:p>
    <w:p w:rsidR="008B299E" w:rsidRDefault="00C77FD5">
      <w:pPr>
        <w:pStyle w:val="ManualConsidrant"/>
        <w:rPr>
          <w:noProof/>
        </w:rPr>
      </w:pPr>
      <w:r>
        <w:t>(3)</w:t>
      </w:r>
      <w:r>
        <w:tab/>
      </w:r>
      <w:r>
        <w:rPr>
          <w:noProof/>
        </w:rPr>
        <w:t>Efter at de portugisiske myndigheder havde anmodet om finansiel støtte fra Den Europæiske Union, de medlemsstater, der har</w:t>
      </w:r>
      <w:r>
        <w:rPr>
          <w:noProof/>
        </w:rPr>
        <w:t xml:space="preserve"> euroen som valuta, og Den Internationale Valutafond (IMF), tildelte Rådet finansiel støtte til Portugal. Aftalememorandummet om specifikke økonomisk-politiske betingelser mellem Kommissionen og de portugisiske myndigheder blev undertegnet den 17. maj 2011</w:t>
      </w:r>
      <w:r>
        <w:rPr>
          <w:rStyle w:val="FootnoteReference"/>
          <w:noProof/>
        </w:rPr>
        <w:footnoteReference w:id="3"/>
      </w:r>
      <w:r>
        <w:rPr>
          <w:noProof/>
        </w:rPr>
        <w:t>. Siden da har Rådet rettet to nye henstillinger til Portugal (den 9. oktober 2012 og den 21. juni 2013) på grundlag af traktatens artikel 126, stk. 7, hvorved fristen for at korrigere det uforholdsmæssigt store underskud blev forlænget til henholdsvis 20</w:t>
      </w:r>
      <w:r>
        <w:rPr>
          <w:noProof/>
        </w:rPr>
        <w:t>14 og 2015. Rådet fandt i begge henstillinger, at Portugal havde truffet virkningsfulde foranstaltninger, men at der var indtruffet uventede økonomiske begivenheder med store ugunstige konsekvenser for de offentlige finanser. I henhold til artikel 10, stk.</w:t>
      </w:r>
      <w:r>
        <w:rPr>
          <w:noProof/>
        </w:rPr>
        <w:t xml:space="preserve"> 2, </w:t>
      </w:r>
      <w:r>
        <w:rPr>
          <w:noProof/>
        </w:rPr>
        <w:lastRenderedPageBreak/>
        <w:t>litra a), i forordning (EU) nr. 472/2013</w:t>
      </w:r>
      <w:r>
        <w:rPr>
          <w:rStyle w:val="FootnoteReference"/>
          <w:noProof/>
        </w:rPr>
        <w:footnoteReference w:id="4"/>
      </w:r>
      <w:r>
        <w:rPr>
          <w:noProof/>
        </w:rPr>
        <w:t xml:space="preserve"> blev Portugal fritaget for særskilt at fremlægge rapporter i forbindelse med proceduren for uforholdsmæssigt store underskud og rapporterede inden for rammerne af sit makroøkonomiske tilpasningsprogram</w:t>
      </w:r>
      <w:r>
        <w:rPr>
          <w:rStyle w:val="FootnoteReference"/>
          <w:noProof/>
        </w:rPr>
        <w:footnoteReference w:id="5"/>
      </w:r>
      <w:r>
        <w:rPr>
          <w:noProof/>
        </w:rPr>
        <w:t>.</w:t>
      </w:r>
    </w:p>
    <w:p w:rsidR="008B299E" w:rsidRDefault="00C77FD5">
      <w:pPr>
        <w:pStyle w:val="ManualConsidrant"/>
        <w:rPr>
          <w:rStyle w:val="Corpsdutexte"/>
          <w:noProof/>
        </w:rPr>
      </w:pPr>
      <w:r>
        <w:rPr>
          <w:rStyle w:val="Corpsdutexte"/>
        </w:rPr>
        <w:t>(4)</w:t>
      </w:r>
      <w:r>
        <w:rPr>
          <w:rStyle w:val="Corpsdutexte"/>
        </w:rPr>
        <w:tab/>
      </w:r>
      <w:r>
        <w:rPr>
          <w:noProof/>
        </w:rPr>
        <w:t>De</w:t>
      </w:r>
      <w:r>
        <w:rPr>
          <w:noProof/>
        </w:rPr>
        <w:t>n 12. juli 2016 fastslog Rådet i henhold til traktatens artikel 126, stk. 8, at Portugal ikke havde truffet virkningsfulde foranstaltninger til at efterkomme Rådets henstilling af 21. juni 2013. Den 8. august 2016 vedtog Rådet i henhold til traktatens arti</w:t>
      </w:r>
      <w:r>
        <w:rPr>
          <w:noProof/>
        </w:rPr>
        <w:t>kel 126, stk. 9, en afgørelse, hvori den pålagde Portugal at træffe foranstaltninger til den nedbringelse af underskuddet, som skønnes nødvendig for at rette op på situationen med et uforholdsmæssigt stort underskud. Der blev derved fastsat en ny frist for</w:t>
      </w:r>
      <w:r>
        <w:rPr>
          <w:noProof/>
        </w:rPr>
        <w:t xml:space="preserve"> korrektionen af underskuddet, nemlig senest i 2016. </w:t>
      </w:r>
      <w:r>
        <w:rPr>
          <w:rStyle w:val="Corpsdutexte"/>
          <w:noProof/>
        </w:rPr>
        <w:t>Rådet fastsatte ligeledes, at der skulle træffes virkningsfulde foranstaltninger senest den 15. oktober 2016.</w:t>
      </w:r>
    </w:p>
    <w:p w:rsidR="008B299E" w:rsidRDefault="00C77FD5">
      <w:pPr>
        <w:pStyle w:val="ManualConsidrant"/>
        <w:rPr>
          <w:rStyle w:val="Corpsdutexte"/>
          <w:noProof/>
          <w:shd w:val="clear" w:color="auto" w:fill="auto"/>
        </w:rPr>
      </w:pPr>
      <w:r>
        <w:rPr>
          <w:rStyle w:val="Corpsdutexte"/>
        </w:rPr>
        <w:t>(5)</w:t>
      </w:r>
      <w:r>
        <w:rPr>
          <w:rStyle w:val="Corpsdutexte"/>
        </w:rPr>
        <w:tab/>
      </w:r>
      <w:r>
        <w:rPr>
          <w:rStyle w:val="Corpsdutexte"/>
          <w:noProof/>
        </w:rPr>
        <w:t>Den 16. november 2016 konkluderede Kommissionen, at Portugal havde truffet virkningsfulde</w:t>
      </w:r>
      <w:r>
        <w:rPr>
          <w:rStyle w:val="Corpsdutexte"/>
          <w:noProof/>
        </w:rPr>
        <w:t xml:space="preserve"> foranstaltninger i henhold til Rådets afgørelse af 8. august 2016, jf. traktatens artikel 126, stk. 9.</w:t>
      </w:r>
    </w:p>
    <w:p w:rsidR="008B299E" w:rsidRDefault="00C77FD5">
      <w:pPr>
        <w:pStyle w:val="ManualConsidrant"/>
        <w:rPr>
          <w:noProof/>
        </w:rPr>
      </w:pPr>
      <w:r>
        <w:t>(6)</w:t>
      </w:r>
      <w:r>
        <w:tab/>
      </w:r>
      <w:r>
        <w:rPr>
          <w:rStyle w:val="Corpsdutexte"/>
          <w:noProof/>
        </w:rPr>
        <w:t>I henhold til artikel 4 i protokollen om proceduren i forbindelse med uforholdsmæssigt store underskud, der er knyttet som bilag til traktaterne, er</w:t>
      </w:r>
      <w:r>
        <w:rPr>
          <w:rStyle w:val="Corpsdutexte"/>
          <w:noProof/>
        </w:rPr>
        <w:t xml:space="preserve"> det Kommissionen, som skal tilvejebringe de data, der skal benyttes til gennemførelsen af proceduren. Som led i gennemførelsen af denne protokol skal medlemsstaterne indberette oplysninger om det offentlige underskud og den offentlige gæld samt andre rela</w:t>
      </w:r>
      <w:r>
        <w:rPr>
          <w:rStyle w:val="Corpsdutexte"/>
          <w:noProof/>
        </w:rPr>
        <w:t>terede variabler to gange årligt, nemlig inden den 1. april og inden den 1. oktober, jf. artikel 3 i Rådets forordning (EF) nr. 479/2009</w:t>
      </w:r>
      <w:r>
        <w:rPr>
          <w:rStyle w:val="FootnoteReference"/>
          <w:noProof/>
        </w:rPr>
        <w:footnoteReference w:id="6"/>
      </w:r>
      <w:r>
        <w:rPr>
          <w:rStyle w:val="Corpsdutexte"/>
          <w:noProof/>
        </w:rPr>
        <w:t xml:space="preserve">. </w:t>
      </w:r>
    </w:p>
    <w:p w:rsidR="008B299E" w:rsidRDefault="00C77FD5">
      <w:pPr>
        <w:pStyle w:val="ManualConsidrant"/>
        <w:rPr>
          <w:noProof/>
        </w:rPr>
      </w:pPr>
      <w:r>
        <w:t>(7)</w:t>
      </w:r>
      <w:r>
        <w:tab/>
      </w:r>
      <w:r>
        <w:rPr>
          <w:rStyle w:val="Corpsdutexte"/>
          <w:noProof/>
        </w:rPr>
        <w:t>Ophævelse af en afgørelse om, at der foreligger et uforholdsmæssigt stort underskud, bør ske ved en afgørelse ve</w:t>
      </w:r>
      <w:r>
        <w:rPr>
          <w:rStyle w:val="Corpsdutexte"/>
          <w:noProof/>
        </w:rPr>
        <w:t xml:space="preserve">dtaget af Rådet på grundlag af de indberettede oplysninger. Desuden bør en afgørelse om et uforholdsmæssigt stort underskud kun ophæves, hvis Kommissionens prognoser viser, at underskuddet ikke vil overstige traktatens referenceværdi på 3 % af BNP i løbet </w:t>
      </w:r>
      <w:r>
        <w:rPr>
          <w:rStyle w:val="Corpsdutexte"/>
          <w:noProof/>
        </w:rPr>
        <w:t>af prognoseperioden</w:t>
      </w:r>
      <w:r>
        <w:rPr>
          <w:rStyle w:val="FootnoteReference"/>
          <w:noProof/>
        </w:rPr>
        <w:footnoteReference w:id="7"/>
      </w:r>
      <w:r>
        <w:rPr>
          <w:rStyle w:val="Corpsdutexte"/>
          <w:noProof/>
        </w:rPr>
        <w:t>.</w:t>
      </w:r>
    </w:p>
    <w:p w:rsidR="008B299E" w:rsidRDefault="00C77FD5">
      <w:pPr>
        <w:pStyle w:val="ManualConsidrant"/>
        <w:rPr>
          <w:noProof/>
        </w:rPr>
      </w:pPr>
      <w:r>
        <w:t>(8)</w:t>
      </w:r>
      <w:r>
        <w:tab/>
      </w:r>
      <w:r>
        <w:rPr>
          <w:rStyle w:val="Corpsdutexte"/>
          <w:noProof/>
        </w:rPr>
        <w:t>På grundlag af de data, som Kommissionen (Eurostat) har fremlagt i henhold til artikel 14 i forordning (EF) nr. 479/2009 efter indberetningen fra Portugal i april 2017, og på grundlag af stabilitetsprogrammet for 2017 og Kommissio</w:t>
      </w:r>
      <w:r>
        <w:rPr>
          <w:rStyle w:val="Corpsdutexte"/>
          <w:noProof/>
        </w:rPr>
        <w:t>nens forårsprognose 2017 kan der drages følgende konklusioner:</w:t>
      </w:r>
    </w:p>
    <w:p w:rsidR="008B299E" w:rsidRDefault="00C77FD5">
      <w:pPr>
        <w:pStyle w:val="Tiret1"/>
        <w:numPr>
          <w:ilvl w:val="0"/>
          <w:numId w:val="2"/>
        </w:numPr>
        <w:rPr>
          <w:noProof/>
        </w:rPr>
      </w:pPr>
      <w:r>
        <w:rPr>
          <w:rStyle w:val="Corpsdutexte"/>
          <w:noProof/>
        </w:rPr>
        <w:t>Efter at det offentlige underskud i 2015 nåede op på 4,4 % af BNP (3,1 % af BNP eksklusive engangsforanstaltninger), faldt det i 2016 til 2,0 % af BNP (2,3 % af BNP eksklusive engangsforanstalt</w:t>
      </w:r>
      <w:r>
        <w:rPr>
          <w:rStyle w:val="Corpsdutexte"/>
          <w:noProof/>
        </w:rPr>
        <w:t xml:space="preserve">ninger). </w:t>
      </w:r>
      <w:r>
        <w:rPr>
          <w:noProof/>
        </w:rPr>
        <w:t xml:space="preserve">I forhold til budgetmålsætningerne i 2016 skyldtes </w:t>
      </w:r>
      <w:r>
        <w:rPr>
          <w:rStyle w:val="Corpsdutexte"/>
          <w:noProof/>
        </w:rPr>
        <w:t>nedbringelsen af underskuddet i 2016 hovedsagelig</w:t>
      </w:r>
      <w:r>
        <w:rPr>
          <w:noProof/>
        </w:rPr>
        <w:t xml:space="preserve"> en begrænsning af de løbende udgifter (-0,9 % af BNP), særlig i forbruget i produktionen, og underudnyttelse af kapitaludgifter (-0,5 % af BNP), h</w:t>
      </w:r>
      <w:r>
        <w:rPr>
          <w:noProof/>
        </w:rPr>
        <w:t xml:space="preserve">vilket har mere end opvejet faldet i indtægterne (1,1 % af BNP) for både skatteindtægter og ikkeskattemæssige indtægter. </w:t>
      </w:r>
    </w:p>
    <w:p w:rsidR="008B299E" w:rsidRDefault="00C77FD5">
      <w:pPr>
        <w:pStyle w:val="Tiret1"/>
        <w:rPr>
          <w:noProof/>
        </w:rPr>
      </w:pPr>
      <w:r>
        <w:rPr>
          <w:noProof/>
        </w:rPr>
        <w:t>Ifølge stabilitetsprogrammet for 2017-2021, som blev fremlagt af den portugisiske regering den 28. april 2017, vil det offentlige unde</w:t>
      </w:r>
      <w:r>
        <w:rPr>
          <w:noProof/>
        </w:rPr>
        <w:t xml:space="preserve">rskud blive reduceret til 1,5 % af BNP i 2017 og 1,0 % af BNP i 2018. Ifølge Kommissionens forårsprognose 2017 vil underskuddet udgøre 1,8 % af BNP i 2017 og 1,9 % af BNP i 2018, hvilket er under traktatens referenceværdi på 3 % af BNP i prognoseperioden. </w:t>
      </w:r>
      <w:r>
        <w:rPr>
          <w:noProof/>
        </w:rPr>
        <w:t>Disse prognoser omfatter ikke den potentielle underskudsforøgende virkning af støtteforanstaltninger til banker</w:t>
      </w:r>
      <w:r>
        <w:rPr>
          <w:rStyle w:val="FootnoteReference"/>
          <w:noProof/>
        </w:rPr>
        <w:footnoteReference w:id="8"/>
      </w:r>
      <w:r>
        <w:rPr>
          <w:noProof/>
        </w:rPr>
        <w:t>, som ikke burde bringe den varige nedbringelse af underskuddet i fare.</w:t>
      </w:r>
    </w:p>
    <w:p w:rsidR="008B299E" w:rsidRDefault="00C77FD5">
      <w:pPr>
        <w:pStyle w:val="Tiret1"/>
        <w:rPr>
          <w:noProof/>
        </w:rPr>
      </w:pPr>
      <w:r>
        <w:rPr>
          <w:rStyle w:val="Corpsdutexte"/>
          <w:noProof/>
        </w:rPr>
        <w:t xml:space="preserve">Den strukturelle saldo, dvs. den konjunkturkorrigerede offentlige saldo </w:t>
      </w:r>
      <w:r>
        <w:rPr>
          <w:rStyle w:val="Corpsdutexte"/>
          <w:noProof/>
        </w:rPr>
        <w:t xml:space="preserve">uden engangsforanstaltninger og andre midlertidige foranstaltninger, blev forbedret med 0,3 % af BNP i 2016. </w:t>
      </w:r>
    </w:p>
    <w:p w:rsidR="008B299E" w:rsidRDefault="00C77FD5">
      <w:pPr>
        <w:pStyle w:val="Tiret1"/>
        <w:rPr>
          <w:rStyle w:val="Corpsdutexte"/>
          <w:noProof/>
        </w:rPr>
      </w:pPr>
      <w:r>
        <w:rPr>
          <w:rStyle w:val="Corpsdutexte"/>
          <w:noProof/>
        </w:rPr>
        <w:t>Bruttogældskvoten steg til 130,4 % i 2016 fra 129,2 % i 2015, hvilket skyldtes gældsforøgende stockflow-tilpasninger. Ifølge Kommissionens prognos</w:t>
      </w:r>
      <w:r>
        <w:rPr>
          <w:rStyle w:val="Corpsdutexte"/>
          <w:noProof/>
        </w:rPr>
        <w:t xml:space="preserve">e fra foråret 2017 forventes gældskvoten at falde til 128,5 % i 2017 og 126,2 % i 2018 på grund af overskud på den primære saldo. </w:t>
      </w:r>
    </w:p>
    <w:p w:rsidR="008B299E" w:rsidRDefault="00C77FD5">
      <w:pPr>
        <w:pStyle w:val="ManualConsidrant"/>
        <w:rPr>
          <w:noProof/>
        </w:rPr>
      </w:pPr>
      <w:r>
        <w:t>(9)</w:t>
      </w:r>
      <w:r>
        <w:tab/>
      </w:r>
      <w:r>
        <w:rPr>
          <w:rStyle w:val="Corpsdutexte"/>
          <w:noProof/>
        </w:rPr>
        <w:t>Rådets afgørelse om et uforholdsmæssigt stort underskud skal ophæves, når det uforholdsmæssigt store underskud i den pågæ</w:t>
      </w:r>
      <w:r>
        <w:rPr>
          <w:rStyle w:val="Corpsdutexte"/>
          <w:noProof/>
        </w:rPr>
        <w:t>ldende medlemsstat efter Rådets opfattelse er blevet korrigeret, jf. traktatens artikel 126, stk. 12.</w:t>
      </w:r>
    </w:p>
    <w:p w:rsidR="008B299E" w:rsidRDefault="00C77FD5">
      <w:pPr>
        <w:pStyle w:val="ManualConsidrant"/>
        <w:rPr>
          <w:rStyle w:val="Corpsdutexte"/>
          <w:noProof/>
        </w:rPr>
      </w:pPr>
      <w:r>
        <w:rPr>
          <w:rStyle w:val="Corpsdutexte"/>
        </w:rPr>
        <w:t>(10)</w:t>
      </w:r>
      <w:r>
        <w:rPr>
          <w:rStyle w:val="Corpsdutexte"/>
        </w:rPr>
        <w:tab/>
      </w:r>
      <w:r>
        <w:rPr>
          <w:rStyle w:val="Corpsdutexte"/>
          <w:noProof/>
        </w:rPr>
        <w:t>Efter Rådets opfattelse er det uforholdsmæssigt store underskud i Portugal blevet korrigeret, og afgørelse 2010/288/EU bør derfor ophæves.</w:t>
      </w:r>
    </w:p>
    <w:p w:rsidR="008B299E" w:rsidRDefault="00C77FD5">
      <w:pPr>
        <w:pStyle w:val="ManualConsidrant"/>
        <w:rPr>
          <w:rStyle w:val="Corpsdutexte"/>
          <w:noProof/>
        </w:rPr>
      </w:pPr>
      <w:r>
        <w:rPr>
          <w:rStyle w:val="Corpsdutexte"/>
        </w:rPr>
        <w:t>(11)</w:t>
      </w:r>
      <w:r>
        <w:rPr>
          <w:rStyle w:val="Corpsdutexte"/>
        </w:rPr>
        <w:tab/>
      </w:r>
      <w:r>
        <w:rPr>
          <w:rStyle w:val="Corpsdutexte"/>
          <w:noProof/>
        </w:rPr>
        <w:t>Fra 2</w:t>
      </w:r>
      <w:r>
        <w:rPr>
          <w:rStyle w:val="Corpsdutexte"/>
          <w:noProof/>
        </w:rPr>
        <w:t>017, dvs. året efter korrektionen af det uforholdsmæssigt store underskud, er Portugal underlagt den forebyggende del af stabilitets- og vækstpagten og bør nærme sig den mellemfristede målsætning i et rimeligt tempo, herunder overholde udgiftsbenchmarket o</w:t>
      </w:r>
      <w:r>
        <w:rPr>
          <w:rStyle w:val="Corpsdutexte"/>
          <w:noProof/>
        </w:rPr>
        <w:t xml:space="preserve">g gældskriteriet, jf. artikel 2, stk. 1a, i forordning (EF) nr. 1467/97 — </w:t>
      </w:r>
    </w:p>
    <w:p w:rsidR="008B299E" w:rsidRDefault="008B299E">
      <w:pPr>
        <w:rPr>
          <w:noProof/>
          <w:shd w:val="clear" w:color="auto" w:fill="FFFFFF"/>
        </w:rPr>
      </w:pPr>
    </w:p>
    <w:p w:rsidR="008B299E" w:rsidRDefault="00C77FD5">
      <w:pPr>
        <w:pStyle w:val="Formuledadoption"/>
        <w:rPr>
          <w:noProof/>
        </w:rPr>
      </w:pPr>
      <w:r>
        <w:rPr>
          <w:noProof/>
        </w:rPr>
        <w:t xml:space="preserve">VEDTAGET DENNE AFGØRELSE: </w:t>
      </w:r>
    </w:p>
    <w:p w:rsidR="008B299E" w:rsidRDefault="00C77FD5">
      <w:pPr>
        <w:pStyle w:val="Titrearticle"/>
        <w:rPr>
          <w:noProof/>
        </w:rPr>
      </w:pPr>
      <w:r>
        <w:rPr>
          <w:noProof/>
        </w:rPr>
        <w:t>Artikel 1</w:t>
      </w:r>
    </w:p>
    <w:p w:rsidR="008B299E" w:rsidRDefault="00C77FD5">
      <w:pPr>
        <w:rPr>
          <w:noProof/>
        </w:rPr>
      </w:pPr>
      <w:r>
        <w:rPr>
          <w:rStyle w:val="Corpsdutexte"/>
          <w:noProof/>
        </w:rPr>
        <w:t>Ud fra en samlet vurdering kan det konkluderes, at situationen med et uforholdsmæssigt stort underskud i Portugal er blevet</w:t>
      </w:r>
      <w:r>
        <w:rPr>
          <w:noProof/>
        </w:rPr>
        <w:t xml:space="preserve"> </w:t>
      </w:r>
      <w:r>
        <w:rPr>
          <w:rStyle w:val="Corpsdutexte6"/>
          <w:noProof/>
        </w:rPr>
        <w:t>korrigeret.</w:t>
      </w:r>
    </w:p>
    <w:p w:rsidR="008B299E" w:rsidRDefault="00C77FD5">
      <w:pPr>
        <w:pStyle w:val="Titrearticle"/>
        <w:rPr>
          <w:noProof/>
        </w:rPr>
      </w:pPr>
      <w:r>
        <w:rPr>
          <w:rStyle w:val="Corpsdutexte5"/>
          <w:noProof/>
        </w:rPr>
        <w:t>Artikel</w:t>
      </w:r>
      <w:r>
        <w:rPr>
          <w:rStyle w:val="Corpsdutexte5"/>
          <w:noProof/>
        </w:rPr>
        <w:t xml:space="preserve"> 2</w:t>
      </w:r>
    </w:p>
    <w:p w:rsidR="008B299E" w:rsidRDefault="00C77FD5">
      <w:pPr>
        <w:rPr>
          <w:noProof/>
        </w:rPr>
      </w:pPr>
      <w:r>
        <w:rPr>
          <w:rStyle w:val="Corpsdutexte"/>
          <w:noProof/>
        </w:rPr>
        <w:t>Afgørelse 2010/288/EU ophæves.</w:t>
      </w:r>
    </w:p>
    <w:p w:rsidR="008B299E" w:rsidRDefault="00C77FD5">
      <w:pPr>
        <w:pStyle w:val="Titrearticle"/>
        <w:rPr>
          <w:noProof/>
        </w:rPr>
      </w:pPr>
      <w:r>
        <w:rPr>
          <w:rStyle w:val="Corpsdutexte5"/>
          <w:noProof/>
        </w:rPr>
        <w:t>Artikel 3</w:t>
      </w:r>
    </w:p>
    <w:p w:rsidR="008B299E" w:rsidRDefault="00C77FD5">
      <w:pPr>
        <w:rPr>
          <w:noProof/>
        </w:rPr>
      </w:pPr>
      <w:r>
        <w:rPr>
          <w:rStyle w:val="Corpsdutexte"/>
          <w:noProof/>
        </w:rPr>
        <w:t>Denne afgørelse er rettet til Den Portugisiske Republik.</w:t>
      </w:r>
    </w:p>
    <w:p w:rsidR="008B299E" w:rsidRDefault="00C77FD5" w:rsidP="00C77FD5">
      <w:pPr>
        <w:pStyle w:val="Fait"/>
        <w:rPr>
          <w:noProof/>
        </w:rPr>
      </w:pPr>
      <w:r w:rsidRPr="00C77FD5">
        <w:t xml:space="preserve">Udfærdiget i Bruxelles, den </w:t>
      </w:r>
      <w:r w:rsidRPr="00C77FD5">
        <w:rPr>
          <w:rStyle w:val="Marker2"/>
        </w:rPr>
        <w:t>[…]</w:t>
      </w:r>
      <w:r w:rsidRPr="00C77FD5">
        <w:t>.</w:t>
      </w:r>
    </w:p>
    <w:p w:rsidR="008B299E" w:rsidRDefault="00C77FD5">
      <w:pPr>
        <w:pStyle w:val="Institutionquisigne"/>
        <w:rPr>
          <w:noProof/>
        </w:rPr>
      </w:pPr>
      <w:r>
        <w:rPr>
          <w:noProof/>
        </w:rPr>
        <w:tab/>
        <w:t>På Rådets vegne</w:t>
      </w:r>
      <w:r>
        <w:rPr>
          <w:noProof/>
        </w:rPr>
        <w:tab/>
      </w:r>
      <w:r>
        <w:rPr>
          <w:noProof/>
        </w:rPr>
        <w:br/>
      </w:r>
    </w:p>
    <w:p w:rsidR="008B299E" w:rsidRDefault="00C77FD5">
      <w:pPr>
        <w:pStyle w:val="Personnequisigne"/>
        <w:rPr>
          <w:noProof/>
        </w:rPr>
      </w:pPr>
      <w:r>
        <w:rPr>
          <w:noProof/>
        </w:rPr>
        <w:tab/>
        <w:t>Formand</w:t>
      </w:r>
    </w:p>
    <w:sectPr w:rsidR="008B299E" w:rsidSect="00C77FD5">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9E" w:rsidRDefault="00C77FD5">
      <w:pPr>
        <w:spacing w:before="0" w:after="0"/>
      </w:pPr>
      <w:r>
        <w:separator/>
      </w:r>
    </w:p>
  </w:endnote>
  <w:endnote w:type="continuationSeparator" w:id="0">
    <w:p w:rsidR="008B299E" w:rsidRDefault="00C77F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D5" w:rsidRPr="00C77FD5" w:rsidRDefault="00C77FD5" w:rsidP="00C77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9E" w:rsidRPr="00C77FD5" w:rsidRDefault="00C77FD5" w:rsidP="00C77FD5">
    <w:pPr>
      <w:pStyle w:val="Footer"/>
      <w:rPr>
        <w:rFonts w:ascii="Arial" w:hAnsi="Arial" w:cs="Arial"/>
        <w:b/>
        <w:sz w:val="48"/>
      </w:rPr>
    </w:pPr>
    <w:r w:rsidRPr="00C77FD5">
      <w:rPr>
        <w:rFonts w:ascii="Arial" w:hAnsi="Arial" w:cs="Arial"/>
        <w:b/>
        <w:sz w:val="48"/>
      </w:rPr>
      <w:t>DA</w:t>
    </w:r>
    <w:r w:rsidRPr="00C77FD5">
      <w:rPr>
        <w:rFonts w:ascii="Arial" w:hAnsi="Arial" w:cs="Arial"/>
        <w:b/>
        <w:sz w:val="48"/>
      </w:rPr>
      <w:tab/>
    </w:r>
    <w:r w:rsidRPr="00C77FD5">
      <w:rPr>
        <w:rFonts w:ascii="Arial" w:hAnsi="Arial" w:cs="Arial"/>
        <w:b/>
        <w:sz w:val="48"/>
      </w:rPr>
      <w:tab/>
    </w:r>
    <w:fldSimple w:instr=" DOCVARIABLE &quot;LW_Confidence&quot; \* MERGEFORMAT ">
      <w:r>
        <w:t xml:space="preserve"> </w:t>
      </w:r>
    </w:fldSimple>
    <w:r w:rsidRPr="00C77FD5">
      <w:tab/>
    </w:r>
    <w:proofErr w:type="spellStart"/>
    <w:r w:rsidRPr="00C77FD5">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D5" w:rsidRPr="00C77FD5" w:rsidRDefault="00C77FD5" w:rsidP="00C77F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D5" w:rsidRPr="00C77FD5" w:rsidRDefault="00C77FD5" w:rsidP="00C77FD5">
    <w:pPr>
      <w:pStyle w:val="Footer"/>
      <w:rPr>
        <w:rFonts w:ascii="Arial" w:hAnsi="Arial" w:cs="Arial"/>
        <w:b/>
        <w:sz w:val="48"/>
      </w:rPr>
    </w:pPr>
    <w:r w:rsidRPr="00C77FD5">
      <w:rPr>
        <w:rFonts w:ascii="Arial" w:hAnsi="Arial" w:cs="Arial"/>
        <w:b/>
        <w:sz w:val="48"/>
      </w:rPr>
      <w:t>DA</w:t>
    </w:r>
    <w:r w:rsidRPr="00C77FD5">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fldSimple w:instr=" DOCVARIABLE &quot;LW_Confidence&quot; \* MERGEFORMAT ">
      <w:r>
        <w:t xml:space="preserve"> </w:t>
      </w:r>
    </w:fldSimple>
    <w:r w:rsidRPr="00C77FD5">
      <w:tab/>
    </w:r>
    <w:r w:rsidRPr="00C77FD5">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D5" w:rsidRPr="00C77FD5" w:rsidRDefault="00C77FD5" w:rsidP="00C77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9E" w:rsidRDefault="00C77FD5">
      <w:pPr>
        <w:spacing w:before="0" w:after="0"/>
      </w:pPr>
      <w:r>
        <w:separator/>
      </w:r>
    </w:p>
  </w:footnote>
  <w:footnote w:type="continuationSeparator" w:id="0">
    <w:p w:rsidR="008B299E" w:rsidRDefault="00C77FD5">
      <w:pPr>
        <w:spacing w:before="0" w:after="0"/>
      </w:pPr>
      <w:r>
        <w:continuationSeparator/>
      </w:r>
    </w:p>
  </w:footnote>
  <w:footnote w:id="1">
    <w:p w:rsidR="008B299E" w:rsidRDefault="00C77FD5">
      <w:pPr>
        <w:pStyle w:val="FootnoteText"/>
      </w:pPr>
      <w:r>
        <w:rPr>
          <w:rStyle w:val="FootnoteReference"/>
        </w:rPr>
        <w:footnoteRef/>
      </w:r>
      <w:r>
        <w:tab/>
        <w:t xml:space="preserve">Rådets </w:t>
      </w:r>
      <w:r>
        <w:t>afgørelse 2010/288/EU af 2. december 2009 om et uforholdsmæssigt stort underskud i Portugal (EUT L 125 af 21.5.2010, s. 44).</w:t>
      </w:r>
    </w:p>
  </w:footnote>
  <w:footnote w:id="2">
    <w:p w:rsidR="008B299E" w:rsidRDefault="00C77FD5">
      <w:pPr>
        <w:pStyle w:val="FootnoteText"/>
      </w:pPr>
      <w:r>
        <w:rPr>
          <w:rStyle w:val="FootnoteReference"/>
        </w:rPr>
        <w:footnoteRef/>
      </w:r>
      <w:r>
        <w:tab/>
        <w:t>Rådets forordning (EF) nr. 1467/97 af 7. juli 1997 om fremskyndelse og afklaring af gennemførelsen af proceduren i forbindelse me</w:t>
      </w:r>
      <w:r>
        <w:t>d uforholdsmæssigt store underskud (EFT L 209 af 2.8.1997, s. 6).</w:t>
      </w:r>
    </w:p>
  </w:footnote>
  <w:footnote w:id="3">
    <w:p w:rsidR="008B299E" w:rsidRDefault="00C77FD5">
      <w:pPr>
        <w:pStyle w:val="FootnoteText"/>
      </w:pPr>
      <w:r>
        <w:rPr>
          <w:rStyle w:val="FootnoteReference"/>
        </w:rPr>
        <w:footnoteRef/>
      </w:r>
      <w:r>
        <w:tab/>
        <w:t xml:space="preserve">Rådets gennemførelsesafgørelse 2011/344/EU af 17. maj 2011 om tildeling af finansiel støtte fra Unionen til Portugal (EUT L 159 af 17.6.2011, s. 88).  </w:t>
      </w:r>
    </w:p>
  </w:footnote>
  <w:footnote w:id="4">
    <w:p w:rsidR="008B299E" w:rsidRDefault="00C77FD5">
      <w:pPr>
        <w:pStyle w:val="FootnoteText"/>
      </w:pPr>
      <w:r>
        <w:rPr>
          <w:rStyle w:val="FootnoteReference"/>
        </w:rPr>
        <w:footnoteRef/>
      </w:r>
      <w:r>
        <w:tab/>
        <w:t>Europa-Parlamentets og Rådets foro</w:t>
      </w:r>
      <w:r>
        <w:t>rdning (EU) nr. 473/2013 af 21. maj 2013 om fælles bestemmelser om overvågning og evaluering af udkast til budgetplaner og til sikring af korrektion af uforholdsmæssigt store underskud i medlemsstaterne i euroområdet (EUT L 140 af 27.5.2013, s. 11).</w:t>
      </w:r>
    </w:p>
  </w:footnote>
  <w:footnote w:id="5">
    <w:p w:rsidR="008B299E" w:rsidRDefault="00C77FD5">
      <w:pPr>
        <w:pStyle w:val="FootnoteText"/>
      </w:pPr>
      <w:r>
        <w:rPr>
          <w:rStyle w:val="FootnoteReference"/>
        </w:rPr>
        <w:footnoteRef/>
      </w:r>
      <w:r>
        <w:tab/>
        <w:t>Alle</w:t>
      </w:r>
      <w:r>
        <w:t xml:space="preserve"> dokumenter vedrørende proceduren i forbindelse med uforholdsmæssigt store underskud findes på: </w:t>
      </w:r>
      <w:hyperlink r:id="rId1">
        <w:r>
          <w:rPr>
            <w:rStyle w:val="Hyperlink"/>
          </w:rPr>
          <w:t>https://ec.europa.eu/info/business-economy-euro/economic-and-fiscal-policy-coordination/eu-economic-governance-monitoring-prevention-correction</w:t>
        </w:r>
        <w:r>
          <w:rPr>
            <w:rStyle w:val="Hyperlink"/>
          </w:rPr>
          <w:t>/stability-and-growth-pact/corrective-arm-excessive-deficit-procedure/excessive-deficit-procedures-overview_en</w:t>
        </w:r>
      </w:hyperlink>
    </w:p>
  </w:footnote>
  <w:footnote w:id="6">
    <w:p w:rsidR="008B299E" w:rsidRDefault="00C77FD5">
      <w:pPr>
        <w:pStyle w:val="FootnoteText"/>
      </w:pPr>
      <w:r>
        <w:rPr>
          <w:rStyle w:val="FootnoteReference"/>
        </w:rPr>
        <w:footnoteRef/>
      </w:r>
      <w:r>
        <w:tab/>
        <w:t>Rådets forordning (EF) nr. 479/2009 af 25. maj 2009 om gennemførelse af den protokol om proceduren i forbindelse med uforholdsmæssigt store und</w:t>
      </w:r>
      <w:r>
        <w:t xml:space="preserve">erskud, der er knyttet som bilag til traktaten om oprettelse af Det Europæiske Fællesskab </w:t>
      </w:r>
      <w:r>
        <w:rPr>
          <w:rStyle w:val="Corpsdutexte4"/>
        </w:rPr>
        <w:t>(EUT L 145 af 10.6.2009, s. 1)</w:t>
      </w:r>
      <w:r>
        <w:t>.</w:t>
      </w:r>
    </w:p>
  </w:footnote>
  <w:footnote w:id="7">
    <w:p w:rsidR="008B299E" w:rsidRDefault="00C77FD5">
      <w:pPr>
        <w:pStyle w:val="FootnoteText"/>
        <w:rPr>
          <w:rStyle w:val="Corpsdutexte4"/>
        </w:rPr>
      </w:pPr>
      <w:r>
        <w:rPr>
          <w:rStyle w:val="FootnoteReference"/>
        </w:rPr>
        <w:footnoteRef/>
      </w:r>
      <w:r>
        <w:tab/>
      </w:r>
      <w:r>
        <w:rPr>
          <w:rStyle w:val="Corpsdutexte4"/>
        </w:rPr>
        <w:t>I overensstemmelse med "Specifikationer om gennemførelsen af stabilitets- og vækstpagten og retningslinjer for stabilitets- og konve</w:t>
      </w:r>
      <w:r>
        <w:rPr>
          <w:rStyle w:val="Corpsdutexte4"/>
        </w:rPr>
        <w:t>rgensprogrammernes indhold og form" som vedtaget af Det Økonomiske og Finansielle Udvalg den 5.7.2016, som kan ses på:</w:t>
      </w:r>
    </w:p>
    <w:p w:rsidR="008B299E" w:rsidRDefault="00C77FD5">
      <w:pPr>
        <w:pStyle w:val="FootnoteText"/>
        <w:ind w:firstLine="0"/>
      </w:pPr>
      <w:hyperlink r:id="rId2">
        <w:r>
          <w:rPr>
            <w:rStyle w:val="Hyperlink"/>
            <w:sz w:val="19"/>
            <w:shd w:val="clear" w:color="auto" w:fill="FFFFFF"/>
          </w:rPr>
          <w:t>http://ec.europa.eu/economy_finan</w:t>
        </w:r>
        <w:r>
          <w:rPr>
            <w:rStyle w:val="Hyperlink"/>
            <w:sz w:val="19"/>
            <w:shd w:val="clear" w:color="auto" w:fill="FFFFFF"/>
          </w:rPr>
          <w:t>ce/economic_governance/sgp/legal_texts/index_en.htm</w:t>
        </w:r>
      </w:hyperlink>
      <w:r>
        <w:rPr>
          <w:rStyle w:val="Corpsdutexte4"/>
        </w:rPr>
        <w:t>.</w:t>
      </w:r>
    </w:p>
  </w:footnote>
  <w:footnote w:id="8">
    <w:p w:rsidR="008B299E" w:rsidRDefault="00C77FD5">
      <w:pPr>
        <w:pStyle w:val="FootnoteText"/>
        <w:tabs>
          <w:tab w:val="left" w:pos="709"/>
        </w:tabs>
        <w:rPr>
          <w:lang w:val="pt-PT"/>
        </w:rPr>
      </w:pPr>
      <w:r>
        <w:rPr>
          <w:rStyle w:val="FootnoteReference"/>
        </w:rPr>
        <w:footnoteRef/>
      </w:r>
      <w:r>
        <w:rPr>
          <w:lang w:val="pt-PT"/>
        </w:rPr>
        <w:tab/>
      </w:r>
      <w:proofErr w:type="spellStart"/>
      <w:r>
        <w:rPr>
          <w:lang w:val="pt-PT"/>
        </w:rPr>
        <w:t>Kommissionens</w:t>
      </w:r>
      <w:proofErr w:type="spellEnd"/>
      <w:r>
        <w:rPr>
          <w:lang w:val="pt-PT"/>
        </w:rPr>
        <w:t xml:space="preserve"> </w:t>
      </w:r>
      <w:proofErr w:type="spellStart"/>
      <w:r>
        <w:rPr>
          <w:lang w:val="pt-PT"/>
        </w:rPr>
        <w:t>afgørelse</w:t>
      </w:r>
      <w:proofErr w:type="spellEnd"/>
      <w:r>
        <w:rPr>
          <w:lang w:val="pt-PT"/>
        </w:rPr>
        <w:t xml:space="preserve"> </w:t>
      </w:r>
      <w:proofErr w:type="spellStart"/>
      <w:r>
        <w:rPr>
          <w:lang w:val="pt-PT"/>
        </w:rPr>
        <w:t>af</w:t>
      </w:r>
      <w:proofErr w:type="spellEnd"/>
      <w:r>
        <w:rPr>
          <w:lang w:val="pt-PT"/>
        </w:rPr>
        <w:t xml:space="preserve"> 10.3.2017 - SA.47178 – Portugal – </w:t>
      </w:r>
      <w:proofErr w:type="spellStart"/>
      <w:r>
        <w:rPr>
          <w:lang w:val="pt-PT"/>
        </w:rPr>
        <w:t>Recapitalisation</w:t>
      </w:r>
      <w:proofErr w:type="spellEnd"/>
      <w:r>
        <w:rPr>
          <w:lang w:val="pt-PT"/>
        </w:rPr>
        <w:t xml:space="preserve"> </w:t>
      </w:r>
      <w:proofErr w:type="spellStart"/>
      <w:r>
        <w:rPr>
          <w:lang w:val="pt-PT"/>
        </w:rPr>
        <w:t>of</w:t>
      </w:r>
      <w:proofErr w:type="spellEnd"/>
      <w:r>
        <w:rPr>
          <w:lang w:val="pt-PT"/>
        </w:rPr>
        <w:t xml:space="preserve"> Caixa Geral de Depósitos, S.A., </w:t>
      </w:r>
      <w:hyperlink r:id="rId3">
        <w:r>
          <w:rPr>
            <w:rStyle w:val="Hyperlink"/>
            <w:lang w:val="pt-PT"/>
          </w:rPr>
          <w:t>http://europa.e</w:t>
        </w:r>
        <w:r>
          <w:rPr>
            <w:rStyle w:val="Hyperlink"/>
            <w:lang w:val="pt-PT"/>
          </w:rPr>
          <w:t>u/rapid/press-release_IP-17-556_en.htm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D5" w:rsidRPr="00C77FD5" w:rsidRDefault="00C77FD5" w:rsidP="00C77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D5" w:rsidRPr="00C77FD5" w:rsidRDefault="00C77FD5" w:rsidP="00C77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D5" w:rsidRPr="00C77FD5" w:rsidRDefault="00C77FD5" w:rsidP="00C77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ACB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0A18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AAA6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51EC5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5EDD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AC48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EE6B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6BE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3 15:51: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3596A2F303744D819A0D92F0E40862E0"/>
    <w:docVar w:name="LW_CROSSREFERENCE" w:val="&lt;UNUSED&gt;"/>
    <w:docVar w:name="LW_DocType" w:val="COM"/>
    <w:docVar w:name="LW_EMISSION" w:val="22.5.2017"/>
    <w:docVar w:name="LW_EMISSION_ISODATE" w:val="2017-05-22"/>
    <w:docVar w:name="LW_EMISSION_LOCATION" w:val="BRX"/>
    <w:docVar w:name="LW_EMISSION_PREFIX" w:val="Bruxelles, den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530"/>
    <w:docVar w:name="LW_REF.INTERNE" w:val="&lt;UNUSED&gt;"/>
    <w:docVar w:name="LW_SOUS.TITRE.OBJ.CP" w:val="&lt;UNUSED&gt;"/>
    <w:docVar w:name="LW_STATUT.CP" w:val="Henstilling med henblik på"/>
    <w:docVar w:name="LW_SUPERTITRE" w:val="&lt;UNUSED&gt;"/>
    <w:docVar w:name="LW_TITRE.OBJ.CP" w:val="om ophævelse af afgørelse 2010/288/EU om et uforholdsmæssigt stort underskud i Portugal"/>
    <w:docVar w:name="LW_TYPE.DOC.CP" w:val="RÅDETS AFGØRELSE"/>
  </w:docVars>
  <w:rsids>
    <w:rsidRoot w:val="008B299E"/>
    <w:rsid w:val="008B299E"/>
    <w:rsid w:val="00C7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rsid w:val="00C77F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77FD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77FD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rsid w:val="00C77F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77FD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77FD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IP-17-556_en.htm" TargetMode="External"/><Relationship Id="rId2" Type="http://schemas.openxmlformats.org/officeDocument/2006/relationships/hyperlink" Target="http://ec.europa.eu/economy_finance/economic_governance/sgp/legal_texts/index_en.htm" TargetMode="External"/><Relationship Id="rId1" Type="http://schemas.openxmlformats.org/officeDocument/2006/relationships/hyperlink" Target="https://ec.europa.eu/info/business-economy-euro/economic-and-fiscal-policy-coordination/eu-economic-governance-monitoring-prevention-correction/stability-and-growth-pact/corrective-arm-excessive-deficit-procedure/excessive-deficit-procedures-overview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B422-9BD9-4C8D-93B5-AB7BB6A5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1063</Words>
  <Characters>6093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2017-05-23T13:51:00Z</dcterms:created>
  <dcterms:modified xsi:type="dcterms:W3CDTF">2017-05-29T12:45:00Z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SG-001</vt:lpwstr>
  </property>
  <property fmtid="{D5CDD505-2E9C-101B-9397-08002B2CF9AE}" pid="10" name="DQCStatus">
    <vt:lpwstr>Yellow (DQC version 03)</vt:lpwstr>
  </property>
</Properties>
</file>