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FF6ACA11C3441BBAFCA0836BD22D1D" style="width:450.25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numPr>
          <w:ilvl w:val="0"/>
          <w:numId w:val="1"/>
        </w:numPr>
        <w:spacing w:before="240" w:after="240" w:line="240" w:lineRule="auto"/>
        <w:ind w:left="357" w:hanging="357"/>
        <w:contextualSpacing/>
        <w:jc w:val="both"/>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Introduzzjoni</w:t>
      </w:r>
    </w:p>
    <w:p>
      <w:pPr>
        <w:spacing w:before="240" w:after="240" w:line="240" w:lineRule="auto"/>
        <w:ind w:left="357"/>
        <w:contextualSpacing/>
        <w:jc w:val="both"/>
        <w:rPr>
          <w:rFonts w:ascii="Times New Roman" w:eastAsia="Calibri" w:hAnsi="Times New Roman" w:cs="Times New Roman"/>
          <w:b/>
          <w:noProof/>
          <w:sz w:val="24"/>
          <w:szCs w:val="24"/>
        </w:rPr>
      </w:pP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L-investiment fin-nies, u b’mod partikolari fiż-żgħażagħ, huwa waħda mill-ogħla prijoritajiet tal-Ewropa. </w:t>
      </w:r>
      <w:r>
        <w:rPr>
          <w:rFonts w:ascii="Times New Roman" w:hAnsi="Times New Roman"/>
          <w:noProof/>
          <w:sz w:val="24"/>
        </w:rPr>
        <w:t>F’Diċembru tal-2016,</w:t>
      </w:r>
      <w:r>
        <w:rPr>
          <w:rFonts w:ascii="Times New Roman" w:hAnsi="Times New Roman"/>
          <w:b/>
          <w:noProof/>
          <w:sz w:val="24"/>
        </w:rPr>
        <w:t xml:space="preserve"> </w:t>
      </w:r>
      <w:r>
        <w:rPr>
          <w:rFonts w:ascii="Times New Roman" w:hAnsi="Times New Roman"/>
          <w:noProof/>
          <w:sz w:val="24"/>
        </w:rPr>
        <w:t>il-Kummissjoni Ewropea ppreżentat l-inizjattivi “Ninvestu fiż-Żgħażagħ tal-Ewropa”,</w:t>
      </w:r>
      <w:r>
        <w:rPr>
          <w:rStyle w:val="FootnoteReference"/>
          <w:rFonts w:ascii="Times New Roman" w:hAnsi="Times New Roman"/>
          <w:noProof/>
          <w:sz w:val="24"/>
        </w:rPr>
        <w:footnoteReference w:id="2"/>
      </w:r>
      <w:r>
        <w:rPr>
          <w:rFonts w:ascii="Times New Roman" w:hAnsi="Times New Roman"/>
          <w:noProof/>
          <w:sz w:val="24"/>
        </w:rPr>
        <w:t xml:space="preserve"> fejn enfasizzat l-importanza li jinfetħu </w:t>
      </w:r>
      <w:r>
        <w:rPr>
          <w:rFonts w:ascii="Times New Roman" w:hAnsi="Times New Roman"/>
          <w:i/>
          <w:noProof/>
          <w:sz w:val="24"/>
        </w:rPr>
        <w:t>opportunitajiet ġodda għaż-żgħażagħ</w:t>
      </w:r>
      <w:r>
        <w:rPr>
          <w:rFonts w:ascii="Times New Roman" w:hAnsi="Times New Roman"/>
          <w:noProof/>
          <w:sz w:val="24"/>
        </w:rPr>
        <w:t>. Messaġġ importanti huwa li l-kwalità tal-edukazzjoni hija deċiżiva għall-prospetti u għall-opportunitajiet fil-ħajja taż-żgħażagħ. Din l-inizjattiva tibni fuq l-“Aġenda Ġdida għall-Ħiliet għall-Ewropa”</w:t>
      </w:r>
      <w:r>
        <w:rPr>
          <w:rFonts w:ascii="Times New Roman" w:hAnsi="Times New Roman"/>
          <w:noProof/>
          <w:sz w:val="24"/>
          <w:vertAlign w:val="superscript"/>
        </w:rPr>
        <w:footnoteReference w:id="3"/>
      </w:r>
      <w:r>
        <w:rPr>
          <w:rFonts w:ascii="Times New Roman" w:hAnsi="Times New Roman"/>
          <w:noProof/>
          <w:sz w:val="24"/>
        </w:rPr>
        <w:t>. L-edukazzjoni għandha wkoll rwol ċentrali fil-Pilastru Ewropew tad-Drittijiet Soċjali</w:t>
      </w:r>
      <w:r>
        <w:rPr>
          <w:rFonts w:ascii="Times New Roman" w:hAnsi="Times New Roman"/>
          <w:noProof/>
          <w:sz w:val="24"/>
          <w:vertAlign w:val="superscript"/>
        </w:rPr>
        <w:footnoteReference w:id="4"/>
      </w:r>
      <w:r>
        <w:rPr>
          <w:rFonts w:ascii="Times New Roman" w:hAnsi="Times New Roman"/>
          <w:noProof/>
          <w:sz w:val="24"/>
        </w:rPr>
        <w:t>. Din il-Komunikazzjoni tagħmel parti minn pakkett ta’ inizjattivi li jindirizzaw l-iskejjel, l-edukazzjoni għolja u l-istħarriġ dwar is-sitwazzjoni tal-gradwati. Din twieġeb għall-Konklużjonijiet tal-Kunsill Ewropew ta’ Diċembru tal-2016.</w:t>
      </w:r>
      <w:r>
        <w:rPr>
          <w:rFonts w:ascii="Times New Roman" w:hAnsi="Times New Roman"/>
          <w:noProof/>
          <w:sz w:val="24"/>
          <w:vertAlign w:val="superscript"/>
        </w:rPr>
        <w:footnoteReference w:id="5"/>
      </w:r>
      <w:r>
        <w:rPr>
          <w:rFonts w:ascii="Times New Roman" w:hAnsi="Times New Roman"/>
          <w:noProof/>
          <w:sz w:val="24"/>
        </w:rPr>
        <w:t xml:space="preserve"> Din tappoġġja l-Għan ta’ Żvilupp Sostenibbli nru 4 tan-NU dwar l-edukazzjoni.</w:t>
      </w:r>
      <w:r>
        <w:rPr>
          <w:rFonts w:ascii="Times New Roman" w:hAnsi="Times New Roman"/>
          <w:noProof/>
          <w:sz w:val="24"/>
          <w:vertAlign w:val="superscript"/>
        </w:rPr>
        <w:footnoteReference w:id="6"/>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Edukazzjoni ta’ kwalità għolja għal kulħadd se tgħin lill-Ewropa sabiex tikseb l-objettivi ekonomiċi u soċjali tagħha. </w:t>
      </w:r>
      <w:r>
        <w:rPr>
          <w:rFonts w:ascii="Times New Roman" w:hAnsi="Times New Roman"/>
          <w:noProof/>
          <w:sz w:val="24"/>
        </w:rPr>
        <w:t xml:space="preserve">Edukazzjoni tajba hija l-bażi ta’ soċjetajiet inklużivi u reżiljenti. Hija l-punt tat-tluq għal karriera professjonali ta’ suċċess u l-aqwa protezzjoni kontra l-qgħad u l-faqar. Trawwem l-iżvilupp personali u tistabbilixxi l-bażi għaċ-ċittadinanza attiva. Edukazzjoni tajba tkattar ir-riċerka u l-iżvilupp, l-innovazzjoni u l-kompetittività. Madankollu, biex is-soċjetajiet jiksbu dawn il-benefiċċji, l-edukazzjoni ta’ kwalità għolja jeħtieġ li ssir realtà għal kulħadd.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L-iskejjel għandhom rwol fundamentali fit-tagħlim tul il-ħajja, u għalhekk hemm bżonn ta’ azzjoni biex jiġu mtejba l-kwalità u l-prestazzjoni tal-edukazzjoni skolastika</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Is-sitwazzjoni attwali fl-Ewropa turi li ma hemm l-ebda lok għal kompjaċenza. Fl-Unjoni Ewropea, hemm diversità rikka ta’ skejjel u ta’ sistemi edukattivi. Fl-istess ħin, kważi l-Istati Membri kollha qed jaffaċċjaw bosta sfidi importanti: </w:t>
      </w:r>
    </w:p>
    <w:p>
      <w:pPr>
        <w:pStyle w:val="ListParagraph"/>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Jeżistu nuqqasijiet fl-iżvilupp tal-kompetenzi fil-livell tal-edukazzjoni skolastika</w:t>
      </w:r>
      <w:r>
        <w:rPr>
          <w:rFonts w:ascii="Times New Roman" w:hAnsi="Times New Roman"/>
          <w:noProof/>
          <w:sz w:val="24"/>
        </w:rPr>
        <w:t>. L-aħħar riżultati tal-istħarriġ PISA tal-OECD juru li wieħed minn kull ħames studenti għandu diffikultajiet serji fl-iżvilupp ta’ ħiliet suffiċjenti fil-qari, fil-matematika u fix-xjenza. B’riżultat ta’ dan, dawn iż-żgħażagħ huma aktar probabbli li jaffaċċjaw ostakli importanti tul ħajjithom għall-inklużjoni soċjali u biex isibu impjieg. Fl-istess ħin, is-sehem ta’ studenti li jġibu riżultati tajbin ħafna fl-Ewropa huwa relattivament baxx: anki l-Istati Membri tal-UE bl-aqwa prestazzjoni huma megħluba minn pajjiżi Asjatiċi avvanzati</w:t>
      </w:r>
      <w:r>
        <w:rPr>
          <w:rFonts w:ascii="Times New Roman" w:hAnsi="Times New Roman"/>
          <w:noProof/>
          <w:sz w:val="24"/>
          <w:vertAlign w:val="superscript"/>
        </w:rPr>
        <w:footnoteReference w:id="8"/>
      </w:r>
      <w:r>
        <w:rPr>
          <w:rFonts w:ascii="Times New Roman" w:hAnsi="Times New Roman"/>
          <w:noProof/>
          <w:sz w:val="24"/>
        </w:rPr>
        <w:t>. Ħafna żgħażagħ għandhom nuqqas ta’ ħiliet diġitali xierqa</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Kwistjoni oħra hija n-nuqqas ta’ kwalifiki formali; minkejja l-fatt li ħafna Stati Membri għamlu progress tajjeb biex jitnaqqas is-sehem ta’ studenti li jitilqu mill-iskola qabel iż-żmien għall-mira ewlenija tal-Ewropa 2020 ta’ 10 %, xorta għad hemm wisq żgħażagħ li jitilqu mill-iskola b’mod prematur. </w:t>
      </w:r>
    </w:p>
    <w:p>
      <w:pPr>
        <w:pStyle w:val="ListParagraph"/>
        <w:numPr>
          <w:ilvl w:val="0"/>
          <w:numId w:val="16"/>
        </w:numPr>
        <w:spacing w:after="120" w:line="240" w:lineRule="auto"/>
        <w:jc w:val="both"/>
        <w:rPr>
          <w:rFonts w:ascii="Times New Roman" w:hAnsi="Times New Roman" w:cs="Times New Roman"/>
          <w:noProof/>
          <w:sz w:val="24"/>
          <w:szCs w:val="24"/>
        </w:rPr>
      </w:pPr>
      <w:r>
        <w:rPr>
          <w:rFonts w:ascii="Times New Roman" w:hAnsi="Times New Roman"/>
          <w:b/>
          <w:noProof/>
          <w:sz w:val="24"/>
        </w:rPr>
        <w:t>L-edukazzjoni skolastika mhux dejjem twettaq bis-sħiħ ir-rwol tagħha biex tippromwovi l-ġustizzja soċjali</w:t>
      </w:r>
      <w:r>
        <w:rPr>
          <w:noProof/>
        </w:rPr>
        <w:t>.</w:t>
      </w:r>
      <w:r>
        <w:rPr>
          <w:rFonts w:ascii="Times New Roman" w:hAnsi="Times New Roman"/>
          <w:noProof/>
          <w:sz w:val="24"/>
        </w:rPr>
        <w:t xml:space="preserve"> Id-dejta ta’ PISA</w:t>
      </w:r>
      <w:r>
        <w:rPr>
          <w:rFonts w:ascii="Times New Roman" w:hAnsi="Times New Roman"/>
          <w:noProof/>
          <w:sz w:val="24"/>
          <w:vertAlign w:val="superscript"/>
        </w:rPr>
        <w:footnoteReference w:id="10"/>
      </w:r>
      <w:r>
        <w:rPr>
          <w:rFonts w:ascii="Times New Roman" w:hAnsi="Times New Roman"/>
          <w:noProof/>
          <w:sz w:val="24"/>
        </w:rPr>
        <w:t xml:space="preserve"> turi li d-distakk bejn is-sessi fil-matematika u fix-xjenza qed jonqos, madankollu l-isterjotipi tas-sessi għadhom qed iwasslu għal differenzi fl-involviment fix-xjenza u fl-ICT u jeħtieġu aktar attenzjoni. Barra minn hekk, id-dejta turi li l-kisbiet edukattivi fil-biċċa l-kbira jkunu jiddependu mill-isfond soċjoekonomiku tal-istudent. Bħala medja, iktar minn terz taż-żgħażagħ minn sfondi żvantaġġati fl-UE juru livelli baxxi ta’ riżultati edukattivi. Dan huwa erba’ darbiet aktar mill-pari tagħhom li ġejjin minn sfondi aktar vantaġġati u huwa amplifikat minn sfidi speċifiċi oħra għall-istudenti li ġejjin minn sfond ta' migrazzjoni u Rom. Dawn id-distakki jżidu mal-inugwaljanza soċjali</w:t>
      </w:r>
      <w:r>
        <w:rPr>
          <w:rStyle w:val="FootnoteReference"/>
          <w:rFonts w:ascii="Times New Roman" w:hAnsi="Times New Roman"/>
          <w:noProof/>
          <w:sz w:val="24"/>
        </w:rPr>
        <w:footnoteReference w:id="11"/>
      </w:r>
      <w:r>
        <w:rPr>
          <w:rFonts w:ascii="Times New Roman" w:hAnsi="Times New Roman"/>
          <w:noProof/>
          <w:sz w:val="24"/>
        </w:rPr>
        <w:t xml:space="preserve"> minflok ma jrażżnuha. L-aċċess għal edukazzjoni u għal taħriġ ta’ kwalità għolja huwa fundamentali għal soċjetà aktar reżiljenti u ugwali. L-eżempji tal-Estonja u tal-Finlandja juru li s-sistemi edukattivi skolastiċi jistgħu jipprovdu livelli għoljin ta’ kisbiet kif ukoll ta’ ekwità fl-istess ħin.</w:t>
      </w:r>
    </w:p>
    <w:p>
      <w:pPr>
        <w:pStyle w:val="ListParagraph"/>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Ir-ritmu tal-bidla teknoloġika u diġitali qed iħalli effett profond fuq l-ekonomiji u fuq is-soċjetajiet tagħna - l-iskejjel jeħtieġ li jirrispondu aħjar għal din ir-realtà</w:t>
      </w:r>
      <w:r>
        <w:rPr>
          <w:rFonts w:ascii="Times New Roman" w:hAnsi="Times New Roman"/>
          <w:noProof/>
          <w:sz w:val="24"/>
        </w:rPr>
        <w:t>. Ħafna mit-tfal tal-iskola tal-lum aktar 'il quddiem se jaħdmu f'tipi ta’ xogħlijiet li llum il-ġurnata għadhom ma jeżistux.</w:t>
      </w:r>
      <w:r>
        <w:rPr>
          <w:rFonts w:ascii="Times New Roman" w:hAnsi="Times New Roman"/>
          <w:noProof/>
          <w:color w:val="000000"/>
          <w:sz w:val="24"/>
        </w:rPr>
        <w:t xml:space="preserve"> 90 % mill-impjiegi tal-lum jeħtieġu minn tal-inqas ċertu livell ta’ ħiliet diġitali</w:t>
      </w:r>
      <w:r>
        <w:rPr>
          <w:rStyle w:val="FootnoteReference"/>
          <w:rFonts w:ascii="Times New Roman" w:hAnsi="Times New Roman"/>
          <w:noProof/>
          <w:color w:val="000000"/>
          <w:sz w:val="24"/>
        </w:rPr>
        <w:footnoteReference w:id="12"/>
      </w:r>
      <w:r>
        <w:rPr>
          <w:noProof/>
        </w:rPr>
        <w:t>.</w:t>
      </w:r>
      <w:r>
        <w:rPr>
          <w:rFonts w:ascii="Times New Roman" w:hAnsi="Times New Roman"/>
          <w:noProof/>
          <w:color w:val="000000"/>
          <w:sz w:val="24"/>
        </w:rPr>
        <w:t xml:space="preserve"> </w:t>
      </w:r>
      <w:r>
        <w:rPr>
          <w:rFonts w:ascii="Times New Roman" w:hAnsi="Times New Roman"/>
          <w:noProof/>
          <w:sz w:val="24"/>
        </w:rPr>
        <w:t>M’għadux biżżejjed li ż-żgħażagħ tagħna nagħtuhom sett fiss ta’ ħiliet jew ta’ għarfien; dawn iridu jiżviluppaw ir-reżiljenza u l-ħila biex jadattaw għall-bidla. Id-“Dokument ta’ Riflessjoni dwar l-Isfruttar tal-Globalizzazzjoni” jirrikonoxxi wkoll li hemm bżonn ta’ modi ġodda ta’ tagħlim għal soċjetà li qed issir dejjem aktar mobbli u diġitali. Kif inhu enfasizzat fid-“Dokument ta’ Riflessjoni dwar id-Dimensjoni Soċjali tal-Ewropa”, is-sistemi edukattivi jeħtieġ li jiġu mmodernizzati biex jippromwovu l-kreattività u l-ħsieb kritiku, kif ukoll mentalità intraprenditorjali</w:t>
      </w:r>
      <w:r>
        <w:rPr>
          <w:rStyle w:val="FootnoteReference"/>
          <w:rFonts w:ascii="Times New Roman" w:hAnsi="Times New Roman"/>
          <w:noProof/>
          <w:sz w:val="24"/>
        </w:rPr>
        <w:footnoteReference w:id="13"/>
      </w:r>
      <w:r>
        <w:rPr>
          <w:noProof/>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L-indirizzar ta’ dawn l-isfidi jeħtieġ riformi. </w:t>
      </w:r>
      <w:r>
        <w:rPr>
          <w:rFonts w:ascii="Times New Roman" w:hAnsi="Times New Roman"/>
          <w:noProof/>
          <w:sz w:val="24"/>
        </w:rPr>
        <w:t xml:space="preserve">Dan huwa kompitu tal-Istati Membri, peress li huma responsabbli mit-tfassil tas-sistemi edukattivi u s-soluzzjonijiet ivarjaw skont l-ispeċifiċitajiet nazzjonali, reġjonali u lokali. F’konformità mas-sussidjarjetà, l-UE tista’ taqdi rwol siewi fl-appoġġ lill-Istati Membri fl-isforzi ta’ riforma tagħhom. Il-kooperazzjoni fil-livell tal-UE tappoġġja lill-Istati Membri b’analiżi tad-dejta, kondiviżjoni tal-evidenza, bl-identifikazzjoni ta’ prattiki tajba, u billi toffri opportunitajiet għall-iskambju ta’ esperjenzi u għat-tagħlim reċiproku. Din it-tip ta’ kooperazzjoni volontarja toffri valur miżjud lill-Istati Membri fit-teħid ta' deċiżjonijiet informati. </w:t>
      </w:r>
    </w:p>
    <w:p>
      <w:pPr>
        <w:spacing w:after="120" w:line="240" w:lineRule="auto"/>
        <w:jc w:val="both"/>
        <w:rPr>
          <w:rFonts w:ascii="Times New Roman" w:hAnsi="Times New Roman"/>
          <w:noProof/>
          <w:sz w:val="24"/>
        </w:rPr>
      </w:pPr>
      <w:r>
        <w:rPr>
          <w:rFonts w:ascii="Times New Roman" w:hAnsi="Times New Roman"/>
          <w:b/>
          <w:noProof/>
          <w:sz w:val="24"/>
        </w:rPr>
        <w:t>Hemm tliet oqsma li fihom hija meħtieġa azzjoni</w:t>
      </w:r>
      <w:r>
        <w:rPr>
          <w:rFonts w:ascii="Times New Roman" w:hAnsi="Times New Roman"/>
          <w:noProof/>
          <w:sz w:val="24"/>
        </w:rPr>
        <w:t xml:space="preserve"> u li fihom l-appoġġ fil-livell Ewropew jista’ jgħin biex jiġu indirizzati l-isfidi msemmija hawn fuq: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L-iżvilupp ta’ skejjel aħjar u aktar inklużivi;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L-appoġġ lill-għalliema u lill-mexxejja tal-iskejjel għal tagħlim eċċellenti; u,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Il-governanza tas-sistemi edukattivi fl-iskejjel: it-tisħiħ tal-effikaċja, tal-ekwi u tal-effiċjenti.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Għal kull qasam, din il-Komunikazzjoni tistabbilixxi azzjoni tal-UE biex tassisti lill-Istati Membri fl-indirizzar ta’ dawn l-isfidi.</w:t>
      </w:r>
      <w:r>
        <w:rPr>
          <w:rFonts w:ascii="Times New Roman" w:hAnsi="Times New Roman"/>
          <w:noProof/>
          <w:sz w:val="24"/>
        </w:rPr>
        <w:t xml:space="preserve"> Is-Semestru Ewropew huwa mutur ewlieni għar-riformi, jiġifieri permezz tar-rakkomandazzjonijiet speċifiċi għall-pajjiż relatati mal-edukazzjoni. L-UE tista’ tgħin lil dawk l-Istati Membri li għandhom bżonn l-appoġġ fl-isforzi ta’ riforma tagħhom. Barra minn hekk, l-UE toffri appoġġ finanzjarju u tekniku lill-Istati Membri, b’mod partikolari permezz ta’ Erasmus+, il-Fondi Strutturali u ta' Investiment Ewropej, u s-Servizz ta’ Sostenn għar-Riforma Strutturali.</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Id-diversità hija karatteristika tas-sistemi edukattivi skolastiċi Ewropej</w:t>
      </w:r>
      <w:r>
        <w:rPr>
          <w:rFonts w:ascii="Times New Roman" w:hAnsi="Times New Roman"/>
          <w:noProof/>
          <w:sz w:val="24"/>
        </w:rPr>
        <w:t xml:space="preserve">, u ma hemm l-ebda soluzzjoni universali. Fl-istess ħin, l-Istati Membri għandhom interess komuni fit-titjib tar-riżultati edukattivi. Biex din l-idea ta’ edukazzjoni ta’ kwalità għolja għal kulħadd issir realtà, jenħtieġ li jiġu sfruttati bis-sħiħ l-għodod kollha disponibbli fil-livelli nazzjonali u tal-UE. Il-Kummissjoni tinsab lesta li taħdem mill-qrib mal-Istati Membri. </w:t>
      </w:r>
    </w:p>
    <w:p>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2. L-iżvilupp ta’ skejjel aħjar u aktar inklużivi</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Biex tikkomplimenta l-azzjonijiet meħuda mill-Istati Membri, il-Kummissjoni se:</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Iżżid il-kooperazzjoni bejn l-iskejjel billi tagħmel </w:t>
      </w:r>
      <w:r>
        <w:rPr>
          <w:rFonts w:ascii="Times New Roman" w:hAnsi="Times New Roman"/>
          <w:b/>
          <w:noProof/>
          <w:color w:val="000000"/>
          <w:sz w:val="24"/>
        </w:rPr>
        <w:t>is-sħubijiet bejn l-iskejjel u l-mobilità tal-istudenti permezz ta' Erasmus+</w:t>
      </w:r>
      <w:r>
        <w:rPr>
          <w:rFonts w:ascii="Times New Roman" w:hAnsi="Times New Roman"/>
          <w:noProof/>
          <w:color w:val="000000"/>
          <w:sz w:val="24"/>
        </w:rPr>
        <w:t xml:space="preserve"> aktar aċċessibbli u tarrikkixxi t-tagħlim diġitali u interkulturali billi tippromwovi l-parteċipazzjoni f’</w:t>
      </w:r>
      <w:r>
        <w:rPr>
          <w:rFonts w:ascii="Times New Roman" w:hAnsi="Times New Roman"/>
          <w:b/>
          <w:noProof/>
          <w:color w:val="000000"/>
          <w:sz w:val="24"/>
        </w:rPr>
        <w:t>eTwinning</w:t>
      </w:r>
      <w:r>
        <w:rPr>
          <w:rFonts w:ascii="Times New Roman" w:hAnsi="Times New Roman"/>
          <w:noProof/>
          <w:color w:val="000000"/>
          <w:sz w:val="24"/>
        </w:rPr>
        <w:t>;</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Tiżviluppa </w:t>
      </w:r>
      <w:r>
        <w:rPr>
          <w:rFonts w:ascii="Times New Roman" w:hAnsi="Times New Roman"/>
          <w:b/>
          <w:noProof/>
          <w:color w:val="000000"/>
          <w:sz w:val="24"/>
        </w:rPr>
        <w:t>għodda ta’ awtovalutazzjoni dwar il-kapaċità diġitali</w:t>
      </w:r>
      <w:r>
        <w:rPr>
          <w:rFonts w:ascii="Times New Roman" w:hAnsi="Times New Roman"/>
          <w:noProof/>
          <w:color w:val="000000"/>
          <w:sz w:val="24"/>
        </w:rPr>
        <w:t xml:space="preserve"> biex l-iskejjel fl-UE jkunu jistgħu, fuq bażi volontarja, jagħmlu awtovalutazzjoni ta’ fejn jinsabu fir-rigward tal-kriterji komuni u jiġu appoġġjati fl-iżvilupp u fit-titjib tal-użu effettiv tagħhom tat-teknoloġiji għat-tagħlim fl-era diġitali</w:t>
      </w:r>
      <w:r>
        <w:rPr>
          <w:rFonts w:ascii="Times New Roman" w:hAnsi="Times New Roman"/>
          <w:noProof/>
          <w:color w:val="000000"/>
          <w:sz w:val="24"/>
          <w:vertAlign w:val="superscript"/>
        </w:rPr>
        <w:footnoteReference w:id="14"/>
      </w:r>
      <w:r>
        <w:rPr>
          <w:rFonts w:ascii="Times New Roman" w:hAnsi="Times New Roman"/>
          <w:noProof/>
          <w:color w:val="000000"/>
          <w:sz w:val="24"/>
        </w:rPr>
        <w:t>. Billi jużaw din l-għodda, l-iskejjel jistgħu jagħżlu li jirrapportaw dwar il-progress tagħhom</w:t>
      </w:r>
      <w:r>
        <w:rPr>
          <w:rFonts w:ascii="Times New Roman" w:hAnsi="Times New Roman"/>
          <w:b/>
          <w:noProof/>
          <w:color w:val="000000"/>
          <w:sz w:val="24"/>
        </w:rPr>
        <w:t xml:space="preserve"> fid-disponibilità, fl-użu, fil-kompetenzi u fl-attitudnijiet għat-Teknoloġiji tal-Informazzjoni u tal-Komunikazzjoni, billi jibnu bażi tad-dejta </w:t>
      </w:r>
      <w:r>
        <w:rPr>
          <w:rFonts w:ascii="Times New Roman" w:hAnsi="Times New Roman"/>
          <w:noProof/>
          <w:color w:val="000000"/>
          <w:sz w:val="24"/>
        </w:rPr>
        <w:t xml:space="preserve">għall-Istati Membri parteċipanti kollha. </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Tappoġġja t-titjib fl-edukazzjoni fil-livell tal-iskejjel </w:t>
      </w:r>
      <w:r>
        <w:rPr>
          <w:rFonts w:ascii="Times New Roman" w:hAnsi="Times New Roman"/>
          <w:b/>
          <w:noProof/>
          <w:color w:val="000000"/>
          <w:sz w:val="24"/>
        </w:rPr>
        <w:t>fix-xjenza, fit-teknoloġiji, fl-inġinerija u fil-matematika</w:t>
      </w:r>
      <w:r>
        <w:rPr>
          <w:rFonts w:ascii="Times New Roman" w:hAnsi="Times New Roman"/>
          <w:noProof/>
          <w:color w:val="000000"/>
          <w:sz w:val="24"/>
        </w:rPr>
        <w:t xml:space="preserve"> (STEM) billi tippromwovi l-aħjar prattika fl-iżvilupp ta’ rabtiet u ta’ kooperazzjoni tal-edukazzjoni għolja, tar-riċerka u tan-negozji mal-iskejjel fil-livell tal-UE u tindirizza b’mod effettiv id-distakk u l-isterjotipi bejn is-sessi fi STEM, permezz ta’ Erasmus+.</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noProof/>
          <w:color w:val="000000"/>
          <w:sz w:val="24"/>
        </w:rPr>
      </w:pPr>
      <w:r>
        <w:rPr>
          <w:rFonts w:ascii="Times New Roman" w:hAnsi="Times New Roman"/>
          <w:noProof/>
          <w:color w:val="000000"/>
          <w:sz w:val="24"/>
        </w:rPr>
        <w:t xml:space="preserve">Tippromwovi u tappoġġja l-esperimentazzjoni tal-politika dwar l-iżvilupp ta’ </w:t>
      </w:r>
      <w:r>
        <w:rPr>
          <w:rFonts w:ascii="Times New Roman" w:hAnsi="Times New Roman"/>
          <w:b/>
          <w:noProof/>
          <w:color w:val="000000"/>
          <w:sz w:val="24"/>
        </w:rPr>
        <w:t>pedagoġiji multilingwi</w:t>
      </w:r>
      <w:r>
        <w:rPr>
          <w:rFonts w:ascii="Times New Roman" w:hAnsi="Times New Roman"/>
          <w:noProof/>
          <w:color w:val="000000"/>
          <w:sz w:val="24"/>
        </w:rPr>
        <w:t xml:space="preserve"> u ta’ </w:t>
      </w:r>
      <w:r>
        <w:rPr>
          <w:rFonts w:ascii="Times New Roman" w:hAnsi="Times New Roman"/>
          <w:b/>
          <w:noProof/>
          <w:color w:val="000000"/>
          <w:sz w:val="24"/>
        </w:rPr>
        <w:t>tagħlim fi klassijiet diversifikati</w:t>
      </w:r>
      <w:r>
        <w:rPr>
          <w:rFonts w:ascii="Times New Roman" w:hAnsi="Times New Roman"/>
          <w:noProof/>
          <w:color w:val="000000"/>
          <w:sz w:val="24"/>
        </w:rPr>
        <w:t xml:space="preserve"> bħala parti mill-programm ta’ ħidma tal-2018 ta’ Erasmus+.</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color w:val="000000"/>
          <w:sz w:val="24"/>
        </w:rPr>
        <w:t>Tagħti segwitu għall-osservazzjonijiet tal-Kumitat tan-Nazzjonijiet Uniti dwar id-Drittijiet ta’ Persuni b’Diżabilità billi tappoġġja l-kooperazzjoni bejn l-</w:t>
      </w:r>
      <w:r>
        <w:rPr>
          <w:rFonts w:ascii="Times New Roman" w:hAnsi="Times New Roman"/>
          <w:b/>
          <w:noProof/>
          <w:color w:val="000000"/>
          <w:sz w:val="24"/>
        </w:rPr>
        <w:t xml:space="preserve">Aġenzija Ewropea għall-Bżonnijiet Speċjali u l-Edukazzjoni Inklużiva </w:t>
      </w:r>
      <w:r>
        <w:rPr>
          <w:rFonts w:ascii="Times New Roman" w:hAnsi="Times New Roman"/>
          <w:noProof/>
          <w:color w:val="000000"/>
          <w:sz w:val="24"/>
        </w:rPr>
        <w:t>u l-Istati Membri, fuq talba tagħhom, fl-implimentazzjoni tad-dispożizzjonijiet dwar l-edukazzjoni tal-Konvenzjoni tan-NU dwar id-Drittijiet ta’ Persuni b’Diżabilità.</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color w:val="000000"/>
          <w:sz w:val="24"/>
          <w:szCs w:val="24"/>
        </w:rPr>
      </w:pPr>
      <w:r>
        <w:rPr>
          <w:rFonts w:ascii="Times New Roman" w:hAnsi="Times New Roman"/>
          <w:noProof/>
          <w:sz w:val="24"/>
        </w:rPr>
        <w:t xml:space="preserve">Tkompli tappoġġja lill-Istati Membri sabiex jipprovdu </w:t>
      </w:r>
      <w:r>
        <w:rPr>
          <w:rFonts w:ascii="Times New Roman" w:hAnsi="Times New Roman"/>
          <w:b/>
          <w:noProof/>
          <w:sz w:val="24"/>
        </w:rPr>
        <w:t>edukazzjoni u kura bikrija tat-tfal ta’ kwalità għolja</w:t>
      </w:r>
      <w:r>
        <w:rPr>
          <w:rFonts w:ascii="Times New Roman" w:hAnsi="Times New Roman"/>
          <w:noProof/>
          <w:sz w:val="24"/>
        </w:rPr>
        <w:t xml:space="preserve"> suffiċjenti u żżid l-isforzi biex tgħinuhom sabiex jitgħallmu minn xulxin u jidentifikaw x’jaħdem l-aħjar.</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2.1</w:t>
      </w:r>
      <w:r>
        <w:rPr>
          <w:noProof/>
        </w:rPr>
        <w:tab/>
      </w:r>
      <w:r>
        <w:rPr>
          <w:rFonts w:ascii="Times New Roman" w:hAnsi="Times New Roman"/>
          <w:b/>
          <w:noProof/>
          <w:color w:val="000000"/>
          <w:sz w:val="24"/>
        </w:rPr>
        <w:t>L-appoġġ lill-istudenti kollha u l-iżvilupp tal-kompetenzi tagħhom</w:t>
      </w:r>
    </w:p>
    <w:p>
      <w:pPr>
        <w:keepNext/>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Iż-żgħażagħ kollha jeħtieġ li jkollhom l-opportunità li jiżviluppaw il-firxa sħiħa ta’ kompetenzi ewlenin.</w:t>
      </w:r>
      <w:r>
        <w:rPr>
          <w:rFonts w:ascii="Times New Roman" w:hAnsi="Times New Roman"/>
          <w:noProof/>
          <w:color w:val="000000"/>
          <w:sz w:val="24"/>
        </w:rPr>
        <w:t xml:space="preserve"> Dawn jinkludu l-litteriżmu, l-lingwi barranin, il-matematika, ix-xjenza, il-ħiliet diġitali u l-ikkowdjar u l-kompetenzi ċiviċi u soċjali, iżda anki l-kompetenzi relatati mal-intraprenditorija u ħiliet trasversali bħall-kreattività u l-ħsieb kritiku. Minkejja l-importanza tagħhom, mhux iż-żgħażagħ kollha jiżviluppaw bis-sħiħ dawn il-kompetenzi. Il-Qafas Ewropew dwar il-Kompetenzi Ewlenin għat-Tagħlim Tul il-Ħajja tal-2006</w:t>
      </w:r>
      <w:r>
        <w:rPr>
          <w:rStyle w:val="FootnoteReference"/>
          <w:rFonts w:ascii="Times New Roman" w:hAnsi="Times New Roman"/>
          <w:noProof/>
          <w:color w:val="000000"/>
          <w:sz w:val="24"/>
        </w:rPr>
        <w:t xml:space="preserve"> </w:t>
      </w:r>
      <w:r>
        <w:rPr>
          <w:rStyle w:val="FootnoteReference"/>
          <w:rFonts w:ascii="Times New Roman" w:hAnsi="Times New Roman"/>
          <w:noProof/>
          <w:color w:val="000000"/>
          <w:sz w:val="24"/>
        </w:rPr>
        <w:footnoteReference w:id="15"/>
      </w:r>
      <w:r>
        <w:rPr>
          <w:rFonts w:ascii="Times New Roman" w:hAnsi="Times New Roman"/>
          <w:noProof/>
          <w:color w:val="000000"/>
          <w:sz w:val="24"/>
        </w:rPr>
        <w:t xml:space="preserve"> jappoġġja l-kisba ta’ dawn il-kompetenzi. Ir-reviżjoni tiegħu, imħabbra fl-“Aġenda Ġdida għall-Ħiliet”, se tgħin biex ikompli jissaħħaħ l-iżvilupp tal-kompetenzi fl-edukazzjoni u fit-taħriġ. Għall-iskejjel, dan jeħtieġ ukoll bidla fil-mod kif isir it-tagħlim.</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Ir-rabta tat-tagħlim mal-esperjenza tal-ħajja reali trendi riżultati aħjar. </w:t>
      </w:r>
      <w:r>
        <w:rPr>
          <w:rFonts w:ascii="Times New Roman" w:hAnsi="Times New Roman"/>
          <w:noProof/>
          <w:color w:val="000000"/>
          <w:sz w:val="24"/>
        </w:rPr>
        <w:t>It-tagħlim ibbażat fuq proġetti u fuq problemi, l-esperjenzi fuq il-post tax-xogħol jew it-tagħlim f’servizz fil-komunità jżidu l-motivazzjoni taż-żgħażagħ, ipoġġu l-kontenut ta’ suġġett f’kuntest, u joffru opportunitajiet għall-iżvilupp ta’ kompetenzi soċjali, ċiviċi u intraprenditorjali</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L-edukazzjoni fix-xjenza, fit-teknoloġiji, fl-inġinerija u fil-matematika (STEM) hija aktar effettiva meta tkun marbuta ma’ sfidi ekonomiċi, ambjentali u soċjali jew mal-arti u d-disinn, li juru r-rilevanza tagħha għall-ħajja ta’ kuljum</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w:t>
      </w:r>
    </w:p>
    <w:p>
      <w:pPr>
        <w:autoSpaceDE w:val="0"/>
        <w:autoSpaceDN w:val="0"/>
        <w:adjustRightInd w:val="0"/>
        <w:spacing w:before="240" w:after="240" w:line="240" w:lineRule="auto"/>
        <w:jc w:val="both"/>
        <w:rPr>
          <w:rFonts w:ascii="Times New Roman" w:hAnsi="Times New Roman" w:cs="Times New Roman"/>
          <w:b/>
          <w:i/>
          <w:noProof/>
          <w:color w:val="000000"/>
          <w:sz w:val="24"/>
          <w:szCs w:val="24"/>
        </w:rPr>
      </w:pPr>
      <w:r>
        <w:rPr>
          <w:rFonts w:ascii="Times New Roman" w:hAnsi="Times New Roman"/>
          <w:b/>
          <w:noProof/>
          <w:color w:val="000000"/>
          <w:sz w:val="24"/>
        </w:rPr>
        <w:t xml:space="preserve">It-teknoloġiji diġitali jistgħu jsaħħu t-tagħlim u jappoġġjaw l-innovazzjoni fl-iskejjel. </w:t>
      </w:r>
      <w:r>
        <w:rPr>
          <w:rFonts w:ascii="Times New Roman" w:hAnsi="Times New Roman"/>
          <w:noProof/>
          <w:color w:val="000000"/>
          <w:sz w:val="24"/>
        </w:rPr>
        <w:t>Użati kif xieraq, it-teknoloġiji diġitali jistgħu jsaħħu l-esperjenzi ta’ tagħlim u jappoġġjaw l-iżvilupp lil hinn mill-kompetenza diġitali. Minkejja dan, kwart biss mit-tfal tal-iskola Ewropej huma mgħallma minn għalliema li jħossuhom kunfidenti fil-ħiliet diġitali</w:t>
      </w:r>
      <w:r>
        <w:rPr>
          <w:rStyle w:val="FootnoteReference"/>
          <w:rFonts w:ascii="Times New Roman" w:hAnsi="Times New Roman"/>
          <w:noProof/>
          <w:color w:val="000000"/>
          <w:sz w:val="24"/>
        </w:rPr>
        <w:footnoteReference w:id="18"/>
      </w:r>
      <w:r>
        <w:rPr>
          <w:noProof/>
        </w:rPr>
        <w:t>.</w:t>
      </w:r>
      <w:r>
        <w:rPr>
          <w:rFonts w:ascii="Times New Roman" w:hAnsi="Times New Roman"/>
          <w:noProof/>
          <w:color w:val="000000"/>
          <w:sz w:val="24"/>
        </w:rPr>
        <w:t xml:space="preserve"> It-teknoloġiji diġitali jistgħu jappoġġjaw il-komunikazzjoni u l-kooperazzjoni fl-iskejjel u bejniethom u jsaħħu l-parteċipazzjoni tal-istudenti u tal-familji tagħhom fil-ħajja skolastika. </w:t>
      </w:r>
    </w:p>
    <w:p>
      <w:pPr>
        <w:autoSpaceDE w:val="0"/>
        <w:autoSpaceDN w:val="0"/>
        <w:adjustRightInd w:val="0"/>
        <w:spacing w:before="240" w:after="240" w:line="240" w:lineRule="auto"/>
        <w:jc w:val="both"/>
        <w:rPr>
          <w:rFonts w:ascii="Times New Roman" w:hAnsi="Times New Roman"/>
          <w:b/>
          <w:i/>
          <w:noProof/>
          <w:color w:val="000000"/>
          <w:sz w:val="24"/>
        </w:rPr>
      </w:pPr>
      <w:r>
        <w:rPr>
          <w:rFonts w:ascii="Times New Roman" w:hAnsi="Times New Roman"/>
          <w:b/>
          <w:noProof/>
          <w:color w:val="000000"/>
          <w:sz w:val="24"/>
        </w:rPr>
        <w:t>L-iskejjel iridu jappoġġjaw lill-istudenti kollha u jirrispondu għall-ħtiġijiet speċifiċi tagħhom</w:t>
      </w:r>
      <w:r>
        <w:rPr>
          <w:rFonts w:ascii="Times New Roman" w:hAnsi="Times New Roman"/>
          <w:noProof/>
          <w:color w:val="000000"/>
          <w:sz w:val="24"/>
        </w:rPr>
        <w:t>. L-iskejjel li joqogħdu attenti għall-ħtiġijiet varji ta’ studenti differenti jiksbu riżultati aħjar. Din għandha wkoll dimensjoni tas-sessi. L-iskejjel li jħaddnu d-diversità lingwistika u kulturali fil-popolazzjoni skolastika tagħhom u li jappoġġjaw l-integrazzjoni għandhom effett pożittiv fuq il-ħila ta' tagħlim tat-tfal kollha</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Madankollu, din mhix dejjem il-prattika attwali. Uħud mill-Istati Membri jaffaċċjaw diffikultajiet meta jiġu biex jipprovdu lill-istudenti b’diżabilità b'aċċess għall-edukazzjoni inklużiva ta’ kwalità</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F’ċerti bliet u reġjuni, sehem sinifikanti mill-istudenti fl-iskejjel ma jitkellmux bil-lingwa tat-tagħlim id-dar. Speċjalment it-tfal migranti li jkunu għadhom kif waslu jeħtieġu programmi lingwistiċi apposta biex jintegraw aħjar fl-iskola.</w:t>
      </w:r>
      <w:r>
        <w:rPr>
          <w:rFonts w:ascii="Times New Roman" w:hAnsi="Times New Roman"/>
          <w:noProof/>
          <w:color w:val="000000"/>
          <w:sz w:val="24"/>
          <w:vertAlign w:val="superscript"/>
        </w:rPr>
        <w:t xml:space="preserve"> </w:t>
      </w:r>
      <w:r>
        <w:rPr>
          <w:rFonts w:ascii="Times New Roman" w:hAnsi="Times New Roman"/>
          <w:noProof/>
          <w:color w:val="000000"/>
          <w:sz w:val="24"/>
          <w:vertAlign w:val="superscript"/>
        </w:rPr>
        <w:footnoteReference w:id="21"/>
      </w:r>
      <w:r>
        <w:rPr>
          <w:rFonts w:ascii="Times New Roman" w:hAnsi="Times New Roman"/>
          <w:noProof/>
          <w:color w:val="000000"/>
          <w:sz w:val="24"/>
        </w:rPr>
        <w:t xml:space="preserve"> F’għadd ta’ pajjiżi, Rom u minoranzi etniċi oħra għandhom nuqqas ta’ aċċess għall-edukazzjoni ta’ kwalità għolja. </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2.2.</w:t>
      </w:r>
      <w:r>
        <w:rPr>
          <w:noProof/>
        </w:rPr>
        <w:tab/>
      </w:r>
      <w:r>
        <w:rPr>
          <w:rFonts w:ascii="Times New Roman" w:hAnsi="Times New Roman"/>
          <w:b/>
          <w:noProof/>
          <w:color w:val="000000"/>
          <w:sz w:val="24"/>
        </w:rPr>
        <w:t>It-tisħiħ tat-tagħlim bil-ftuħ ta’ forom ġodda ta’ kooperazzjoni</w:t>
      </w:r>
    </w:p>
    <w:p>
      <w:pPr>
        <w:autoSpaceDE w:val="0"/>
        <w:autoSpaceDN w:val="0"/>
        <w:adjustRightInd w:val="0"/>
        <w:spacing w:before="240" w:after="240" w:line="240" w:lineRule="auto"/>
        <w:jc w:val="both"/>
        <w:rPr>
          <w:rFonts w:ascii="Times New Roman" w:eastAsia="Calibri" w:hAnsi="Times New Roman" w:cs="Times New Roman"/>
          <w:b/>
          <w:noProof/>
          <w:color w:val="000000"/>
          <w:sz w:val="24"/>
          <w:szCs w:val="24"/>
        </w:rPr>
      </w:pPr>
      <w:r>
        <w:rPr>
          <w:rFonts w:ascii="Times New Roman" w:hAnsi="Times New Roman"/>
          <w:b/>
          <w:noProof/>
          <w:color w:val="000000"/>
          <w:sz w:val="24"/>
        </w:rPr>
        <w:t>Il-kooperazzjoni tgħin lill-iskejjel jarrikkixxu l-esperjenzi u l-eżiti tat-tagħlim u jappoġġjaw aħjar liż-żgħażagħ fl-iżvilupp tal-kompetenzi li jeħtieġu.</w:t>
      </w:r>
      <w:r>
        <w:rPr>
          <w:rFonts w:ascii="Times New Roman" w:hAnsi="Times New Roman"/>
          <w:noProof/>
          <w:color w:val="000000"/>
          <w:sz w:val="24"/>
        </w:rPr>
        <w:t xml:space="preserve"> Din tinkludi l-kooperazzjoni ma’ servizzi lokali, organizzazzjonijiet fil-komunità, negozji u universitajiet, iżda anki l-kooperazzjoni fi ħdan l-iskejjel. Iż-żgħażagħ f’riskju li jitilqu mill-edukazzjoni jibbenefikaw mill-kooperazzjoni mill-qrib mas-servizzi soċjali jew mal-persuni li jaħdmu maż-żgħażagħ. L-interazzjoni bikrija ma’ gwidi tal-karriera, imprendituri u akkademiċi tgħin liż-żgħażagħ sabiex iħejju għall-impjieg futur u jkomplu l-istudji</w:t>
      </w:r>
      <w:r>
        <w:rPr>
          <w:rStyle w:val="FootnoteReference"/>
          <w:rFonts w:ascii="Times New Roman" w:hAnsi="Times New Roman"/>
          <w:noProof/>
          <w:color w:val="000000"/>
          <w:sz w:val="24"/>
        </w:rPr>
        <w:footnoteReference w:id="22"/>
      </w:r>
      <w:r>
        <w:rPr>
          <w:noProof/>
        </w:rPr>
        <w:t>.</w:t>
      </w:r>
      <w:r>
        <w:rPr>
          <w:rStyle w:val="FootnoteReference"/>
          <w:rFonts w:ascii="Times New Roman" w:hAnsi="Times New Roman"/>
          <w:noProof/>
          <w:color w:val="000000"/>
          <w:sz w:val="24"/>
        </w:rPr>
        <w:t xml:space="preserve"> </w:t>
      </w:r>
      <w:r>
        <w:rPr>
          <w:rFonts w:ascii="Times New Roman" w:hAnsi="Times New Roman"/>
          <w:noProof/>
          <w:color w:val="000000"/>
          <w:sz w:val="24"/>
        </w:rPr>
        <w:t>F’oqsma tas-suġġetti bħax-xjenza jew l-isport, l-istudenti jibbenefikaw meta dawk li jipprovdu l-edukazzjoni, in-negozji u s-soċjetà ċivili jikkollaboraw mal-iskejjel tagħhom</w:t>
      </w:r>
      <w:r>
        <w:rPr>
          <w:rStyle w:val="FootnoteReference"/>
          <w:rFonts w:ascii="Times New Roman" w:hAnsi="Times New Roman"/>
          <w:noProof/>
          <w:color w:val="000000"/>
          <w:sz w:val="24"/>
        </w:rPr>
        <w:footnoteReference w:id="23"/>
      </w:r>
      <w:r>
        <w:rPr>
          <w:noProof/>
        </w:rPr>
        <w:t>.</w:t>
      </w:r>
      <w:r>
        <w:rPr>
          <w:rFonts w:ascii="Times New Roman" w:hAnsi="Times New Roman"/>
          <w:noProof/>
          <w:color w:val="000000"/>
          <w:sz w:val="24"/>
        </w:rPr>
        <w:t xml:space="preserve"> Madankollu, mhux l-iskejjel kollha għandhom biżżejjed appoġġ estern jew jappoġġjaw il-kooperazzjoni neċessarja fost l-għalliema tagħhom stess, il-persunal l-ieħor, l-istudenti u l-ġenituri</w:t>
      </w:r>
      <w:r>
        <w:rPr>
          <w:rStyle w:val="FootnoteReference"/>
          <w:rFonts w:ascii="Times New Roman" w:hAnsi="Times New Roman"/>
          <w:noProof/>
          <w:color w:val="000000"/>
          <w:sz w:val="24"/>
        </w:rPr>
        <w:footnoteReference w:id="24"/>
      </w:r>
      <w:r>
        <w:rPr>
          <w:noProof/>
        </w:rPr>
        <w:t>.</w:t>
      </w:r>
      <w:r>
        <w:rPr>
          <w:rFonts w:ascii="Times New Roman" w:hAnsi="Times New Roman"/>
          <w:b/>
          <w:noProof/>
          <w:color w:val="000000"/>
          <w:sz w:val="24"/>
        </w:rPr>
        <w:t xml:space="preserve"> </w:t>
      </w:r>
    </w:p>
    <w:p>
      <w:pPr>
        <w:spacing w:after="120" w:line="240" w:lineRule="auto"/>
        <w:jc w:val="both"/>
        <w:rPr>
          <w:rFonts w:ascii="Times New Roman" w:eastAsia="SimSun" w:hAnsi="Times New Roman"/>
          <w:noProof/>
          <w:color w:val="000000"/>
          <w:sz w:val="24"/>
          <w:szCs w:val="24"/>
        </w:rPr>
      </w:pPr>
      <w:r>
        <w:rPr>
          <w:rFonts w:ascii="Times New Roman" w:hAnsi="Times New Roman"/>
          <w:b/>
          <w:noProof/>
          <w:color w:val="000000"/>
          <w:sz w:val="24"/>
        </w:rPr>
        <w:t>Il-bullying, il-bullying fuq l-internet, u l-vjolenza għandhom impatt negattiv fuq is-suċċess tat-tfal fl-iskola.</w:t>
      </w:r>
      <w:r>
        <w:rPr>
          <w:rFonts w:ascii="Times New Roman" w:hAnsi="Times New Roman"/>
          <w:noProof/>
          <w:color w:val="000000"/>
          <w:sz w:val="24"/>
          <w:vertAlign w:val="superscript"/>
        </w:rPr>
        <w:footnoteReference w:id="25"/>
      </w:r>
      <w:r>
        <w:rPr>
          <w:rFonts w:ascii="Times New Roman" w:hAnsi="Times New Roman"/>
          <w:b/>
          <w:noProof/>
          <w:color w:val="000000"/>
          <w:sz w:val="24"/>
        </w:rPr>
        <w:t xml:space="preserve"> </w:t>
      </w:r>
      <w:r>
        <w:rPr>
          <w:rFonts w:ascii="Times New Roman" w:hAnsi="Times New Roman"/>
          <w:noProof/>
          <w:color w:val="000000"/>
          <w:sz w:val="24"/>
        </w:rPr>
        <w:t>Il-benesseri fiżiku u mentali huwa prekundizzjoni għas-suċċess fit-tagħlim.</w:t>
      </w:r>
      <w:r>
        <w:rPr>
          <w:noProof/>
        </w:rPr>
        <w:t xml:space="preserve"> </w:t>
      </w:r>
      <w:r>
        <w:rPr>
          <w:rFonts w:ascii="Times New Roman" w:hAnsi="Times New Roman"/>
          <w:noProof/>
          <w:color w:val="000000"/>
          <w:sz w:val="24"/>
        </w:rPr>
        <w:t>L-evidenza turi li l-istrateġiji li jinvolvu lill-għalliema u lill-ġenituri huma l-aktar effettivi fl-indirizzar tal-forom kollha ta’ bullying.</w:t>
      </w:r>
      <w:r>
        <w:rPr>
          <w:rFonts w:ascii="Times New Roman" w:hAnsi="Times New Roman"/>
          <w:noProof/>
          <w:color w:val="000000"/>
          <w:sz w:val="24"/>
          <w:vertAlign w:val="superscript"/>
        </w:rPr>
        <w:footnoteReference w:id="26"/>
      </w:r>
      <w:r>
        <w:rPr>
          <w:rFonts w:ascii="Times New Roman" w:hAnsi="Times New Roman"/>
          <w:noProof/>
          <w:color w:val="000000"/>
          <w:sz w:val="24"/>
        </w:rPr>
        <w:t xml:space="preserve"> Biex jitrażżnu kemm il-bullying kif ukoll il-vjolenza, it-tfal jeħtieġ li jitgħallmu dwar it-tolleranza u d-diversità. L-istess japplika għas-sikurezza online u għall-użu responsabbli tal-midja soċjali. </w:t>
      </w:r>
    </w:p>
    <w:p>
      <w:pPr>
        <w:autoSpaceDE w:val="0"/>
        <w:autoSpaceDN w:val="0"/>
        <w:adjustRightInd w:val="0"/>
        <w:spacing w:before="240" w:after="24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L-applikazzjoni ta’ approċċ għall-iskola kollha jtejjeb l-eżiti tat-tagħlim, l-inklużività u l-ekwità</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B’dan l-approċċ, l-iskola kollha flimkien mal-partijiet ikkonċernati esterni u mal-komunità lokali jkunu involuti biex itejbu l-kwalità tal-iskola. Il-pjattaformi online “European Toolkit for Schools” u “School Education Gateway” jappoġġjaw dan l-approċċ, u huma disponibbli fuq bażi volontarja għall-iskejjel Ewropej kollha, billi jappoġġjaw l-iskambju bejn il-pari u jgħinu jtejbu l-metodi ta’ organizzazzjoni, il-prattiki ta’ tagħlim u l-esperjenzi ta’ tagħlim</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Il-programm Erasmus+ jappoġġja s-sħubijiet bejn l-iskejjel Ewropej, u jgħin lill-iskejjel sabiex jestendu l-konnessjonijiet u jkunu jistgħu jiskambjaw l-istudenti b’mod transfruntier.</w:t>
      </w:r>
      <w:r>
        <w:rPr>
          <w:rFonts w:ascii="Times New Roman" w:hAnsi="Times New Roman"/>
          <w:noProof/>
          <w:color w:val="000000"/>
          <w:sz w:val="24"/>
          <w:vertAlign w:val="superscript"/>
        </w:rPr>
        <w:t xml:space="preserve"> </w:t>
      </w:r>
      <w:r>
        <w:rPr>
          <w:rFonts w:ascii="Times New Roman" w:hAnsi="Times New Roman"/>
          <w:noProof/>
          <w:color w:val="000000"/>
          <w:sz w:val="24"/>
          <w:vertAlign w:val="superscript"/>
        </w:rPr>
        <w:footnoteReference w:id="29"/>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Times New Roman" w:hAnsi="Times New Roman" w:cs="Times New Roman"/>
          <w:i/>
          <w:noProof/>
          <w:color w:val="000000"/>
          <w:sz w:val="24"/>
          <w:szCs w:val="24"/>
        </w:rPr>
      </w:pPr>
      <w:r>
        <w:rPr>
          <w:rFonts w:ascii="Times New Roman" w:hAnsi="Times New Roman"/>
          <w:b/>
          <w:i/>
          <w:noProof/>
          <w:color w:val="000000"/>
          <w:sz w:val="24"/>
        </w:rPr>
        <w:t>eTwinning</w:t>
      </w:r>
      <w:r>
        <w:rPr>
          <w:rStyle w:val="FootnoteReference"/>
          <w:rFonts w:ascii="Times New Roman" w:hAnsi="Times New Roman"/>
          <w:noProof/>
          <w:color w:val="000000"/>
          <w:sz w:val="24"/>
        </w:rPr>
        <w:footnoteReference w:id="30"/>
      </w:r>
      <w:r>
        <w:rPr>
          <w:rFonts w:ascii="Times New Roman" w:hAnsi="Times New Roman"/>
          <w:i/>
          <w:noProof/>
          <w:color w:val="000000"/>
          <w:sz w:val="24"/>
        </w:rPr>
        <w:t xml:space="preserve"> hija l-akbar komunità għall-iskejjel fl-Ewropa. Diġà ħadu sehem aktar minn 460 000 għalliem u 4 minn kull 10 skejjel fl-Ewropa. Billi toffri ambjent online sikur għall-proġetti tal-edukazzjoni transfruntiera, eTwinning tipprovdi lill-iskejjel b’għodod faċilment aċċessibbli biex issaħħaħ l-offerta ta’ tagħlim diġitali tagħhom u tappoġġja l-kuntatti interkulturali u transfruntiera bejn l-għalliema u l-istudenti. L-integrazzjoni tal-użu tagħha fl-iskejjel kollha fl-Ewropa tista’ tgħin sabiex jissaħħu l-kompetenzi diġitali u jinfetħu l-klassijiet.</w:t>
      </w:r>
    </w:p>
    <w:p>
      <w:pPr>
        <w:keepNext/>
        <w:autoSpaceDE w:val="0"/>
        <w:autoSpaceDN w:val="0"/>
        <w:adjustRightInd w:val="0"/>
        <w:spacing w:before="240" w:after="240"/>
        <w:rPr>
          <w:rFonts w:ascii="Times New Roman" w:hAnsi="Times New Roman"/>
          <w:b/>
          <w:noProof/>
          <w:color w:val="000000"/>
          <w:sz w:val="16"/>
          <w:szCs w:val="16"/>
          <w:u w:val="single"/>
        </w:rPr>
      </w:pPr>
      <w:r>
        <w:rPr>
          <w:rFonts w:ascii="Times New Roman" w:hAnsi="Times New Roman"/>
          <w:b/>
          <w:noProof/>
          <w:color w:val="000000"/>
          <w:sz w:val="24"/>
        </w:rPr>
        <w:t xml:space="preserve"> 2.3</w:t>
      </w:r>
      <w:r>
        <w:rPr>
          <w:noProof/>
        </w:rPr>
        <w:tab/>
      </w:r>
      <w:r>
        <w:rPr>
          <w:rFonts w:ascii="Times New Roman" w:hAnsi="Times New Roman"/>
          <w:b/>
          <w:noProof/>
          <w:color w:val="000000"/>
          <w:sz w:val="24"/>
        </w:rPr>
        <w:t>It-titjib tal-aċċess għall-edukazzjoni u l-kura bikrija tat-tfal u l-kwalità tagħhom</w:t>
      </w:r>
    </w:p>
    <w:p>
      <w:pPr>
        <w:keepNext/>
        <w:spacing w:before="120" w:after="120" w:line="240" w:lineRule="auto"/>
        <w:jc w:val="both"/>
        <w:rPr>
          <w:noProof/>
        </w:rPr>
      </w:pPr>
      <w:r>
        <w:rPr>
          <w:rFonts w:ascii="Times New Roman" w:hAnsi="Times New Roman"/>
          <w:b/>
          <w:noProof/>
          <w:sz w:val="24"/>
        </w:rPr>
        <w:t>L-edukazzjoni u l-kura bikrija tat-tfal ta’ kwalità għolja huma l-pedament ta’ sistema edukattiva effettiva u ekwa.</w:t>
      </w:r>
      <w:r>
        <w:rPr>
          <w:b/>
          <w:noProof/>
        </w:rPr>
        <w:t xml:space="preserve"> </w:t>
      </w:r>
      <w:r>
        <w:rPr>
          <w:rFonts w:ascii="Times New Roman" w:hAnsi="Times New Roman"/>
          <w:noProof/>
          <w:sz w:val="24"/>
        </w:rPr>
        <w:t>Dawn iħejju lit-tfal għall-edukazzjoni primarja, isaħħu l-prestazzjoni akkademika fil-livelli futuri kollha, u għandhom impatt partikolarment pożittiv fuq it-tfal li jkunu ġejjin minn sfondi żvantaġġati u ta' migrazzjoni.</w:t>
      </w:r>
      <w:r>
        <w:rPr>
          <w:noProof/>
        </w:rPr>
        <w:t xml:space="preserve"> </w:t>
      </w:r>
      <w:r>
        <w:rPr>
          <w:rFonts w:ascii="Times New Roman" w:hAnsi="Times New Roman"/>
          <w:noProof/>
          <w:sz w:val="24"/>
        </w:rPr>
        <w:t>Il-programm PISA juri li l-istudenti ta’ 15-il sena li ma attendewx l-edukazzjoni preprimarja huma tliet darbiet aktar f'riskju li jġibu marki baxxi minn dawk li attendew għal aktar minn sena</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L-investiment fl-edukazzjoni u l-kura bikrija tat-tfal inaqqas il-bżonn ta’ livelli ogħla ta’ nfiq fi stadji aktar tard tal-edukazzjoni, meta l-ispejjeż għat-tneħħija tad-distakki bejn l-istudenti b’marki għoljin u baxxi jkunu aktar għoljin</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w:t>
      </w:r>
    </w:p>
    <w:p>
      <w:pPr>
        <w:pStyle w:val="Text1"/>
        <w:spacing w:after="120"/>
        <w:ind w:left="0"/>
        <w:rPr>
          <w:noProof/>
          <w:szCs w:val="24"/>
        </w:rPr>
      </w:pPr>
      <w:r>
        <w:rPr>
          <w:b/>
          <w:noProof/>
        </w:rPr>
        <w:t xml:space="preserve">Il-provvista u l-aċċess għall-edukazzjoni u l-kura bikrija tat-tfal ta’ kwalità għolja huma ta' sfida. </w:t>
      </w:r>
      <w:r>
        <w:rPr>
          <w:noProof/>
        </w:rPr>
        <w:t>Il-parteċipazzjoni fl-edukazzjoni u l-kura bikrija tat-tfal żdiedet,</w:t>
      </w:r>
      <w:r>
        <w:rPr>
          <w:rStyle w:val="FootnoteReference"/>
          <w:noProof/>
        </w:rPr>
        <w:footnoteReference w:id="33"/>
      </w:r>
      <w:r>
        <w:rPr>
          <w:noProof/>
        </w:rPr>
        <w:t xml:space="preserve"> iżda għadha problematika għal tfal li għandhom inqas minn tliet snin u speċjalment għal tfal żvantaġġati. Il-parteċipazzjoni, l-affordabilità u l-kwalità mhumiex distribwiti indaqs fi ħdan u bejn il-pajjiżi. F’25 Stat Membru, id-domanda għall-indukrar tat-tfal taqbeż il-provvista; id-defiċits fil-kwalità spiss huma marbuta mal-kwalifikazzjoni inadegwata tal-persunal u mal-opportunitajiet limitati għall-iżvilupp professjonali</w:t>
      </w:r>
      <w:r>
        <w:rPr>
          <w:rStyle w:val="FootnoteReference"/>
          <w:noProof/>
        </w:rPr>
        <w:footnoteReference w:id="34"/>
      </w:r>
      <w:r>
        <w:rPr>
          <w:noProof/>
        </w:rPr>
        <w:t>. L-esperti tal-Istati Membri u l-Kummissjoni Ewropea identifikaw b’mod konġunt prinċipji tal-kwalità u ħames oqsma ewlenin għal azzjoni: l-aċċess, il-forza tax-xogħol, il-kurrikulu, l-evalwazzjoni u l-monitoraġġ, il-governanza u l-finanzjament</w:t>
      </w:r>
      <w:r>
        <w:rPr>
          <w:rStyle w:val="FootnoteReference"/>
          <w:noProof/>
        </w:rPr>
        <w:footnoteReference w:id="35"/>
      </w:r>
      <w:r>
        <w:rPr>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L-implimentazzjoni ta’ dawn il-linji gwida tikkontribwixxi b’mod sinifikanti għar-riżultati edukattivi tat-tfal żgħar, u tagħti lit-tfal kollha, inklużi dawk li ġejjin minn sfondi vulnerabbli, spinta biex jirnexxu fl-iskola. </w:t>
      </w:r>
    </w:p>
    <w:p>
      <w:pPr>
        <w:spacing w:after="120" w:line="240" w:lineRule="auto"/>
        <w:jc w:val="both"/>
        <w:rPr>
          <w:rFonts w:ascii="Times New Roman" w:hAnsi="Times New Roman" w:cs="Times New Roman"/>
          <w:noProof/>
          <w:color w:val="000000"/>
          <w:sz w:val="24"/>
          <w:szCs w:val="24"/>
        </w:rPr>
      </w:pPr>
    </w:p>
    <w:p>
      <w:pPr>
        <w:keepNext/>
        <w:spacing w:after="0" w:line="240" w:lineRule="auto"/>
        <w:rPr>
          <w:rFonts w:ascii="Times New Roman" w:hAnsi="Times New Roman" w:cs="Times New Roman"/>
          <w:b/>
          <w:noProof/>
          <w:color w:val="000000"/>
          <w:sz w:val="24"/>
          <w:szCs w:val="24"/>
        </w:rPr>
      </w:pPr>
      <w:r>
        <w:rPr>
          <w:rFonts w:ascii="Times New Roman" w:hAnsi="Times New Roman"/>
          <w:b/>
          <w:noProof/>
          <w:color w:val="000000"/>
          <w:sz w:val="24"/>
        </w:rPr>
        <w:t>3. L-appoġġ lill-għalliema u lill-mexxejja tal-iskejjel għal tagħlim eċċellenti</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Biex tikkomplimenta l-azzjonijiet meħuda mill-Istati Membri, il-Kummissjoni se:</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b/>
          <w:noProof/>
          <w:color w:val="000000"/>
          <w:sz w:val="24"/>
        </w:rPr>
      </w:pPr>
      <w:r>
        <w:rPr>
          <w:rFonts w:ascii="Times New Roman" w:hAnsi="Times New Roman"/>
          <w:noProof/>
          <w:color w:val="000000"/>
          <w:sz w:val="24"/>
        </w:rPr>
        <w:t xml:space="preserve">Toffri </w:t>
      </w:r>
      <w:r>
        <w:rPr>
          <w:rFonts w:ascii="Times New Roman" w:hAnsi="Times New Roman"/>
          <w:b/>
          <w:noProof/>
          <w:color w:val="000000"/>
          <w:sz w:val="24"/>
        </w:rPr>
        <w:t>gwida dwar il-politika fuq il-karrieri u fuq l-iżvilupp professjonali tal-għalliema u tal-mexxejja tal-iskejjel</w:t>
      </w:r>
      <w:r>
        <w:rPr>
          <w:rFonts w:ascii="Times New Roman" w:hAnsi="Times New Roman"/>
          <w:noProof/>
          <w:color w:val="000000"/>
          <w:sz w:val="24"/>
        </w:rPr>
        <w:t xml:space="preserve"> billi ssaħħaħ it-tagħlim bejn il-pari skont Edukazzjoni u Taħriġ 2020 permezz ta’ sensiela ta’ seminars bejn esperti u billi torbot dan mad-djalogu soċjali settorjali Ewropew fl-edukazzjoni;</w:t>
      </w:r>
    </w:p>
    <w:p>
      <w:pPr>
        <w:pStyle w:val="ListParagraph"/>
        <w:keepNext/>
        <w:keepLines/>
        <w:numPr>
          <w:ilvl w:val="0"/>
          <w:numId w:val="2"/>
        </w:numPr>
        <w:pBdr>
          <w:top w:val="single" w:sz="4" w:space="1" w:color="auto"/>
          <w:left w:val="single" w:sz="4" w:space="4" w:color="auto"/>
          <w:bottom w:val="single" w:sz="4" w:space="1" w:color="auto"/>
          <w:right w:val="single" w:sz="4" w:space="4" w:color="auto"/>
        </w:pBdr>
        <w:spacing w:before="200" w:line="240" w:lineRule="auto"/>
        <w:ind w:left="284" w:hanging="284"/>
        <w:jc w:val="both"/>
        <w:outlineLvl w:val="4"/>
        <w:rPr>
          <w:rFonts w:ascii="Times New Roman" w:hAnsi="Times New Roman" w:cs="Times New Roman"/>
          <w:noProof/>
          <w:color w:val="000000"/>
          <w:sz w:val="28"/>
          <w:szCs w:val="24"/>
        </w:rPr>
      </w:pPr>
      <w:r>
        <w:rPr>
          <w:rFonts w:ascii="Times New Roman" w:hAnsi="Times New Roman"/>
          <w:b/>
          <w:noProof/>
          <w:color w:val="000000"/>
          <w:sz w:val="24"/>
        </w:rPr>
        <w:t>Tissimplifika l-aċċess u tippromwovi opportunitajiet għall-għalliema futuri biex jiksbu esperjenza prattika ta’ tagħlim barra mill-pajjiż</w:t>
      </w:r>
      <w:r>
        <w:rPr>
          <w:rFonts w:ascii="Times New Roman" w:hAnsi="Times New Roman"/>
          <w:noProof/>
          <w:color w:val="000000"/>
          <w:sz w:val="24"/>
        </w:rPr>
        <w:t xml:space="preserve"> bl-appoġġ ta’ Erasmus+;</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Tiżviluppa </w:t>
      </w:r>
      <w:r>
        <w:rPr>
          <w:rFonts w:ascii="Times New Roman" w:hAnsi="Times New Roman"/>
          <w:b/>
          <w:noProof/>
          <w:color w:val="000000"/>
          <w:sz w:val="24"/>
        </w:rPr>
        <w:t>komunitajiet u riżorsi online</w:t>
      </w:r>
      <w:r>
        <w:rPr>
          <w:rFonts w:ascii="Times New Roman" w:hAnsi="Times New Roman"/>
          <w:noProof/>
          <w:color w:val="000000"/>
          <w:sz w:val="24"/>
        </w:rPr>
        <w:t xml:space="preserve"> għall-professjonsiti li jaħdmu fl-iskejjel, inklużi opportunitajiet ġodda ta’ eTwinning għall-għalliema studenti, netwerks online għall-għalliema fil-bidu tal-karriera u għall-mentors, korsijiet online (inklużi MOOCs), skambju tal-aħjar prattika fost dawk li jipprovdu Edukazzjoni Inizjali tal-Għalliema u Qafas tal-Kompetenzi Diġitali għall-appoġġ għall-awtovalutazzjoni u għall-iżvilupp tal-għalliema;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eastAsiaTheme="majorEastAsia" w:hAnsi="Times New Roman" w:cstheme="majorBidi"/>
          <w:noProof/>
          <w:color w:val="000000"/>
          <w:sz w:val="24"/>
        </w:rPr>
      </w:pPr>
      <w:r>
        <w:rPr>
          <w:rFonts w:ascii="Times New Roman" w:hAnsi="Times New Roman"/>
          <w:noProof/>
          <w:color w:val="000000"/>
          <w:sz w:val="24"/>
        </w:rPr>
        <w:t xml:space="preserve">Tkompli tiżviluppa sinerġiji </w:t>
      </w:r>
      <w:r>
        <w:rPr>
          <w:rFonts w:ascii="Times New Roman" w:hAnsi="Times New Roman"/>
          <w:b/>
          <w:noProof/>
          <w:color w:val="000000"/>
          <w:sz w:val="24"/>
        </w:rPr>
        <w:t>mal-OECD biex tipproduċi dejta komparattiva konġunta dwar il-persunal tal-iskejjel</w:t>
      </w:r>
      <w:r>
        <w:rPr>
          <w:rFonts w:ascii="Times New Roman" w:hAnsi="Times New Roman"/>
          <w:noProof/>
          <w:color w:val="000000"/>
          <w:sz w:val="24"/>
        </w:rPr>
        <w:t>, inkluż permezz ta’ ġbir aktar effiċjenti u konġunt tad-dejta minn Eurydice</w:t>
      </w:r>
      <w:r>
        <w:rPr>
          <w:rStyle w:val="FootnoteReference"/>
          <w:rFonts w:ascii="Times New Roman" w:hAnsi="Times New Roman"/>
          <w:noProof/>
          <w:color w:val="000000"/>
          <w:sz w:val="24"/>
        </w:rPr>
        <w:footnoteReference w:id="36"/>
      </w:r>
      <w:r>
        <w:rPr>
          <w:rFonts w:ascii="Times New Roman" w:hAnsi="Times New Roman"/>
          <w:noProof/>
          <w:color w:val="000000"/>
          <w:sz w:val="24"/>
        </w:rPr>
        <w:t xml:space="preserve"> u l-OECD dwar għalliema u l-mexxejja tal-iskejjel.</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3.1. Biex il-karrieri fit-tagħlim isiru aktar attraenti</w:t>
      </w:r>
    </w:p>
    <w:p>
      <w:pPr>
        <w:keepNext/>
        <w:spacing w:after="12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Għalliema ta’ kwalità għolja, motivati u ta’ valur huma fil-qalba ta’ edukazzjoni eċċellenti.</w:t>
      </w:r>
      <w:r>
        <w:rPr>
          <w:rFonts w:ascii="Times New Roman" w:hAnsi="Times New Roman"/>
          <w:noProof/>
          <w:color w:val="000000"/>
          <w:sz w:val="24"/>
        </w:rPr>
        <w:t xml:space="preserve"> Iżda t-tnaqqis fil-prestiġju tal-professjoni u n-nuqqas ta’ persunal huma ta' sfidi f’ħafna Stati Membri, li qegħdin iżommu lura l-kwalità tal-edukazzjoni skolastika</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Ħafna Stati Membri għandhom l-għan li jattiraw firxa usa’ ta’ kandidati xierqa għall-karrieri fit-tagħlim, u li jimmotivawhom u jappoġġjawhom biex jeċċellaw f’din il-professjoni impenjattiva.</w:t>
      </w:r>
      <w:r>
        <w:rPr>
          <w:rFonts w:ascii="Times New Roman" w:hAnsi="Times New Roman"/>
          <w:b/>
          <w:noProof/>
          <w:color w:val="000000"/>
          <w:sz w:val="24"/>
        </w:rPr>
        <w:t xml:space="preserve"> </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It-titjib tas-selezzjoni u tar-reklutaġġ jista’ jgħin biex jiġu identifikati dawk li huma l-aktar adattati għat-tagħlim u tinġieb firxa usa’ ta’ esperjenzi fil-professjoni.</w:t>
      </w:r>
      <w:r>
        <w:rPr>
          <w:rFonts w:ascii="Times New Roman" w:hAnsi="Times New Roman"/>
          <w:noProof/>
          <w:color w:val="000000"/>
          <w:sz w:val="24"/>
        </w:rPr>
        <w:t xml:space="preserve"> Ċerti pajjiżi qed jevalwaw l-applikanti fuq firxa usa’ ta’ ħiliet u ta’ attitudnijiet minbarra l-merti akkademiċi tagħhom</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Meta jkun rilevanti għall-Istati Membri, dan jista’ jimxi id f’id mal-isforzi biex jiġi indirizzat l-iżbilanċ sinifikati bejn is-sessi fit-tagħlim u biex jiġu attirati għalliema ġodda minn professjonijiet oħra u minn gruppi sottorappreżentati. </w:t>
      </w:r>
    </w:p>
    <w:p>
      <w:pPr>
        <w:spacing w:line="240" w:lineRule="auto"/>
        <w:jc w:val="both"/>
        <w:rPr>
          <w:rFonts w:ascii="Times New Roman" w:hAnsi="Times New Roman" w:cs="Times New Roman"/>
          <w:noProof/>
          <w:sz w:val="24"/>
          <w:szCs w:val="24"/>
        </w:rPr>
      </w:pPr>
      <w:r>
        <w:rPr>
          <w:rFonts w:ascii="Times New Roman" w:hAnsi="Times New Roman"/>
          <w:b/>
          <w:noProof/>
          <w:color w:val="000000"/>
          <w:sz w:val="24"/>
        </w:rPr>
        <w:t xml:space="preserve">Il-paga, l-istatus kuntrattwali u l-prospetti ċari tal-karriera huma importanti għall-attraenza tal-professjoni. </w:t>
      </w:r>
      <w:r>
        <w:rPr>
          <w:rFonts w:ascii="Times New Roman" w:hAnsi="Times New Roman"/>
          <w:noProof/>
          <w:color w:val="000000"/>
          <w:sz w:val="24"/>
        </w:rPr>
        <w:t>F’ċerti Stati Membri, ix-xogħol tal-għalliem imur minn taħt meta mqabbel ma’ professjonijiet oħra fil-kompetizzjoni għall-aħjar. L-għalliema spiss jaqilgħu ferm inqas mill-medja tal-ħaddiema b’edukazzjoni terzjarja: is-salarji jvarjaw minn 74 % fl-edukazzjoni preprimarja sa 92 % fil-livell sekondarju għoli</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Il-pajjiżi b’livelli ta’ salarji baxxi ħafna jew b’sigurtà tal-impjieg batuta jbatu biex jattiraw għalliema ġodda u jimlew pożizzjonijiet vakanti bl-aktar kandidati kkwalifikati. </w:t>
      </w:r>
      <w:r>
        <w:rPr>
          <w:rFonts w:ascii="Times New Roman" w:hAnsi="Times New Roman"/>
          <w:noProof/>
          <w:sz w:val="24"/>
        </w:rPr>
        <w:t>L-għalliema huma mħassba wkoll dwar il-kwalità tal-preparazzjoni u tal-induzzjoni tagħhom u dwar l-opportunitajiet għall-karriera aħjar</w:t>
      </w:r>
      <w:r>
        <w:rPr>
          <w:rStyle w:val="FootnoteReference"/>
          <w:rFonts w:ascii="Times New Roman" w:hAnsi="Times New Roman"/>
          <w:noProof/>
          <w:color w:val="000000"/>
          <w:sz w:val="24"/>
        </w:rPr>
        <w:footnoteReference w:id="40"/>
      </w:r>
      <w:r>
        <w:rPr>
          <w:noProof/>
        </w:rPr>
        <w:t>.</w:t>
      </w:r>
      <w:r>
        <w:rPr>
          <w:rFonts w:ascii="Times New Roman" w:hAnsi="Times New Roman"/>
          <w:noProof/>
          <w:sz w:val="24"/>
        </w:rPr>
        <w:t xml:space="preserve"> Il-livelli tal-kompetenza u strutturi tal-karriera ddefiniti b'mod ċar isaħħu l-apprezzament tal-għalliema għall-prospetti tal-karriera. </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3.2. Ix-xogħol tal-għalliem: professjonisti li jibqgħu studenti għall-karriera kollha tagħhom u li jaħdmu flimkien</w:t>
      </w:r>
    </w:p>
    <w:p>
      <w:pPr>
        <w:keepNext/>
        <w:spacing w:after="12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Il-kwalità tal-edukazzjoni tal-għalliema teħtieġ aktar attenzjoni.</w:t>
      </w:r>
      <w:r>
        <w:rPr>
          <w:rFonts w:ascii="Times New Roman" w:hAnsi="Times New Roman"/>
          <w:noProof/>
          <w:color w:val="000000"/>
          <w:sz w:val="24"/>
        </w:rPr>
        <w:t xml:space="preserve"> L-Edukazzjoni Inizjali tal-Għalliema hija aktar effettiva meta t-teorija pedagoġika tingħaqad kemm mal-għarfien dwar is-suġġett kif ukoll mal-prattika suffiċjenti fil-klassijiet</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L-għalliema studenti jeħtieġ li jkunu ppreparati għal xogħol kollaborattiv u għal żvilupp professjonali tul il-karriera kollha tagħhom, biex jittrattaw mad-diversità fil-klassijiet u biex jużaw it-teknoloġiji diġitali b’kunfidenza. F’għadd ta’ Stati Membri, il-parteċipazzjoni fl-Iżvilupp Professjonali Kontinwu (CPD) hija baxxa jew ftit li xejn iffokata. Is-CPD irid ikun aċċessibbli, affordabbli u rilevanti. L-involviment tal-iskejjel u tal-għalliema fl-identifikazzjoni tat-temi u tal-oqsma batuti jista’ jgħin biex titjieb il-kwalità tagħhom</w:t>
      </w:r>
      <w:r>
        <w:rPr>
          <w:rStyle w:val="FootnoteReference"/>
          <w:rFonts w:ascii="Times New Roman" w:hAnsi="Times New Roman"/>
          <w:noProof/>
          <w:color w:val="000000"/>
          <w:sz w:val="24"/>
        </w:rPr>
        <w:footnoteReference w:id="42"/>
      </w:r>
      <w:r>
        <w:rPr>
          <w:noProof/>
        </w:rPr>
        <w:t>.</w:t>
      </w:r>
      <w:r>
        <w:rPr>
          <w:rFonts w:ascii="Times New Roman" w:hAnsi="Times New Roman"/>
          <w:noProof/>
          <w:color w:val="000000"/>
          <w:sz w:val="24"/>
        </w:rPr>
        <w:t xml:space="preserve"> </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L-għalliema jeħtieġu appoġġ speċjali matul l-istadji bikrija tal-karriera tagħhom. </w:t>
      </w:r>
      <w:r>
        <w:rPr>
          <w:rFonts w:ascii="Times New Roman" w:hAnsi="Times New Roman"/>
          <w:noProof/>
          <w:color w:val="000000"/>
          <w:sz w:val="24"/>
        </w:rPr>
        <w:t>Meta jidħlu fil-professjoni, ħafna għalliema jsibu l-ambjenti reali tal-iskejjel diffiċli u wħud minnhom jitilqu mill-professjoni. Bħalissa, 6 minn kull 10 għalliema ġodda biss jirċievu induzzjoni ġenwina għall-prattika fl-iskejjel</w:t>
      </w:r>
      <w:r>
        <w:rPr>
          <w:rStyle w:val="FootnoteReference"/>
          <w:rFonts w:ascii="Times New Roman" w:hAnsi="Times New Roman"/>
          <w:noProof/>
          <w:color w:val="000000"/>
          <w:sz w:val="24"/>
        </w:rPr>
        <w:footnoteReference w:id="43"/>
      </w:r>
      <w:r>
        <w:rPr>
          <w:rFonts w:ascii="Times New Roman" w:hAnsi="Times New Roman"/>
          <w:noProof/>
          <w:color w:val="000000"/>
          <w:sz w:val="24"/>
        </w:rPr>
        <w:t xml:space="preserve"> u skemi ta’ induzzjoni li jgħaqqdu l-appoġġ professjonali, soċjali u personali, inkluż il-mentoraġġ, u l-għajnuna lill-għalliema l-ġodda biex jiżviluppaw il-kompetenzi u r-reżiljenza. Dan isaħħaħ il-kwalità tat-tagħlim u jnaqqas l-ispejjeż għoljin marbuta mal-ħruġ mill-professjoni</w:t>
      </w:r>
      <w:r>
        <w:rPr>
          <w:rStyle w:val="FootnoteReference"/>
          <w:rFonts w:ascii="Times New Roman" w:hAnsi="Times New Roman"/>
          <w:noProof/>
          <w:color w:val="000000"/>
          <w:sz w:val="24"/>
        </w:rPr>
        <w:footnoteReference w:id="44"/>
      </w:r>
      <w:r>
        <w:rPr>
          <w:noProof/>
        </w:rPr>
        <w:t>.</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Il-kollaborazzjoni bejn l-għalliema bi prestazzjoni tajba ħafna.</w:t>
      </w:r>
      <w:r>
        <w:rPr>
          <w:rFonts w:ascii="Times New Roman" w:hAnsi="Times New Roman"/>
          <w:noProof/>
          <w:color w:val="000000"/>
          <w:sz w:val="24"/>
        </w:rPr>
        <w:t xml:space="preserve"> It-tagħlim f’tim, l-osservazzjoni ta’ għalliema oħra, u l-komunitajiet usa’ tat-tagħlim professjonali qed jintużaw dejjem aktar bħala forom b’saħħithom ta’ kollaborazzjoni bejn il-pari, iżda dawn għadhom mhumiex in-norma madwar l-Ewropa</w:t>
      </w:r>
      <w:r>
        <w:rPr>
          <w:rStyle w:val="FootnoteReference"/>
          <w:rFonts w:ascii="Times New Roman" w:hAnsi="Times New Roman"/>
          <w:noProof/>
          <w:color w:val="000000"/>
          <w:sz w:val="24"/>
        </w:rPr>
        <w:footnoteReference w:id="45"/>
      </w:r>
      <w:r>
        <w:rPr>
          <w:noProof/>
        </w:rPr>
        <w:t>.</w:t>
      </w:r>
      <w:r>
        <w:rPr>
          <w:rFonts w:ascii="Times New Roman" w:hAnsi="Times New Roman"/>
          <w:noProof/>
          <w:color w:val="000000"/>
          <w:sz w:val="24"/>
        </w:rPr>
        <w:t xml:space="preserve"> Biex itejbu l-esperjenza tat-tagħlim tal-istudenti, l-għalliema jridu jkunu kapaċi u jridu jkunu lesti li jaħdmu u jitgħallmu f’timijiet – ma’ għalliema oħra, f’timijiet multiprofessjonali fl-iskola u ma’ sħab esterni.</w:t>
      </w:r>
    </w:p>
    <w:p>
      <w:pPr>
        <w:spacing w:after="120" w:line="240" w:lineRule="auto"/>
        <w:jc w:val="both"/>
        <w:rPr>
          <w:rFonts w:ascii="Times New Roman" w:hAnsi="Times New Roman"/>
          <w:noProof/>
          <w:color w:val="000000"/>
          <w:sz w:val="24"/>
        </w:rPr>
      </w:pPr>
      <w:r>
        <w:rPr>
          <w:rFonts w:ascii="Times New Roman" w:hAnsi="Times New Roman"/>
          <w:b/>
          <w:noProof/>
          <w:color w:val="000000"/>
          <w:sz w:val="24"/>
        </w:rPr>
        <w:t>L-ambjenti kollaborattivi u t-teknoloġiji diġtali jistgħu jsaħħu t-tagħlim fost l-għalliema.</w:t>
      </w:r>
      <w:r>
        <w:rPr>
          <w:rFonts w:ascii="Times New Roman" w:hAnsi="Times New Roman"/>
          <w:noProof/>
          <w:color w:val="000000"/>
          <w:sz w:val="24"/>
        </w:rPr>
        <w:t xml:space="preserve"> Is-sessjonijiet ta’ ħidma u l-korsijiet ta’ taħriġ tradizzjonali lil hinn mill-iskola għadhom prevalenti. L-innovazzjonijiet edukattivi bħal netwerks kollaborattivi bejn il-pari, korsijiet onlajn miftuħa massivi (MOOCs), u l-kondiviżjoni ta’ riżorsi edukattivi miftuħa jistgħu jikkumplimentaw dawn il-metodi u jgħinu biex jingħelbu l-ostakli għall-parteċipazzjoni</w:t>
      </w:r>
      <w:r>
        <w:rPr>
          <w:rStyle w:val="FootnoteReference"/>
          <w:rFonts w:ascii="Times New Roman" w:hAnsi="Times New Roman"/>
          <w:noProof/>
          <w:color w:val="000000"/>
          <w:sz w:val="24"/>
        </w:rPr>
        <w:footnoteReference w:id="46"/>
      </w:r>
      <w:r>
        <w:rPr>
          <w:noProof/>
        </w:rPr>
        <w:t>.</w:t>
      </w:r>
      <w:r>
        <w:rPr>
          <w:rFonts w:ascii="Times New Roman" w:hAnsi="Times New Roman"/>
          <w:noProof/>
          <w:color w:val="000000"/>
          <w:sz w:val="24"/>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 xml:space="preserve">Permezz ta’ </w:t>
      </w:r>
      <w:r>
        <w:rPr>
          <w:rFonts w:ascii="Times New Roman" w:hAnsi="Times New Roman"/>
          <w:b/>
          <w:i/>
          <w:noProof/>
          <w:color w:val="000000"/>
          <w:sz w:val="24"/>
        </w:rPr>
        <w:t>Erasmus+</w:t>
      </w:r>
      <w:r>
        <w:rPr>
          <w:rFonts w:ascii="Times New Roman" w:hAnsi="Times New Roman"/>
          <w:i/>
          <w:noProof/>
          <w:color w:val="000000"/>
          <w:sz w:val="24"/>
        </w:rPr>
        <w:t xml:space="preserve">, l-UE tappoġġja l-iżvilupp professjonali tal-persunal tal-iskejjel. L-għotjiet huma disponibbli għall-għalliema studenti, għall-għalliema u għall-mexxejja tal-iskejjel li jixtiequ jieħdu sehem f’korsijiet ta’ taħriġ, f’kollokamenti fi skejjel jew f’attivitajiet ta’ osservazzjoni tax-xogħol f’pajjiż ieħor. Permezz ta’ </w:t>
      </w:r>
      <w:r>
        <w:rPr>
          <w:rFonts w:ascii="Times New Roman" w:hAnsi="Times New Roman"/>
          <w:b/>
          <w:i/>
          <w:noProof/>
          <w:color w:val="000000"/>
          <w:sz w:val="24"/>
        </w:rPr>
        <w:t>eTwinning</w:t>
      </w:r>
      <w:r>
        <w:rPr>
          <w:rFonts w:ascii="Times New Roman" w:hAnsi="Times New Roman"/>
          <w:i/>
          <w:noProof/>
          <w:color w:val="000000"/>
          <w:sz w:val="24"/>
        </w:rPr>
        <w:t>, l-UE tħeġġeġ il-kollaborazzjoni volontarja u t-tagħlim bejn il-pari fost l-għalliema f’korsijiet online u f’avvenimenti ta’ taħriġ konġunt.</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 xml:space="preserve">3.3. L-appoġġ fit-tmexxija tal-iskejjel </w:t>
      </w:r>
    </w:p>
    <w:p>
      <w:pPr>
        <w:keepNext/>
        <w:spacing w:after="120" w:line="240" w:lineRule="auto"/>
        <w:jc w:val="both"/>
        <w:rPr>
          <w:rFonts w:ascii="Times New Roman" w:hAnsi="Times New Roman"/>
          <w:noProof/>
          <w:color w:val="000000"/>
          <w:sz w:val="24"/>
        </w:rPr>
      </w:pPr>
      <w:r>
        <w:rPr>
          <w:rFonts w:ascii="Times New Roman" w:hAnsi="Times New Roman"/>
          <w:b/>
          <w:noProof/>
          <w:color w:val="000000"/>
          <w:sz w:val="24"/>
        </w:rPr>
        <w:t>It-tmexxija effettiva tal-iskejjel tħalli impatt pożittiv fuq il-kisbiet tal-istudenti, fuq il-kwalità tat-tagħlim u fuq il-motivazzjoni tal-persunal.</w:t>
      </w:r>
      <w:r>
        <w:rPr>
          <w:rFonts w:ascii="Times New Roman" w:hAnsi="Times New Roman"/>
          <w:noProof/>
          <w:color w:val="000000"/>
          <w:sz w:val="24"/>
        </w:rPr>
        <w:t xml:space="preserve"> Ir-riċerka turi li tmexxija bbażata fuq viżjoni kondiviża mill-persunal, mill-ġenituri u mill-komunità lokali hija kruċjali għall-iżvilupp u għall-innovazzjoni fl-iskejjel</w:t>
      </w:r>
      <w:r>
        <w:rPr>
          <w:rStyle w:val="FootnoteReference"/>
          <w:rFonts w:ascii="Times New Roman" w:hAnsi="Times New Roman"/>
          <w:noProof/>
          <w:color w:val="000000"/>
          <w:sz w:val="24"/>
        </w:rPr>
        <w:footnoteReference w:id="47"/>
      </w:r>
      <w:r>
        <w:rPr>
          <w:noProof/>
        </w:rPr>
        <w:t>.</w:t>
      </w:r>
      <w:r>
        <w:rPr>
          <w:rFonts w:ascii="Times New Roman" w:hAnsi="Times New Roman"/>
          <w:noProof/>
          <w:color w:val="000000"/>
          <w:sz w:val="24"/>
        </w:rPr>
        <w:t xml:space="preserve"> Madankollu, f’ċerti Stati Membri, il-karigi ta’ tmexxija tal-iskejjel mhumiex meqjusa bħala attraenti</w:t>
      </w:r>
      <w:r>
        <w:rPr>
          <w:rStyle w:val="FootnoteReference"/>
          <w:rFonts w:ascii="Times New Roman" w:hAnsi="Times New Roman"/>
          <w:noProof/>
          <w:color w:val="000000"/>
          <w:sz w:val="24"/>
        </w:rPr>
        <w:footnoteReference w:id="48"/>
      </w:r>
      <w:r>
        <w:rPr>
          <w:noProof/>
        </w:rPr>
        <w:t>.</w:t>
      </w:r>
      <w:r>
        <w:rPr>
          <w:rFonts w:ascii="Times New Roman" w:hAnsi="Times New Roman"/>
          <w:noProof/>
          <w:color w:val="000000"/>
          <w:sz w:val="24"/>
        </w:rPr>
        <w:t xml:space="preserve"> It-tmexxija ta’ skola normalment iġġib magħha taħlita impenjattiva ta’ kompiti marbuta mal-ġestjoni kif ukoll mat-tagħlim. Il-mexxejja tal-iskejjel spiss ma jirċivux il-preparazzjoni jew l-appoġġ kontinwu li jeħtieġu għal dawn il-kompiti differenti. </w:t>
      </w:r>
    </w:p>
    <w:p>
      <w:pPr>
        <w:spacing w:after="120" w:line="240" w:lineRule="auto"/>
        <w:jc w:val="both"/>
        <w:rPr>
          <w:rFonts w:ascii="Times New Roman" w:hAnsi="Times New Roman"/>
          <w:noProof/>
          <w:color w:val="000000"/>
          <w:sz w:val="24"/>
        </w:rPr>
      </w:pPr>
      <w:r>
        <w:rPr>
          <w:rFonts w:ascii="Times New Roman" w:hAnsi="Times New Roman"/>
          <w:b/>
          <w:noProof/>
          <w:color w:val="000000"/>
          <w:sz w:val="24"/>
        </w:rPr>
        <w:t>Iż-żieda fl-awtonomija tal-iskejjel wasslet għal aktar responsabbiltà għall-mexxejja tal-iskejjel f’ħafna pajjiżi.</w:t>
      </w:r>
      <w:r>
        <w:rPr>
          <w:rFonts w:ascii="Times New Roman" w:hAnsi="Times New Roman"/>
          <w:noProof/>
          <w:color w:val="000000"/>
          <w:sz w:val="24"/>
        </w:rPr>
        <w:t xml:space="preserve"> Din tippermetti lill-mexxejja tal-iskejjel jorganizzaw mill-ġdid il-ħin u l-approċċi fil-klassijiet tagħhom, jistimulaw l-iżvilupp tal-iskejjel u jikkondividu r-responsabbiltajiet fost grupp usa’ ta’ membri tal-persunal. Madankollu, dawn il-bidliet jeħtieġu riżorsi u appoġġ xierqa</w:t>
      </w:r>
      <w:r>
        <w:rPr>
          <w:rStyle w:val="FootnoteReference"/>
          <w:rFonts w:ascii="Times New Roman" w:hAnsi="Times New Roman"/>
          <w:noProof/>
          <w:color w:val="000000"/>
          <w:sz w:val="24"/>
        </w:rPr>
        <w:footnoteReference w:id="49"/>
      </w:r>
      <w:r>
        <w:rPr>
          <w:noProof/>
        </w:rPr>
        <w:t>.</w:t>
      </w:r>
      <w:r>
        <w:rPr>
          <w:rFonts w:ascii="Times New Roman" w:hAnsi="Times New Roman"/>
          <w:b/>
          <w:noProof/>
          <w:color w:val="000000"/>
          <w:sz w:val="24"/>
        </w:rPr>
        <w:t xml:space="preserve"> </w:t>
      </w:r>
      <w:r>
        <w:rPr>
          <w:rFonts w:ascii="Times New Roman" w:hAnsi="Times New Roman"/>
          <w:noProof/>
          <w:color w:val="000000"/>
          <w:sz w:val="24"/>
        </w:rPr>
        <w:t xml:space="preserve">Ir-reklutaġġ, it-tħejjija u l-iżvilupp professjonali tal-mexxejja tal-iskejjel huma fatturi kruċjali biex titjieb il-prestazzjoni tal-iskejjel. </w:t>
      </w:r>
    </w:p>
    <w:p>
      <w:pPr>
        <w:spacing w:line="240" w:lineRule="auto"/>
        <w:rPr>
          <w:rFonts w:ascii="Times New Roman" w:hAnsi="Times New Roman" w:cs="Times New Roman"/>
          <w:noProof/>
          <w:color w:val="000000"/>
          <w:sz w:val="24"/>
          <w:szCs w:val="24"/>
          <w:u w:val="single"/>
        </w:rPr>
      </w:pPr>
    </w:p>
    <w:p>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4. Il-governanza tas-sistemi edukattivi fl-iskejjel: aktar effikaċi, ekwa u effiċjenti</w:t>
      </w:r>
    </w:p>
    <w:p>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 xml:space="preserve">Biex tikkomplimenta l-azzjonijiet meħuda mill-Istati Membri, il-Kummissjoni se: </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sz w:val="24"/>
        </w:rPr>
        <w:t xml:space="preserve">Tibni fuq il-kooperazzjoni eżistenti, inkluż fuq l-istrateġiji tal-ħiliet u r-riżorsi tal-iskejjel, tistabbilixxi arranġament ta’ appoġġ tekniku </w:t>
      </w:r>
      <w:r>
        <w:rPr>
          <w:rFonts w:ascii="Times New Roman" w:hAnsi="Times New Roman"/>
          <w:b/>
          <w:noProof/>
          <w:sz w:val="24"/>
        </w:rPr>
        <w:t>xprunat mid-domanda</w:t>
      </w:r>
      <w:r>
        <w:rPr>
          <w:rFonts w:ascii="Times New Roman" w:hAnsi="Times New Roman"/>
          <w:noProof/>
          <w:sz w:val="24"/>
        </w:rPr>
        <w:t xml:space="preserve"> </w:t>
      </w:r>
      <w:r>
        <w:rPr>
          <w:rFonts w:ascii="Times New Roman" w:hAnsi="Times New Roman"/>
          <w:b/>
          <w:noProof/>
          <w:sz w:val="24"/>
        </w:rPr>
        <w:t>f’kooperazzjoni mal-OECD</w:t>
      </w:r>
      <w:r>
        <w:rPr>
          <w:rFonts w:ascii="Times New Roman" w:hAnsi="Times New Roman"/>
          <w:noProof/>
          <w:sz w:val="24"/>
        </w:rPr>
        <w:t xml:space="preserve"> biex tgħin lill-Istati Membri li jfittxu l-assistenza volontarja, fit-tfassil u fl-implimentazzjoni ta’ riformi kbar fl-edukazzjoni skolastika. Is-servizzi tal-Kummissjoni, inkluż is-Servizz ta’ Sostenn għar-Riforma Strutturali, u l-istrumenti ta’ finanzjament tal-UE (bħall-Fondi Strutturali u ta' Investiment Ewropej u Erasmus+) jistgħu jipprovdu appoġġ; </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sz w:val="24"/>
        </w:rPr>
        <w:t xml:space="preserve">Tipproponi </w:t>
      </w:r>
      <w:r>
        <w:rPr>
          <w:rFonts w:ascii="Times New Roman" w:hAnsi="Times New Roman"/>
          <w:b/>
          <w:noProof/>
          <w:sz w:val="24"/>
        </w:rPr>
        <w:t>rapport konġunt dwar l-effikaċja u l-effiċjenza tan-nefqa fl-edukazzjoni skolastika</w:t>
      </w:r>
      <w:r>
        <w:rPr>
          <w:rFonts w:ascii="Times New Roman" w:hAnsi="Times New Roman"/>
          <w:noProof/>
          <w:sz w:val="24"/>
        </w:rPr>
        <w:t>, li jinvolvi lill-kumitati tal-Kunsill u lis-servizzi tal-Kummissjoni xierqa. Dan se jibni fuq il-ħidma li għaddejja mal-OECD u jista’ jwassal għall-iżvilupp ta’ gwida politika fuq l-investiment fl-edukazzjoni skolastika fi sħubija mal-Istati Membri tal-UE u mal-partijiet ikkonċernati;</w:t>
      </w:r>
    </w:p>
    <w:p>
      <w:pPr>
        <w:pStyle w:val="ListParagraph"/>
        <w:numPr>
          <w:ilvl w:val="0"/>
          <w:numId w:val="3"/>
        </w:num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rPr>
        <w:t>Tiżviluppa gwida mmirata dwar il-politika fuq l-</w:t>
      </w:r>
      <w:r>
        <w:rPr>
          <w:rFonts w:ascii="Times New Roman" w:hAnsi="Times New Roman"/>
          <w:b/>
          <w:noProof/>
          <w:sz w:val="24"/>
        </w:rPr>
        <w:t xml:space="preserve">assigurazzjoni tal-kwalità </w:t>
      </w:r>
      <w:r>
        <w:rPr>
          <w:rFonts w:ascii="Times New Roman" w:hAnsi="Times New Roman"/>
          <w:noProof/>
          <w:sz w:val="24"/>
        </w:rPr>
        <w:t>permezz ta’ konsulenza bejn il-pari</w:t>
      </w:r>
      <w:r>
        <w:rPr>
          <w:rStyle w:val="FootnoteReference"/>
          <w:rFonts w:ascii="Times New Roman" w:hAnsi="Times New Roman"/>
          <w:noProof/>
          <w:sz w:val="24"/>
        </w:rPr>
        <w:footnoteReference w:id="50"/>
      </w:r>
      <w:r>
        <w:rPr>
          <w:rFonts w:ascii="Times New Roman" w:hAnsi="Times New Roman"/>
          <w:noProof/>
          <w:sz w:val="24"/>
        </w:rPr>
        <w:t xml:space="preserve"> u permezz tat-tagħlim bejn il-pari flimkien mal-Istati Membri tal-UE u mal-partijiet ikkonċernati.</w:t>
      </w:r>
    </w:p>
    <w:p>
      <w:pPr>
        <w:pStyle w:val="Text1"/>
        <w:keepNext/>
        <w:spacing w:before="240"/>
        <w:ind w:left="0"/>
        <w:rPr>
          <w:b/>
          <w:noProof/>
          <w:color w:val="000000"/>
          <w:szCs w:val="24"/>
        </w:rPr>
      </w:pPr>
      <w:r>
        <w:rPr>
          <w:b/>
          <w:noProof/>
          <w:color w:val="000000"/>
        </w:rPr>
        <w:t>4.1. Ir-riżorsi tal-iskejjel: investimenti adegwati u effiċjenti</w:t>
      </w:r>
    </w:p>
    <w:p>
      <w:pPr>
        <w:spacing w:before="120" w:after="120" w:line="240" w:lineRule="auto"/>
        <w:jc w:val="both"/>
        <w:rPr>
          <w:rFonts w:ascii="Times New Roman" w:hAnsi="Times New Roman"/>
          <w:bCs/>
          <w:noProof/>
          <w:sz w:val="24"/>
          <w:szCs w:val="24"/>
        </w:rPr>
      </w:pPr>
      <w:r>
        <w:rPr>
          <w:rFonts w:ascii="Times New Roman" w:hAnsi="Times New Roman"/>
          <w:b/>
          <w:noProof/>
          <w:sz w:val="24"/>
        </w:rPr>
        <w:t>Filwaqt li l-Ewropa tgawdi minn diversità rikka ta’ sistemi edukattivi, ta’ kulturi u ta’ ċirkustanzi, hemm sfidi simili għall-governanza u għall-finanzjament.</w:t>
      </w:r>
      <w:r>
        <w:rPr>
          <w:rFonts w:ascii="Times New Roman" w:hAnsi="Times New Roman"/>
          <w:noProof/>
          <w:sz w:val="24"/>
        </w:rPr>
        <w:t xml:space="preserve"> Dawn jinkludu d-definizzjoni ċara tar-responsabbiltajiet għall-finanzjament u l-adattament tan-netwerk skolastiku mat-tibdil demografiku</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L-Istati Membri tal-UE jallokaw għadd sinifikanti ta’ riżorsi - fuq medja aktar minn 3 % tal-PDG - għall-edukazzjoni skolastika</w:t>
      </w:r>
      <w:r>
        <w:rPr>
          <w:rStyle w:val="FootnoteReference"/>
          <w:rFonts w:ascii="Times New Roman" w:hAnsi="Times New Roman"/>
          <w:noProof/>
          <w:sz w:val="24"/>
        </w:rPr>
        <w:footnoteReference w:id="52"/>
      </w:r>
      <w:r>
        <w:rPr>
          <w:noProof/>
        </w:rPr>
        <w:t>.</w:t>
      </w:r>
      <w:r>
        <w:rPr>
          <w:rFonts w:ascii="Times New Roman" w:hAnsi="Times New Roman"/>
          <w:noProof/>
          <w:sz w:val="24"/>
        </w:rPr>
        <w:t xml:space="preserve"> L-użu tajjeb ta’ dawn ir-riżorsi huwa importanti għall-effiċjenza tan-nefqa pubblika sħiħa ta’ pajjiż.</w:t>
      </w:r>
    </w:p>
    <w:p>
      <w:pPr>
        <w:spacing w:before="120" w:after="120" w:line="240" w:lineRule="auto"/>
        <w:jc w:val="both"/>
        <w:rPr>
          <w:rFonts w:ascii="Times New Roman" w:hAnsi="Times New Roman"/>
          <w:b/>
          <w:i/>
          <w:noProof/>
          <w:sz w:val="24"/>
          <w:szCs w:val="24"/>
        </w:rPr>
      </w:pPr>
      <w:r>
        <w:rPr>
          <w:rFonts w:ascii="Times New Roman" w:hAnsi="Times New Roman"/>
          <w:b/>
          <w:noProof/>
          <w:sz w:val="24"/>
        </w:rPr>
        <w:t xml:space="preserve">Huwa ta’ importanza kbira li jsir l-aħjar użu mir-riżorsi limitati biex tissaħħaħ il-prestazzjoni tal-istudenti kollha. </w:t>
      </w:r>
      <w:r>
        <w:rPr>
          <w:rFonts w:ascii="Times New Roman" w:hAnsi="Times New Roman"/>
          <w:noProof/>
          <w:sz w:val="24"/>
        </w:rPr>
        <w:t>L-istħarriġ ta' PISA juri li ma jistgħux jinkisbu riżultati edukattivi effettivi taħt livell minimu ta’ finanzjament. Ċerti Stati Membri mhumiex qed jinvestu biżżejjed biex jiksbu riżultati tajbin fit-tul</w:t>
      </w:r>
      <w:r>
        <w:rPr>
          <w:rStyle w:val="FootnoteReference"/>
          <w:rFonts w:ascii="Times New Roman" w:hAnsi="Times New Roman"/>
          <w:noProof/>
          <w:sz w:val="24"/>
        </w:rPr>
        <w:footnoteReference w:id="53"/>
      </w:r>
      <w:r>
        <w:rPr>
          <w:noProof/>
        </w:rPr>
        <w:t>.</w:t>
      </w:r>
      <w:r>
        <w:rPr>
          <w:rFonts w:ascii="Times New Roman" w:hAnsi="Times New Roman"/>
          <w:noProof/>
          <w:sz w:val="24"/>
        </w:rPr>
        <w:t xml:space="preserve"> Madankollu, f’livell komparabbli ta’ nfiq, ċerti Stati Membri jiksbu riżultati aħjar minn oħrajn. It-tisħiħ tal-kooperazzjoni bejn l-oqsma ta’ politika tal-edukazzjoni u tal-ekonomija jista’ jtejjeb il-bażi ta’ evidenza u jiġġenera kunsens dwar “x’jaħdem” fl-investiment fl-edukazzjoni. L-isfidi jinkludu investimenti fl-infrastruttura, inkluż fl-infrastruttura diġitali u fil-konnettività, kif ukoll fil-kapital uman</w:t>
      </w:r>
      <w:r>
        <w:rPr>
          <w:rStyle w:val="FootnoteReference"/>
          <w:rFonts w:ascii="Times New Roman" w:hAnsi="Times New Roman"/>
          <w:noProof/>
          <w:sz w:val="24"/>
        </w:rPr>
        <w:footnoteReference w:id="54"/>
      </w:r>
      <w:r>
        <w:rPr>
          <w:noProof/>
        </w:rPr>
        <w:t>.</w:t>
      </w:r>
      <w:r>
        <w:rPr>
          <w:rFonts w:ascii="Times New Roman" w:hAnsi="Times New Roman"/>
          <w:noProof/>
          <w:sz w:val="24"/>
        </w:rPr>
        <w:t xml:space="preserve"> Appoġġ għall-politika mfassal apposta għar-riformi fl-edukazzjoni tal-Istati Membri jista’ jgħin biex titjieb il-governanza tas-sistemi tal-iskejjel u jiżdiedu l-effikaċja u l-ekwità.</w:t>
      </w:r>
      <w:r>
        <w:rPr>
          <w:rFonts w:ascii="Times New Roman" w:hAnsi="Times New Roman"/>
          <w:b/>
          <w:i/>
          <w:noProof/>
          <w:sz w:val="24"/>
        </w:rPr>
        <w:t xml:space="preserve"> </w:t>
      </w:r>
    </w:p>
    <w:p>
      <w:pPr>
        <w:pStyle w:val="Text1"/>
        <w:keepNext/>
        <w:spacing w:before="240"/>
        <w:ind w:left="0"/>
        <w:rPr>
          <w:b/>
          <w:noProof/>
          <w:color w:val="000000"/>
          <w:szCs w:val="24"/>
        </w:rPr>
      </w:pPr>
      <w:r>
        <w:rPr>
          <w:b/>
          <w:noProof/>
          <w:color w:val="000000"/>
        </w:rPr>
        <w:t xml:space="preserve">4.2. Il-kombinament tal-awtonomija u tal-assigurazzjoni tal-kwalità </w:t>
      </w:r>
    </w:p>
    <w:p>
      <w:pPr>
        <w:keepNext/>
        <w:spacing w:after="120" w:line="240" w:lineRule="auto"/>
        <w:jc w:val="both"/>
        <w:rPr>
          <w:rFonts w:ascii="Times New Roman" w:eastAsia="Calibri" w:hAnsi="Times New Roman" w:cs="Arial"/>
          <w:noProof/>
          <w:sz w:val="24"/>
          <w:szCs w:val="24"/>
        </w:rPr>
      </w:pPr>
      <w:r>
        <w:rPr>
          <w:rFonts w:ascii="Times New Roman" w:hAnsi="Times New Roman"/>
          <w:b/>
          <w:noProof/>
          <w:sz w:val="24"/>
        </w:rPr>
        <w:t>L-interazzjoni bejn l-awtonomija tal-iskejjel u r-responsabbiltà titlob li jkun hemm sistemi tal-assigurazzjoni tal-kwalità li jkunu b’saħħithom iżda flessibbli</w:t>
      </w:r>
      <w:r>
        <w:rPr>
          <w:rStyle w:val="FootnoteReference"/>
          <w:rFonts w:ascii="Times New Roman" w:hAnsi="Times New Roman"/>
          <w:noProof/>
          <w:sz w:val="24"/>
        </w:rPr>
        <w:footnoteReference w:id="55"/>
      </w:r>
      <w:r>
        <w:rPr>
          <w:noProof/>
        </w:rPr>
        <w:t>.</w:t>
      </w:r>
      <w:r>
        <w:rPr>
          <w:rFonts w:ascii="Times New Roman" w:hAnsi="Times New Roman"/>
          <w:noProof/>
          <w:sz w:val="24"/>
        </w:rPr>
        <w:t xml:space="preserve"> Teżisti tendenza kbira reċenti lejn id-deċentralizzazzjoni u ż-żieda fl-awtonomija tal-iskejjel. L-għoti ta’ aktar awtonomija lill-iskejjel fuq il-prattiki u fuq l-organizzazzjoni tal-iskejjel jew fuq l-użu tagħhom tar-riżorsi finanzjarji jagħtihom aktar opportunitajiet biex jadattaw għall-ħtiġijiet speċifiċi u għall-kuntest lokali tagħhom. Madankollu, il-benefiċċji ta’ dan jiddependi mill-kapaċità tal-iskejjel li jippjanaw b’mod effettiv u jimmaniġġjaw l-iżvilupp tagħhom stess, kif ukoll minn kemm huma responsabbli quddiem il-ġenituri, il-komunitajiet lokali u l-awtoritajiet tal-edukazzjoni.</w:t>
      </w:r>
      <w:r>
        <w:rPr>
          <w:rFonts w:ascii="Times New Roman" w:hAnsi="Times New Roman"/>
          <w:noProof/>
          <w:sz w:val="24"/>
          <w:vertAlign w:val="superscript"/>
        </w:rPr>
        <w:footnoteReference w:id="56"/>
      </w:r>
      <w:r>
        <w:rPr>
          <w:rFonts w:ascii="Times New Roman" w:hAnsi="Times New Roman"/>
          <w:noProof/>
          <w:sz w:val="24"/>
        </w:rPr>
        <w:t xml:space="preserve"> Ir-riżultati ta' PISA juru li l-awtonomija tal-iskejjel twassal għal kisba aħjar tal-ħiliet bażiċi meta tingħaqad mar-responsabbiltà. Il-mekkaniżmi ta' assigurazzjoni tal-kwalità</w:t>
      </w:r>
      <w:r>
        <w:rPr>
          <w:noProof/>
        </w:rPr>
        <w:t xml:space="preserve"> </w:t>
      </w:r>
      <w:r>
        <w:rPr>
          <w:rFonts w:ascii="Times New Roman" w:hAnsi="Times New Roman"/>
          <w:noProof/>
          <w:sz w:val="24"/>
        </w:rPr>
        <w:t>jvarjaw ħafna madwar l-Ewropa,</w:t>
      </w:r>
      <w:r>
        <w:rPr>
          <w:rStyle w:val="FootnoteReference"/>
          <w:rFonts w:ascii="Times New Roman" w:hAnsi="Times New Roman"/>
          <w:noProof/>
          <w:sz w:val="24"/>
        </w:rPr>
        <w:footnoteReference w:id="57"/>
      </w:r>
      <w:r>
        <w:rPr>
          <w:rFonts w:ascii="Times New Roman" w:hAnsi="Times New Roman"/>
          <w:noProof/>
          <w:sz w:val="24"/>
        </w:rPr>
        <w:t xml:space="preserve"> iżda għandhom xi sfidi komuni. Dawn jinkludu kif: jiġu stabbiliti l-għanijiet u jitkejjel il-progress għas-sistemi edukattivi u għat-tagħlim tal-istudenti; titfassal l-assigurazzjoni tal-kwalità għal sistemi edukattivi dejjem aktar deċentralizzati u mqassma fuq diversi livelli; jitħeġġu d-djalogu u kultura ta’ fiduċja bejn il-partijiet ikkonċernati fl-edukazzjoni; u l-prijorità lir-riżorsi umani u finanzjarji.</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L-iżvilupp ta’ għodod u ta’ proċessi xierqa għal dejta kwantitattiva u kwalitattiva jsaħħaħ l-assigurazzjoni tal-kwalità.</w:t>
      </w:r>
      <w:r>
        <w:rPr>
          <w:rFonts w:ascii="Times New Roman" w:hAnsi="Times New Roman"/>
          <w:noProof/>
          <w:sz w:val="24"/>
        </w:rPr>
        <w:t xml:space="preserve"> Jenħtieġ li l-mekkaniżmi ta' assigurazzjoni tal-kwalità jikkunsidraw il-klima fl-iskejjel u l-benesseri tal-istudenti kif ukoll l-iżvilupp tal-kompetenzi tal-istudenti. Kemm id-dejta kwantitattiva kif ukoll id-dejta kwalitattiva huma meħtieġa għal din il-perspettiva bbilanċjata</w:t>
      </w:r>
      <w:r>
        <w:rPr>
          <w:rStyle w:val="FootnoteReference"/>
          <w:rFonts w:ascii="Times New Roman" w:hAnsi="Times New Roman"/>
          <w:noProof/>
          <w:sz w:val="24"/>
        </w:rPr>
        <w:footnoteReference w:id="58"/>
      </w:r>
      <w:r>
        <w:rPr>
          <w:noProof/>
        </w:rPr>
        <w:t>.</w:t>
      </w:r>
      <w:r>
        <w:rPr>
          <w:rFonts w:ascii="Times New Roman" w:hAnsi="Times New Roman"/>
          <w:noProof/>
          <w:sz w:val="24"/>
        </w:rPr>
        <w:t xml:space="preserve"> L-iskejjel u l-partijiet ikkonċernati lokali jridu jinvestu fil-bini tal-kapaċità biex jidentifikaw l-aktar għodod u indikaturi xierqa biex jissorveljaw kemm il-progressjoni tal-istudenti kif ukoll l-iżvilupp tal-iskejjel u jiżviluppaw komprensjoni komuni dwar kif jinterpretaw id-dejta. Jenħtieġ li dan ikun ikkumplimentat minn mekkaniżmi ta’ monitoraġġ estern bħal evalwazzjonijiet nazzjonali jew reġjonali tal-iskejjel u/jew valutazzjonijiet tal-istudenti fuq skala kbira.</w:t>
      </w:r>
      <w:r>
        <w:rPr>
          <w:noProof/>
        </w:rPr>
        <w:t xml:space="preserve"> </w:t>
      </w:r>
      <w:r>
        <w:rPr>
          <w:rFonts w:ascii="Times New Roman" w:hAnsi="Times New Roman"/>
          <w:noProof/>
          <w:sz w:val="24"/>
        </w:rPr>
        <w:t>It-trasferiment minn approċċ ta’ “lista ta’ kontroll” iffokat fuq il-konformità formali mar-regoli u mal-proċeduri, għal approċċ ta’ sostenn iffokat fuq l-iżvilupp tal-iskejjel jgħolli l-istandards u jtejjeb l-eżiti tat-tagħlim</w:t>
      </w:r>
      <w:r>
        <w:rPr>
          <w:rStyle w:val="FootnoteReference"/>
          <w:rFonts w:ascii="Times New Roman" w:hAnsi="Times New Roman"/>
          <w:noProof/>
          <w:sz w:val="24"/>
        </w:rPr>
        <w:footnoteReference w:id="59"/>
      </w:r>
      <w:r>
        <w:rPr>
          <w:noProof/>
        </w:rPr>
        <w:t>.</w:t>
      </w:r>
    </w:p>
    <w:p>
      <w:pPr>
        <w:spacing w:after="240" w:line="240" w:lineRule="auto"/>
        <w:jc w:val="both"/>
        <w:rPr>
          <w:noProof/>
        </w:rPr>
      </w:pPr>
    </w:p>
    <w:p>
      <w:pPr>
        <w:pStyle w:val="ListParagraph"/>
        <w:keepNext/>
        <w:numPr>
          <w:ilvl w:val="0"/>
          <w:numId w:val="4"/>
        </w:numPr>
        <w:spacing w:before="120" w:after="240" w:line="240" w:lineRule="auto"/>
        <w:ind w:left="357" w:hanging="357"/>
        <w:contextualSpacing w:val="0"/>
        <w:rPr>
          <w:rFonts w:ascii="Times New Roman" w:hAnsi="Times New Roman" w:cs="Times New Roman"/>
          <w:b/>
          <w:noProof/>
          <w:color w:val="000000"/>
          <w:sz w:val="24"/>
          <w:szCs w:val="24"/>
        </w:rPr>
      </w:pPr>
      <w:r>
        <w:rPr>
          <w:rFonts w:ascii="Times New Roman" w:hAnsi="Times New Roman"/>
          <w:b/>
          <w:noProof/>
          <w:color w:val="000000"/>
          <w:sz w:val="24"/>
        </w:rPr>
        <w:t>Konklużjoni – it-triq ’il quddiem</w:t>
      </w:r>
    </w:p>
    <w:p>
      <w:pPr>
        <w:keepNext/>
        <w:spacing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It-titjib tal-edukazzjoni huwa l-pedament tal-inizjattiva tal-Kummissjoni “Ninvestu fiż-Żgħażagħ tal-Ewropa”</w:t>
      </w:r>
      <w:r>
        <w:rPr>
          <w:rFonts w:ascii="Times New Roman" w:hAnsi="Times New Roman"/>
          <w:noProof/>
          <w:color w:val="000000"/>
          <w:sz w:val="24"/>
        </w:rPr>
        <w:t xml:space="preserve">. B’mod partikolari, il-kwalità tal-iskejjel taqdi rwol ewlieni fit-tiswir tal-prospetti taż-żgħażagħ. L-iskejjel iwittu t-triq għas-suċċess professjonali. Dawn joffru possibbiltà unika għall-mobilità soċjali. Madankollu, dan mhux dejjem ikun il-każ. Id-dejta l-ġdida ta' PISA hija allarmanti għall-Ewropa: is-sehem ta’ studenti li jġibu marki baxxi fix-xjenza żdied minn 16.6 % fl-2012 għal 20.6 % fl-2015. 11 % tal-istudenti jitilqu mill-iskola mingħajr kwalifika formali. Jekk dawn in-nuqqasijiet fl-edukazzjoni skolastika ma jiġux indirizzati, miljuni ta’ żgħażagħ se jkollhom nuqqas ta' opportunitajiet f’ħajjithom. </w:t>
      </w:r>
    </w:p>
    <w:p>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It-tisrif ta’ edukazzjoni ta’ kwalità għolja f’realtà għaż-żgħażagħ kollha huwa tħassib kbir għall-ġejjieni tal-Ewropa.</w:t>
      </w:r>
      <w:r>
        <w:rPr>
          <w:rFonts w:ascii="Times New Roman" w:hAnsi="Times New Roman"/>
          <w:noProof/>
          <w:color w:val="000000"/>
          <w:sz w:val="24"/>
        </w:rPr>
        <w:t xml:space="preserve"> Id-dokument ta’ riflessjoni dwar id-dimensjoni soċjali tal-Ewropa ta’ April tal-2017</w:t>
      </w:r>
      <w:r>
        <w:rPr>
          <w:rFonts w:ascii="Times New Roman" w:hAnsi="Times New Roman"/>
          <w:noProof/>
          <w:sz w:val="24"/>
          <w:vertAlign w:val="superscript"/>
        </w:rPr>
        <w:footnoteReference w:id="60"/>
      </w:r>
      <w:r>
        <w:rPr>
          <w:rFonts w:ascii="Times New Roman" w:hAnsi="Times New Roman"/>
          <w:noProof/>
          <w:color w:val="000000"/>
          <w:sz w:val="24"/>
        </w:rPr>
        <w:t xml:space="preserve"> jiddikjara li l-edukazzjoni hija fost il-fatturi li se jiddeterminaw dejjem aktar il-ġejjieni tas-soċjetajiet u tal-ekonomiji tagħna; fid-Dikjarazzjoni ta’ Ruma tas-27 ta’ Marzu 2017, 27 Stat Membru ħadu impenn li jaħdmu lejn “</w:t>
      </w:r>
      <w:r>
        <w:rPr>
          <w:rFonts w:ascii="Times New Roman" w:hAnsi="Times New Roman"/>
          <w:i/>
          <w:noProof/>
          <w:color w:val="000000"/>
          <w:sz w:val="24"/>
        </w:rPr>
        <w:t>Ewropa soċjali:  ...Unjoni fejn iż-żgħażagħ jirċievu l-aqwa edukazzjoni u taħriġ u jistgħu jistudjaw u jsibu impjiegi mal-kontinent kollu</w:t>
      </w:r>
      <w:r>
        <w:rPr>
          <w:rFonts w:ascii="Times New Roman" w:hAnsi="Times New Roman"/>
          <w:noProof/>
          <w:color w:val="000000"/>
          <w:sz w:val="24"/>
        </w:rPr>
        <w:t>”</w:t>
      </w:r>
      <w:r>
        <w:rPr>
          <w:rStyle w:val="FootnoteReference"/>
          <w:rFonts w:ascii="Times New Roman" w:hAnsi="Times New Roman"/>
          <w:noProof/>
          <w:color w:val="000000"/>
          <w:sz w:val="24"/>
        </w:rPr>
        <w:footnoteReference w:id="61"/>
      </w:r>
      <w:r>
        <w:rPr>
          <w:noProof/>
        </w:rPr>
        <w:t>.</w:t>
      </w:r>
      <w:r>
        <w:rPr>
          <w:rFonts w:ascii="Times New Roman" w:hAnsi="Times New Roman"/>
          <w:noProof/>
          <w:color w:val="000000"/>
          <w:sz w:val="24"/>
        </w:rPr>
        <w:t xml:space="preserve"> </w:t>
      </w:r>
    </w:p>
    <w:p>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 xml:space="preserve">Ħidma lejn impenn kondiviż. </w:t>
      </w:r>
      <w:r>
        <w:rPr>
          <w:rFonts w:ascii="Times New Roman" w:hAnsi="Times New Roman"/>
          <w:noProof/>
          <w:color w:val="000000"/>
          <w:sz w:val="24"/>
        </w:rPr>
        <w:t>It-titjib tal-edukazzjoni skolastika jistħoqqlu jkun prijorità assoluta. Dan japplika għall-Istati Membri u għall-UE u jirrekjedi kooperazzjoni msaħħa. Ir-riforma tas-sistemi edukattivi fl-iskejjel hija kompitu tal-Istati Membri. Il-Kummissjoni hija lesta li tappoġġjahom billi tagħmel l-aqwa użu mill-għodod u l-proċessi tal-UE. B’mod partikolari, is-Semestru Ewropew huwa fattur li diġà wera li jikseb riżultati fir-riformi. Il-kooperazzjoni volontarja skont l-ET 2020 u ħidmiet oħra jenħtieġ li jiġu żviluppati aktar, biex dawn ikunu jistgħu joffru l-aħjar valur miżjud possibbli lill-Istati Membri. B’mod partikolari, jenħtieġ li l-Monitoraġġ tal-Edukazzjoni u t-Taħriġ jintuża bis-sħiħ biex jgħin lill-Istati Membri sabiex jieħdu deċiżjonijiet politiċi infurmati u bbażati fuq l-evidenza. Mistoqsija importanti għall-kooperazzjoni fil-ġejjieni hija jekk jiġix stabbilit valur referenzjarju aktar ambizzjuż fil-ġlieda kontra t-tluq bikri mill-iskola. Kwistjoni importanti oħra hija kif jista’ jintuża bl-aħjar mod il-programm Erasmus+ biex aktar żgħażagħ Ewropej jingħataw esperjenzi ta’ tagħlim barra minn pajjiżhom u jiżdiedu l-kapaċitajiet eżistenti għall-appoġġ tal-iżvilupp u tal-innovazzjoni fl-edukazzjoni skolastika u tal-għalliema.</w:t>
      </w:r>
    </w:p>
    <w:p>
      <w:pPr>
        <w:spacing w:line="240" w:lineRule="auto"/>
        <w:jc w:val="both"/>
        <w:rPr>
          <w:rFonts w:ascii="Times New Roman" w:hAnsi="Times New Roman" w:cs="Times New Roman"/>
          <w:iCs/>
          <w:noProof/>
          <w:color w:val="000000"/>
          <w:sz w:val="24"/>
          <w:szCs w:val="24"/>
        </w:rPr>
      </w:pPr>
      <w:r>
        <w:rPr>
          <w:rFonts w:ascii="Times New Roman" w:hAnsi="Times New Roman"/>
          <w:noProof/>
          <w:color w:val="000000"/>
          <w:sz w:val="24"/>
        </w:rPr>
        <w:t>Is-suċċess se jiddependi fuq il-kooperazzjoni mill-qrib. Is-Summit dwar l-Edukazzjoni ppjanat għat-tieni nofs tal-2018 se jindirizza l-ekwità fl-edukazzjoni u kif għandhom jiġu appoġġjati aħjar il-gruppi żvantaġġati fl-edukazzjoni. Se joffri l-ewwel opportunità biex jiġi diskuss il-futur tal-kooperazzjoni Ewropea fl-edukazzjoni u b’mod partikolari fl-edukazzjoni skolastika.</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818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940, 941</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381.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250.</w:t>
      </w:r>
    </w:p>
  </w:footnote>
  <w:footnote w:id="5">
    <w:p>
      <w:pPr>
        <w:pStyle w:val="Default"/>
      </w:pPr>
      <w:r>
        <w:rPr>
          <w:rStyle w:val="FootnoteReference"/>
          <w:sz w:val="20"/>
        </w:rPr>
        <w:footnoteRef/>
      </w:r>
      <w:r>
        <w:rPr>
          <w:sz w:val="20"/>
        </w:rPr>
        <w:t xml:space="preserve"> </w:t>
      </w:r>
      <w:r>
        <w:rPr>
          <w:color w:val="auto"/>
          <w:sz w:val="20"/>
        </w:rPr>
        <w:t>Konklużjonijiet adottati mill-Kunsill Ewropew fil-15 ta’ Diċembru 2016.</w:t>
      </w:r>
    </w:p>
  </w:footnote>
  <w:footnote w:id="6">
    <w:p>
      <w:pPr>
        <w:pStyle w:val="FootnoteText"/>
        <w:rPr>
          <w:rFonts w:ascii="Times New Roman" w:hAnsi="Times New Roman" w:cs="Times New Roman"/>
        </w:rPr>
      </w:pPr>
      <w:r>
        <w:rPr>
          <w:rStyle w:val="FootnoteReference"/>
        </w:rPr>
        <w:footnoteRef/>
      </w:r>
      <w:r>
        <w:t xml:space="preserve"> </w:t>
      </w:r>
      <w:r>
        <w:rPr>
          <w:rFonts w:ascii="Times New Roman" w:hAnsi="Times New Roman"/>
        </w:rPr>
        <w:t>http://www.un.org/sustainabledevelopment/education/</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L-isfidi stabbiliti f’din il-Komunikazzjoni japplikaw għall-edukazzjoni ġenerali kif ukoll għall-edukazzjoni vokazzjonali bbażata fl-iskejjel.</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(2016), </w:t>
      </w:r>
      <w:r>
        <w:rPr>
          <w:rFonts w:ascii="Times New Roman" w:hAnsi="Times New Roman"/>
          <w:i/>
        </w:rPr>
        <w:t>PISA 2015: EU performance and initial conclusions regarding education policies in Europe</w:t>
      </w:r>
      <w:r>
        <w:rPr>
          <w:rFonts w:ascii="Times New Roman" w:hAnsi="Times New Roman"/>
        </w:rPr>
        <w:t>. Bejn l-2012 u l-2015, is-sehem ta’ studenti li kisbu marki baxxi fix-xjenza żdied minn 16.6 % għal 20.6 % u fil-qari minn 17.8 % għal 19.7 %; fil-matematika s-sehem baqa' staġnat għal madwar 22 %. Is-sehem ta’ studenti bl-ogħla marki fix-xjenza huwa ta’ 24 % f’Singapore u ta’ 15 % fil-Ġappun. Ebda Stat Membru tal-UE ma jilħaq din il-prestazzjoni.</w:t>
      </w:r>
    </w:p>
  </w:footnote>
  <w:footnote w:id="9">
    <w:p>
      <w:pPr>
        <w:pStyle w:val="FootnoteText"/>
      </w:pPr>
      <w:r>
        <w:rPr>
          <w:rStyle w:val="FootnoteReference"/>
          <w:rFonts w:ascii="Times New Roman" w:hAnsi="Times New Roman"/>
        </w:rPr>
        <w:footnoteRef/>
      </w:r>
      <w:r>
        <w:rPr>
          <w:rFonts w:ascii="Times New Roman" w:hAnsi="Times New Roman"/>
        </w:rPr>
        <w:t xml:space="preserve"> Il-Kummissjoni Ewropea (2015) </w:t>
      </w:r>
      <w:r>
        <w:rPr>
          <w:rFonts w:ascii="Times New Roman" w:hAnsi="Times New Roman"/>
          <w:i/>
        </w:rPr>
        <w:t>Being young in Europe today</w:t>
      </w:r>
      <w:r>
        <w:rPr>
          <w:rFonts w:ascii="Times New Roman" w:hAnsi="Times New Roman"/>
        </w:rPr>
        <w:t xml:space="preserve"> - </w:t>
      </w:r>
      <w:r>
        <w:rPr>
          <w:rFonts w:ascii="Times New Roman" w:hAnsi="Times New Roman"/>
          <w:i/>
        </w:rPr>
        <w:t>digital world</w:t>
      </w:r>
    </w:p>
  </w:footnote>
  <w:footnote w:id="10">
    <w:p>
      <w:pPr>
        <w:pStyle w:val="FootnoteText"/>
      </w:pPr>
      <w:r>
        <w:rPr>
          <w:rStyle w:val="FootnoteReference"/>
          <w:rFonts w:ascii="Times New Roman" w:hAnsi="Times New Roman"/>
        </w:rPr>
        <w:footnoteRef/>
      </w:r>
      <w:r>
        <w:rPr>
          <w:rFonts w:ascii="Times New Roman" w:hAnsi="Times New Roman"/>
        </w:rPr>
        <w:t xml:space="preserve"> L-istħarriġ tal-2015 tal-Programm tal-OECD għall-Valutazzjoni Internazzjonali tal-Istudenti (PISA).</w:t>
      </w:r>
    </w:p>
  </w:footnote>
  <w:footnote w:id="11">
    <w:p>
      <w:pPr>
        <w:pStyle w:val="FootnoteText"/>
      </w:pPr>
      <w:r>
        <w:rPr>
          <w:rStyle w:val="FootnoteReference"/>
        </w:rPr>
        <w:footnoteRef/>
      </w:r>
      <w:r>
        <w:t xml:space="preserve"> </w:t>
      </w:r>
      <w:r>
        <w:rPr>
          <w:rFonts w:ascii="Times New Roman" w:hAnsi="Times New Roman"/>
        </w:rPr>
        <w:t xml:space="preserve">Il-Kummissjoni Ewropea (2016), </w:t>
      </w:r>
      <w:r>
        <w:rPr>
          <w:rFonts w:ascii="Times New Roman" w:hAnsi="Times New Roman"/>
          <w:i/>
        </w:rPr>
        <w:t>Il-Monitoraġġ tal-Edukazzjoni u t-Taħriġ 2016</w:t>
      </w:r>
      <w:r>
        <w:rPr>
          <w:rFonts w:ascii="Times New Roman" w:hAnsi="Times New Roman"/>
        </w:rPr>
        <w:t>.</w:t>
      </w:r>
    </w:p>
  </w:footnote>
  <w:footnote w:id="1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Ir-Rapport tal-Progress Diġitali Ewropew (EDPR) 2017, SWD (2017) 160.</w:t>
      </w:r>
    </w:p>
  </w:footnote>
  <w:footnote w:id="13">
    <w:p>
      <w:pPr>
        <w:pStyle w:val="FootnoteText"/>
        <w:rPr>
          <w:lang w:val="pt-PT"/>
        </w:rPr>
      </w:pPr>
      <w:r>
        <w:rPr>
          <w:rStyle w:val="FootnoteReference"/>
          <w:rFonts w:ascii="Times New Roman" w:hAnsi="Times New Roman"/>
        </w:rPr>
        <w:footnoteRef/>
      </w:r>
      <w:r>
        <w:t xml:space="preserve"> </w:t>
      </w:r>
      <w:r>
        <w:rPr>
          <w:rFonts w:ascii="Times New Roman" w:hAnsi="Times New Roman"/>
        </w:rPr>
        <w:t>COM(2017) 240, COM(2017) 206.</w:t>
      </w:r>
    </w:p>
  </w:footnote>
  <w:footnote w:id="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https://ec.europa.eu/jrc/en/digcomporg/selfie-tool</w:t>
        </w:r>
      </w:hyperlink>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2006/962/KE</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Ewropea/EACEA/Eurydice (2016) </w:t>
      </w:r>
      <w:r>
        <w:rPr>
          <w:rFonts w:ascii="Times New Roman" w:hAnsi="Times New Roman"/>
          <w:i/>
        </w:rPr>
        <w:t>Entrepreneurship Education at School.</w:t>
      </w:r>
      <w:r>
        <w:rPr>
          <w:rFonts w:ascii="Times New Roman" w:eastAsiaTheme="minorHAnsi" w:hAnsi="Times New Roman"/>
          <w:sz w:val="22"/>
        </w:rPr>
        <w:t xml:space="preserve"> </w:t>
      </w:r>
      <w:r>
        <w:rPr>
          <w:rFonts w:ascii="Times New Roman" w:hAnsi="Times New Roman"/>
        </w:rPr>
        <w:t xml:space="preserve">Ara wkoll il-qafas għall-kompetenza intraprenditorjali: </w:t>
      </w:r>
      <w:hyperlink r:id="rId2">
        <w:r>
          <w:rPr>
            <w:rStyle w:val="Hyperlink"/>
            <w:rFonts w:ascii="Times New Roman" w:hAnsi="Times New Roman"/>
          </w:rPr>
          <w:t>https://ec.europa.eu/jrc/en/entrecomp</w:t>
        </w:r>
      </w:hyperlink>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(2015) </w:t>
      </w:r>
      <w:r>
        <w:rPr>
          <w:rFonts w:ascii="Times New Roman" w:hAnsi="Times New Roman"/>
          <w:i/>
        </w:rPr>
        <w:t>Science Education for Responsible Citizenship</w:t>
      </w:r>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(2013) </w:t>
      </w:r>
      <w:r>
        <w:rPr>
          <w:rFonts w:ascii="Times New Roman" w:hAnsi="Times New Roman"/>
          <w:i/>
        </w:rPr>
        <w:t>Survey of Schools:</w:t>
      </w:r>
      <w:r>
        <w:rPr>
          <w:rFonts w:ascii="Times New Roman" w:hAnsi="Times New Roman"/>
        </w:rPr>
        <w:t xml:space="preserve"> </w:t>
      </w:r>
      <w:r>
        <w:rPr>
          <w:rFonts w:ascii="Times New Roman" w:hAnsi="Times New Roman"/>
          <w:i/>
        </w:rPr>
        <w:t>ICT in Education Benchmarking Access, Use and Attitudes to Technology in Europe's schools</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(2015) </w:t>
      </w:r>
      <w:r>
        <w:rPr>
          <w:rFonts w:ascii="Times New Roman" w:hAnsi="Times New Roman"/>
          <w:i/>
        </w:rPr>
        <w:t>Language teaching and learning in multilingual classrooms</w:t>
      </w:r>
      <w:r>
        <w:rPr>
          <w:rFonts w:ascii="Times New Roman" w:hAnsi="Times New Roman"/>
        </w:rPr>
        <w:t>.</w:t>
      </w:r>
      <w:r>
        <w:t xml:space="preserve"> </w:t>
      </w:r>
      <w:r>
        <w:rPr>
          <w:rFonts w:ascii="Times New Roman" w:hAnsi="Times New Roman"/>
        </w:rPr>
        <w:t>Il-Kummissjoni tipprevedi l-appoġġ fil-programm ta’ ħidma 2018-2020 ta’ Orizzont 2020 biex jiġu riċerkati proġetti dwar l-inklużjoni ta’ tfal migranti fis-sistemi edukattivi tal-UE (l-adozzjoni prevista f’Ottubru 2017).</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In-Nazzjonijiet Uniti, Il-Kumitat dwar id-Drittijiet ta' Persuni b'Diżabilità (2015): </w:t>
      </w:r>
      <w:r>
        <w:rPr>
          <w:rFonts w:ascii="Times New Roman" w:hAnsi="Times New Roman"/>
          <w:i/>
        </w:rPr>
        <w:t>Concluding observations on the initial report of the European Union</w:t>
      </w:r>
      <w:r>
        <w:rPr>
          <w:rFonts w:ascii="Times New Roman" w:hAnsi="Times New Roman"/>
        </w:rPr>
        <w:t xml:space="preserve"> , CRPD/C/EU/CO/1 tat-2 ta’ Ottubru 2015.</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Fil-Pjan ta’ Azzjoni tagħha dwar l-integrazzjoni ta’ ċittadini ta’ pajjiżi terzi, il-Kummissjoni Ewropea pproponiet għadd ta’ miżuri ta’ appoġġ fl-edukazzjoni u fit-taħriġ ta’ tfal migranti. COM(2016) 377 final. </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INCLUDE-ED </w:t>
      </w:r>
      <w:hyperlink r:id="rId3">
        <w:r>
          <w:rPr>
            <w:rStyle w:val="Hyperlink"/>
            <w:rFonts w:ascii="Times New Roman" w:hAnsi="Times New Roman"/>
          </w:rPr>
          <w:t>http://creaub.info/included</w:t>
        </w:r>
      </w:hyperlink>
      <w:r>
        <w:rPr>
          <w:rFonts w:ascii="Times New Roman" w:hAnsi="Times New Roman"/>
        </w:rPr>
        <w:t>; Netwerk Ewropew għall-Politika dwar l-Iggwidar Tul il-Ħajja, www.elgpn.eu</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(2015): </w:t>
      </w:r>
      <w:r>
        <w:rPr>
          <w:rFonts w:ascii="Times New Roman" w:hAnsi="Times New Roman"/>
          <w:i/>
        </w:rPr>
        <w:t>Science Education for Responsible Citizenship</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RESL.eu – </w:t>
      </w:r>
      <w:r>
        <w:rPr>
          <w:rFonts w:ascii="Times New Roman" w:hAnsi="Times New Roman"/>
          <w:i/>
        </w:rPr>
        <w:t>Reducing early school leaving in Europe</w:t>
      </w:r>
      <w:r>
        <w:rPr>
          <w:rFonts w:ascii="Times New Roman" w:hAnsi="Times New Roman"/>
        </w:rPr>
        <w:t>, www.uantwerpen.be/en/projects/resl-eu/</w:t>
      </w:r>
    </w:p>
  </w:footnote>
  <w:footnote w:id="25">
    <w:p>
      <w:pPr>
        <w:pStyle w:val="FootnoteText"/>
        <w:jc w:val="both"/>
        <w:rPr>
          <w:rFonts w:eastAsia="Times New Roman"/>
        </w:rPr>
      </w:pPr>
      <w:r>
        <w:rPr>
          <w:rStyle w:val="FootnoteReference"/>
          <w:rFonts w:ascii="Times New Roman" w:hAnsi="Times New Roman"/>
        </w:rPr>
        <w:footnoteRef/>
      </w:r>
      <w:r>
        <w:rPr>
          <w:rFonts w:ascii="Times New Roman" w:hAnsi="Times New Roman"/>
        </w:rPr>
        <w:t xml:space="preserve"> OECD (2017), </w:t>
      </w:r>
      <w:r>
        <w:rPr>
          <w:rFonts w:ascii="Times New Roman" w:hAnsi="Times New Roman"/>
          <w:i/>
        </w:rPr>
        <w:t>PISA 2015 (Volum III)</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Ttofi, M.M., Farrington, D.P. (2011): </w:t>
      </w:r>
      <w:r>
        <w:rPr>
          <w:rFonts w:ascii="Times New Roman" w:hAnsi="Times New Roman"/>
          <w:i/>
        </w:rPr>
        <w:t>Effectiveness of school-based programs to reduce bullying:</w:t>
      </w:r>
      <w:r>
        <w:rPr>
          <w:rFonts w:ascii="Times New Roman" w:hAnsi="Times New Roman"/>
        </w:rPr>
        <w:t xml:space="preserve"> </w:t>
      </w:r>
      <w:r>
        <w:rPr>
          <w:rFonts w:ascii="Times New Roman" w:hAnsi="Times New Roman"/>
          <w:i/>
        </w:rPr>
        <w:t>a systematic and meta-analytic review</w:t>
      </w:r>
      <w:r>
        <w:rPr>
          <w:rFonts w:ascii="Times New Roman" w:hAnsi="Times New Roman"/>
        </w:rPr>
        <w:t xml:space="preserve">, </w:t>
      </w:r>
      <w:r>
        <w:rPr>
          <w:rFonts w:ascii="Times New Roman" w:hAnsi="Times New Roman"/>
          <w:i/>
        </w:rPr>
        <w:t>Journal of Experimental Criminology</w:t>
      </w:r>
      <w:r>
        <w:rPr>
          <w:rFonts w:ascii="Times New Roman" w:hAnsi="Times New Roman"/>
        </w:rPr>
        <w:t>, Vol. 7, N. 1, 27-56.</w:t>
      </w:r>
    </w:p>
  </w:footnote>
  <w:footnote w:id="27">
    <w:p>
      <w:pPr>
        <w:pStyle w:val="FootnoteText"/>
      </w:pPr>
      <w:r>
        <w:rPr>
          <w:rStyle w:val="FootnoteReference"/>
          <w:rFonts w:ascii="Times New Roman" w:hAnsi="Times New Roman"/>
        </w:rPr>
        <w:footnoteRef/>
      </w:r>
      <w:r>
        <w:t xml:space="preserve"> </w:t>
      </w:r>
      <w:r>
        <w:rPr>
          <w:rFonts w:ascii="Times New Roman" w:hAnsi="Times New Roman"/>
        </w:rPr>
        <w:t>Il-Kummissjoni Ewropea (2015): Approċċ skolastiku sħiħ għall-indirizzar tat-tluq bikri mill-iskola</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http://www.schooleducationgateway.eu/mt/pub/resources/toolkitsforschools.htm</w:t>
      </w:r>
    </w:p>
  </w:footnote>
  <w:footnote w:id="29">
    <w:p>
      <w:pPr>
        <w:pStyle w:val="FootnoteText"/>
      </w:pPr>
      <w:r>
        <w:rPr>
          <w:rStyle w:val="FootnoteReference"/>
        </w:rPr>
        <w:footnoteRef/>
      </w:r>
      <w:r>
        <w:t xml:space="preserve"> </w:t>
      </w:r>
      <w:r>
        <w:rPr>
          <w:rFonts w:ascii="Times New Roman" w:hAnsi="Times New Roman"/>
        </w:rPr>
        <w:t>Għaċ-ċelebrazzjoni tat-30 anniversarju tal-Programm Erasmus, l-azzjoni “Move2Learn, Learn2Move” fl-2017 se toffri liż-żgħażagħ li huma attivi fi proġetti ta’ eTwinning l-opportunità li jivvjaġġaw u jiltaqgħu ma’ żgħażagħ oħra bħala parti mill-esperjenza ta’ tagħlim tagħhom. Il-Kummissjoni se tivvaluta l-inizjattiva tal-2017 u tista', mingħajr ebda effett ta' detriment fuq il-baġit ta' Erasmus+ u bl-użu tar-riżultati minn din il-valutazzjoni, tqis inizjattiva simili fil-ġejjieni.</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www.etwinning.net</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(2016), </w:t>
      </w:r>
      <w:r>
        <w:rPr>
          <w:rFonts w:ascii="Times New Roman" w:hAnsi="Times New Roman"/>
          <w:i/>
        </w:rPr>
        <w:t>Low-performing students: why they fall behind and how to help them succeed</w:t>
      </w:r>
      <w:r>
        <w:rPr>
          <w:rFonts w:ascii="Times New Roman" w:hAnsi="Times New Roman"/>
        </w:rPr>
        <w:t>.</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Cunha, F. et al. (2006), Interpreting the Evidence on Life Cycle Skill Formation, fil-</w:t>
      </w:r>
      <w:r>
        <w:rPr>
          <w:rFonts w:ascii="Times New Roman" w:hAnsi="Times New Roman"/>
          <w:i/>
        </w:rPr>
        <w:t>Handbook of the Economics of Education, Vol. 1</w:t>
      </w:r>
      <w:r>
        <w:rPr>
          <w:rFonts w:ascii="Times New Roman" w:hAnsi="Times New Roman"/>
        </w:rPr>
        <w:t xml:space="preserve"> (</w:t>
      </w:r>
      <w:r>
        <w:rPr>
          <w:rFonts w:ascii="Times New Roman" w:hAnsi="Times New Roman"/>
          <w:i/>
        </w:rPr>
        <w:t>Il-Manwal tal-Ekonomija tal-Edukazzjoni, Vol. 1</w:t>
      </w:r>
      <w:r>
        <w:rPr>
          <w:rFonts w:ascii="Times New Roman" w:hAnsi="Times New Roman"/>
        </w:rPr>
        <w:t xml:space="preserve">), Amsterdam, North-Holland. </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Fi ħdan Edukazzjoni u Taħriġ 2020, il-Kunsill stabbilixxa valur referenzjarju tal-UE li tal-inqas jeħtieġ li 95 % tat-tfal minn 4 snin sal-età obbligatorja għall-iskola jieħdu sehem fl-ECEC. Fl-2014, ir-rata ta’ parteċipazzjoni madwar l-UE kienet ta’ 94.3 %.</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Eurydice (2014) </w:t>
      </w:r>
      <w:r>
        <w:rPr>
          <w:rFonts w:ascii="Times New Roman" w:hAnsi="Times New Roman"/>
          <w:i/>
        </w:rPr>
        <w:t>Policy Brief Early Childhood Education and Care</w:t>
      </w:r>
    </w:p>
  </w:footnote>
  <w:footnote w:id="35">
    <w:p>
      <w:pPr>
        <w:pStyle w:val="FootnoteText"/>
        <w:jc w:val="both"/>
      </w:pPr>
      <w:r>
        <w:rPr>
          <w:rStyle w:val="FootnoteReference"/>
          <w:rFonts w:ascii="Times New Roman" w:hAnsi="Times New Roman"/>
        </w:rPr>
        <w:footnoteRef/>
      </w:r>
      <w:r>
        <w:rPr>
          <w:rFonts w:ascii="Times New Roman" w:hAnsi="Times New Roman"/>
        </w:rPr>
        <w:t xml:space="preserve"> Il-Kummissjoni Ewropea (2014), </w:t>
      </w:r>
      <w:r>
        <w:rPr>
          <w:rFonts w:ascii="Times New Roman" w:hAnsi="Times New Roman"/>
          <w:i/>
        </w:rPr>
        <w:t>Proposal for key principles of a Quality Framework for Early Childhood Education and Care.</w:t>
      </w:r>
      <w:r>
        <w:rPr>
          <w:rFonts w:ascii="Times New Roman" w:hAnsi="Times New Roman"/>
        </w:rPr>
        <w:t xml:space="preserve"> Rapport tal-Grupp ta’ Ħidma dwar l-Edukazzjoni u l-Kura Bikrija tat-Tfal.</w:t>
      </w:r>
    </w:p>
  </w:footnote>
  <w:footnote w:id="36">
    <w:p>
      <w:pPr>
        <w:pStyle w:val="FootnoteText"/>
      </w:pPr>
      <w:r>
        <w:rPr>
          <w:rStyle w:val="FootnoteReference"/>
          <w:rFonts w:ascii="Times New Roman" w:hAnsi="Times New Roman"/>
        </w:rPr>
        <w:footnoteRef/>
      </w:r>
      <w:r>
        <w:t xml:space="preserve"> </w:t>
      </w:r>
      <w:hyperlink r:id="rId4">
        <w:r>
          <w:rPr>
            <w:rStyle w:val="Hyperlink"/>
            <w:rFonts w:ascii="Times New Roman" w:hAnsi="Times New Roman"/>
          </w:rPr>
          <w:t>http://eacea.ec.europa.eu/education/eurydice/index_en.php</w:t>
        </w:r>
      </w:hyperlink>
    </w:p>
  </w:footnote>
  <w:footnote w:id="37">
    <w:p>
      <w:pPr>
        <w:pStyle w:val="FootnoteText"/>
      </w:pPr>
      <w:r>
        <w:rPr>
          <w:rStyle w:val="FootnoteReference"/>
          <w:rFonts w:ascii="Times New Roman" w:hAnsi="Times New Roman"/>
        </w:rPr>
        <w:footnoteRef/>
      </w:r>
      <w:r>
        <w:rPr>
          <w:rFonts w:ascii="Times New Roman" w:hAnsi="Times New Roman"/>
        </w:rPr>
        <w:t xml:space="preserve"> Il-Kummissjoni Ewropea (2013), </w:t>
      </w:r>
      <w:r>
        <w:rPr>
          <w:rFonts w:ascii="Times New Roman" w:hAnsi="Times New Roman"/>
          <w:i/>
        </w:rPr>
        <w:t>Study on Policy Measures to improve the Attractiveness of the Teaching Profession in Europe</w:t>
      </w:r>
    </w:p>
  </w:footnote>
  <w:footnote w:id="38">
    <w:p>
      <w:pPr>
        <w:pStyle w:val="FootnoteText"/>
      </w:pPr>
      <w:r>
        <w:rPr>
          <w:rStyle w:val="FootnoteReference"/>
          <w:rFonts w:ascii="Times New Roman" w:hAnsi="Times New Roman"/>
        </w:rPr>
        <w:footnoteRef/>
      </w:r>
      <w:r>
        <w:t xml:space="preserve"> </w:t>
      </w:r>
      <w:r>
        <w:rPr>
          <w:rFonts w:ascii="Times New Roman" w:hAnsi="Times New Roman"/>
        </w:rPr>
        <w:t xml:space="preserve">Il-Kummissjoni Ewropea/EACEA/Eurydice (2013), </w:t>
      </w:r>
      <w:r>
        <w:rPr>
          <w:rFonts w:ascii="Times New Roman" w:hAnsi="Times New Roman"/>
          <w:i/>
        </w:rPr>
        <w:t>Key Data on Teachers and School Leaders</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(2016), </w:t>
      </w:r>
      <w:r>
        <w:rPr>
          <w:rFonts w:ascii="Times New Roman" w:hAnsi="Times New Roman"/>
          <w:i/>
        </w:rPr>
        <w:t>Education at a Glance 2016:</w:t>
      </w:r>
      <w:r>
        <w:rPr>
          <w:rFonts w:ascii="Times New Roman" w:hAnsi="Times New Roman"/>
        </w:rPr>
        <w:t xml:space="preserve"> </w:t>
      </w:r>
      <w:r>
        <w:rPr>
          <w:rFonts w:ascii="Times New Roman" w:hAnsi="Times New Roman"/>
          <w:i/>
        </w:rPr>
        <w:t>OECD indicators.</w:t>
      </w:r>
      <w:r>
        <w:rPr>
          <w:rFonts w:ascii="Times New Roman" w:hAnsi="Times New Roman"/>
        </w:rPr>
        <w:t xml:space="preserve"> Dejta għal 22 Stat Membru tal-UE. </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(2013), ibid</w:t>
      </w:r>
    </w:p>
  </w:footnote>
  <w:footnote w:id="4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(2014), TALIS 2013 </w:t>
      </w:r>
      <w:r>
        <w:rPr>
          <w:rFonts w:ascii="Times New Roman" w:hAnsi="Times New Roman"/>
          <w:i/>
        </w:rPr>
        <w:t>Results:</w:t>
      </w:r>
      <w:r>
        <w:rPr>
          <w:rFonts w:ascii="Times New Roman" w:hAnsi="Times New Roman"/>
        </w:rPr>
        <w:t xml:space="preserve"> </w:t>
      </w:r>
      <w:r>
        <w:rPr>
          <w:rFonts w:ascii="Times New Roman" w:hAnsi="Times New Roman"/>
          <w:i/>
        </w:rPr>
        <w:t>An International Perspective on Teaching and Learning</w:t>
      </w:r>
      <w:r>
        <w:rPr>
          <w:rFonts w:ascii="Times New Roman" w:hAnsi="Times New Roman"/>
        </w:rPr>
        <w:t>.</w:t>
      </w:r>
    </w:p>
  </w:footnote>
  <w:footnote w:id="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The Teaching Profession in Europe</w:t>
      </w:r>
      <w:r>
        <w:rPr>
          <w:rFonts w:ascii="Times New Roman" w:hAnsi="Times New Roman"/>
        </w:rPr>
        <w:t xml:space="preserve"> (2015) </w:t>
      </w:r>
    </w:p>
  </w:footnote>
  <w:footnote w:id="4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Ewropea/EACEA/Eurydice (2015), </w:t>
      </w:r>
      <w:r>
        <w:rPr>
          <w:rFonts w:ascii="Times New Roman" w:hAnsi="Times New Roman"/>
          <w:i/>
        </w:rPr>
        <w:t>The Teaching Profession in Europe:</w:t>
      </w:r>
      <w:r>
        <w:rPr>
          <w:rFonts w:ascii="Times New Roman" w:hAnsi="Times New Roman"/>
        </w:rPr>
        <w:t xml:space="preserve"> </w:t>
      </w:r>
      <w:r>
        <w:rPr>
          <w:rFonts w:ascii="Times New Roman" w:hAnsi="Times New Roman"/>
          <w:i/>
        </w:rPr>
        <w:t>Practices, Perceptions, and Policies</w:t>
      </w:r>
      <w:r>
        <w:rPr>
          <w:rFonts w:ascii="Times New Roman" w:hAnsi="Times New Roman"/>
        </w:rPr>
        <w:t xml:space="preserve">. </w:t>
      </w:r>
    </w:p>
  </w:footnote>
  <w:footnote w:id="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(2010), </w:t>
      </w:r>
      <w:r>
        <w:rPr>
          <w:rFonts w:ascii="Times New Roman" w:hAnsi="Times New Roman"/>
          <w:i/>
        </w:rPr>
        <w:t>Developing coherent and system-wide induction programmes for beginning teachers:</w:t>
      </w:r>
      <w:r>
        <w:rPr>
          <w:rFonts w:ascii="Times New Roman" w:hAnsi="Times New Roman"/>
        </w:rPr>
        <w:t xml:space="preserve"> </w:t>
      </w:r>
      <w:r>
        <w:rPr>
          <w:rFonts w:ascii="Times New Roman" w:hAnsi="Times New Roman"/>
          <w:i/>
        </w:rPr>
        <w:t>a handbook for policymakers</w:t>
      </w:r>
      <w:r>
        <w:rPr>
          <w:rFonts w:ascii="Times New Roman" w:hAnsi="Times New Roman"/>
        </w:rPr>
        <w:t xml:space="preserve"> S</w:t>
      </w:r>
      <w:r>
        <w:rPr>
          <w:rFonts w:ascii="Times New Roman" w:hAnsi="Times New Roman"/>
          <w:lang w:val="en-GB"/>
        </w:rPr>
        <w:t>EC</w:t>
      </w:r>
      <w:r>
        <w:rPr>
          <w:rFonts w:ascii="Times New Roman" w:hAnsi="Times New Roman"/>
        </w:rPr>
        <w:t xml:space="preserve"> (2010) 538 final. </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(2014) ibid. </w:t>
      </w:r>
    </w:p>
  </w:footnote>
  <w:footnote w:id="46">
    <w:p>
      <w:pPr>
        <w:pStyle w:val="FootnoteText"/>
      </w:pPr>
      <w:r>
        <w:rPr>
          <w:rStyle w:val="FootnoteReference"/>
          <w:rFonts w:ascii="Times New Roman" w:hAnsi="Times New Roman"/>
        </w:rPr>
        <w:footnoteRef/>
      </w:r>
      <w:r>
        <w:rPr>
          <w:rFonts w:ascii="Times New Roman" w:hAnsi="Times New Roman"/>
        </w:rPr>
        <w:t xml:space="preserve"> Ibid.</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(2016), </w:t>
      </w:r>
      <w:r>
        <w:rPr>
          <w:rFonts w:ascii="Times New Roman" w:hAnsi="Times New Roman"/>
          <w:i/>
        </w:rPr>
        <w:t>School Leadership for Learning</w:t>
      </w:r>
      <w:r>
        <w:rPr>
          <w:rFonts w:ascii="Times New Roman" w:hAnsi="Times New Roman"/>
        </w:rPr>
        <w:t>.</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SWD(2012)0374.</w:t>
      </w:r>
    </w:p>
  </w:footnote>
  <w:footnote w:id="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VO-raad/EFEE/ETUCE (2015), </w:t>
      </w:r>
      <w:r>
        <w:rPr>
          <w:rFonts w:ascii="Times New Roman" w:hAnsi="Times New Roman"/>
          <w:i/>
        </w:rPr>
        <w:t>Professional Autonomy, Accountability and Efficient Leadership and the role of employers' organisations, trade unions and school leaders</w:t>
      </w:r>
      <w:r>
        <w:rPr>
          <w:rFonts w:ascii="Times New Roman" w:hAnsi="Times New Roman"/>
        </w:rPr>
        <w:t>.</w:t>
      </w:r>
    </w:p>
  </w:footnote>
  <w:footnote w:id="50">
    <w:p>
      <w:pPr>
        <w:pStyle w:val="FootnoteText"/>
        <w:jc w:val="both"/>
      </w:pPr>
      <w:r>
        <w:rPr>
          <w:rStyle w:val="FootnoteReference"/>
          <w:rFonts w:ascii="Times New Roman" w:hAnsi="Times New Roman"/>
        </w:rPr>
        <w:footnoteRef/>
      </w:r>
      <w:r>
        <w:rPr>
          <w:rFonts w:ascii="Times New Roman" w:hAnsi="Times New Roman"/>
        </w:rPr>
        <w:t xml:space="preserve"> Il-konsulenza bejn il-pari tiġbor flimkien lil pari professjonali minn amministrazzjonijiet nazzjonali biex jipprovdu pariri esterni lil pajjiż li jitlob appoġġ għal riforma fl-edukazzjoni.</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(f’kooperazzjoni mal-Kummissjoni Ewropea): </w:t>
      </w:r>
      <w:r>
        <w:rPr>
          <w:rFonts w:ascii="Times New Roman" w:hAnsi="Times New Roman"/>
          <w:i/>
        </w:rPr>
        <w:t>School Resources Review</w:t>
      </w:r>
      <w:r>
        <w:rPr>
          <w:rFonts w:ascii="Times New Roman" w:hAnsi="Times New Roman"/>
        </w:rPr>
        <w:t xml:space="preserve">, </w:t>
      </w:r>
      <w:hyperlink r:id="rId5">
        <w:r>
          <w:rPr>
            <w:rStyle w:val="Hyperlink"/>
            <w:rFonts w:ascii="Times New Roman" w:hAnsi="Times New Roman"/>
          </w:rPr>
          <w:t>http://www.oecd.org/education/schoolresourcesreview.htm</w:t>
        </w:r>
      </w:hyperlink>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Statistiki ġenerali dwar il-finanzi tal-gvernijiet.</w:t>
      </w:r>
    </w:p>
  </w:footnote>
  <w:footnote w:id="5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(2016), </w:t>
      </w:r>
      <w:r>
        <w:rPr>
          <w:rFonts w:ascii="Times New Roman" w:hAnsi="Times New Roman"/>
          <w:i/>
        </w:rPr>
        <w:t>Il-Monitoraġġ tal-Edukazzjoni u t-Taħriġ 2016</w:t>
      </w:r>
      <w:r>
        <w:rPr>
          <w:rFonts w:ascii="Times New Roman" w:hAnsi="Times New Roman"/>
        </w:rPr>
        <w:t>.</w:t>
      </w:r>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https://ec.europa.eu/info/publications/2017-european-semester-country-reports_mt</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ET2020 </w:t>
      </w:r>
      <w:r>
        <w:rPr>
          <w:rFonts w:ascii="Times New Roman" w:hAnsi="Times New Roman"/>
          <w:i/>
        </w:rPr>
        <w:t>Working Group Schools interim report on</w:t>
      </w:r>
      <w:r>
        <w:rPr>
          <w:rFonts w:ascii="Times New Roman" w:hAnsi="Times New Roman"/>
        </w:rPr>
        <w:t xml:space="preserve"> </w:t>
      </w:r>
      <w:r>
        <w:rPr>
          <w:rFonts w:ascii="Times New Roman" w:hAnsi="Times New Roman"/>
          <w:i/>
        </w:rPr>
        <w:t>Quality assurance for school development</w:t>
      </w:r>
      <w:r>
        <w:rPr>
          <w:rFonts w:ascii="Times New Roman" w:hAnsi="Times New Roman"/>
        </w:rPr>
        <w:t xml:space="preserve"> , April 2017</w:t>
      </w:r>
    </w:p>
  </w:footnote>
  <w:footnote w:id="5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Hanushek, E.A.,  Link, S. u Woessmann, L. (2013), </w:t>
      </w:r>
      <w:r>
        <w:rPr>
          <w:rFonts w:ascii="Times New Roman" w:hAnsi="Times New Roman"/>
          <w:i/>
        </w:rPr>
        <w:t>Does school autonomy make sense everywhere?</w:t>
      </w:r>
      <w:r>
        <w:rPr>
          <w:rFonts w:ascii="Times New Roman" w:hAnsi="Times New Roman"/>
        </w:rPr>
        <w:t xml:space="preserve"> Stimi tal-Bord minn PISA, </w:t>
      </w:r>
      <w:r>
        <w:rPr>
          <w:rFonts w:ascii="Times New Roman" w:hAnsi="Times New Roman"/>
          <w:i/>
        </w:rPr>
        <w:t>Journal of Development Economics</w:t>
      </w:r>
      <w:r>
        <w:rPr>
          <w:rFonts w:ascii="Times New Roman" w:hAnsi="Times New Roman"/>
        </w:rPr>
        <w:t>, Vol. 104, pp. 212-232.</w:t>
      </w:r>
    </w:p>
  </w:footnote>
  <w:footnote w:id="5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Il-Kummissjoni Ewropea (2015), </w:t>
      </w:r>
      <w:r>
        <w:rPr>
          <w:rFonts w:ascii="Times New Roman" w:hAnsi="Times New Roman"/>
          <w:i/>
        </w:rPr>
        <w:t>Comparative study on quality assurance in EU school education systems: Policies, procedures and practices. Rapport finali</w:t>
      </w:r>
      <w:r>
        <w:rPr>
          <w:rFonts w:ascii="Times New Roman" w:hAnsi="Times New Roman"/>
        </w:rPr>
        <w:t>.</w:t>
      </w:r>
    </w:p>
  </w:footnote>
  <w:footnote w:id="58">
    <w:p>
      <w:pPr>
        <w:pStyle w:val="FootnoteText"/>
      </w:pPr>
      <w:r>
        <w:rPr>
          <w:rStyle w:val="FootnoteReference"/>
          <w:rFonts w:ascii="Times New Roman" w:hAnsi="Times New Roman"/>
        </w:rPr>
        <w:footnoteRef/>
      </w:r>
      <w:r>
        <w:rPr>
          <w:rFonts w:ascii="Times New Roman" w:hAnsi="Times New Roman"/>
        </w:rPr>
        <w:t xml:space="preserve"> ET2020 Working Group Schools interim report on </w:t>
      </w:r>
      <w:r>
        <w:rPr>
          <w:rFonts w:ascii="Times New Roman" w:hAnsi="Times New Roman"/>
          <w:i/>
        </w:rPr>
        <w:t>Continuity and transitions in learner development</w:t>
      </w:r>
      <w:r>
        <w:rPr>
          <w:rFonts w:ascii="Times New Roman" w:hAnsi="Times New Roman"/>
        </w:rPr>
        <w:t>, April 2017</w:t>
      </w:r>
    </w:p>
  </w:footnote>
  <w:footnote w:id="59">
    <w:p>
      <w:pPr>
        <w:autoSpaceDE w:val="0"/>
        <w:autoSpaceDN w:val="0"/>
        <w:adjustRightInd w:val="0"/>
        <w:spacing w:after="0" w:line="240" w:lineRule="auto"/>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Konklużjonijiet tal-Kunsill dwar l-assigurazzjoni tal-kwalità li tappoġġa l-edukazzjoni u t-taħriġ, l-20 ta’ Mejju 2014.</w:t>
      </w:r>
      <w:r>
        <w:rPr>
          <w:rFonts w:ascii="Times New Roman" w:hAnsi="Times New Roman"/>
        </w:rPr>
        <w:t xml:space="preserve"> </w:t>
      </w:r>
    </w:p>
  </w:footnote>
  <w:footnote w:id="6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206.</w:t>
      </w:r>
    </w:p>
  </w:footnote>
  <w:footnote w:id="61">
    <w:p>
      <w:pPr>
        <w:pStyle w:val="FootnoteText"/>
      </w:pPr>
      <w:r>
        <w:rPr>
          <w:rStyle w:val="FootnoteReference"/>
          <w:rFonts w:ascii="Times New Roman" w:hAnsi="Times New Roman"/>
        </w:rPr>
        <w:footnoteRef/>
      </w:r>
      <w:r>
        <w:t xml:space="preserve"> </w:t>
      </w:r>
      <w:r>
        <w:rPr>
          <w:rFonts w:ascii="Times New Roman" w:hAnsi="Times New Roman"/>
        </w:rPr>
        <w:t>Dikjarazzjoni ta’ Ruma, Dikjarazzjoni tal-mexxejja ta’ 27 Stat Membru u tal-Kunsill Ewropew, tal-Parlament Ewropew u tal-Kummissjoni Ewropea, 25 ta’ Marzu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C8"/>
    <w:multiLevelType w:val="hybridMultilevel"/>
    <w:tmpl w:val="458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D30C0"/>
    <w:multiLevelType w:val="hybridMultilevel"/>
    <w:tmpl w:val="E80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545BC"/>
    <w:multiLevelType w:val="hybridMultilevel"/>
    <w:tmpl w:val="5DFE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726844"/>
    <w:multiLevelType w:val="hybridMultilevel"/>
    <w:tmpl w:val="67D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3E7C65"/>
    <w:multiLevelType w:val="hybridMultilevel"/>
    <w:tmpl w:val="170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E1088"/>
    <w:multiLevelType w:val="hybridMultilevel"/>
    <w:tmpl w:val="5824E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919E2"/>
    <w:multiLevelType w:val="hybridMultilevel"/>
    <w:tmpl w:val="02F82BF6"/>
    <w:lvl w:ilvl="0" w:tplc="0809000F">
      <w:start w:val="5"/>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45031F8"/>
    <w:multiLevelType w:val="hybridMultilevel"/>
    <w:tmpl w:val="680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148E7"/>
    <w:multiLevelType w:val="hybridMultilevel"/>
    <w:tmpl w:val="029A11B4"/>
    <w:lvl w:ilvl="0" w:tplc="08090001">
      <w:start w:val="1"/>
      <w:numFmt w:val="bullet"/>
      <w:lvlText w:val=""/>
      <w:lvlJc w:val="left"/>
      <w:pPr>
        <w:ind w:left="1077" w:hanging="360"/>
      </w:pPr>
      <w:rPr>
        <w:rFonts w:ascii="Symbol" w:hAnsi="Symbol" w:hint="default"/>
      </w:rPr>
    </w:lvl>
    <w:lvl w:ilvl="1" w:tplc="9CC84460">
      <w:numFmt w:val="bullet"/>
      <w:lvlText w:val="-"/>
      <w:lvlJc w:val="left"/>
      <w:pPr>
        <w:ind w:left="1797" w:hanging="360"/>
      </w:pPr>
      <w:rPr>
        <w:rFonts w:ascii="Times New Roman" w:eastAsia="Times New Roman" w:hAnsi="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3DA769F5"/>
    <w:multiLevelType w:val="hybridMultilevel"/>
    <w:tmpl w:val="8FF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261E5"/>
    <w:multiLevelType w:val="hybridMultilevel"/>
    <w:tmpl w:val="96E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C56C0"/>
    <w:multiLevelType w:val="hybridMultilevel"/>
    <w:tmpl w:val="7AE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D5471"/>
    <w:multiLevelType w:val="hybridMultilevel"/>
    <w:tmpl w:val="5624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DD3D47"/>
    <w:multiLevelType w:val="hybridMultilevel"/>
    <w:tmpl w:val="3800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88511D"/>
    <w:multiLevelType w:val="hybridMultilevel"/>
    <w:tmpl w:val="0BF8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885EA6"/>
    <w:multiLevelType w:val="multilevel"/>
    <w:tmpl w:val="E4C4E82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5"/>
  </w:num>
  <w:num w:numId="2">
    <w:abstractNumId w:val="5"/>
  </w:num>
  <w:num w:numId="3">
    <w:abstractNumId w:val="8"/>
  </w:num>
  <w:num w:numId="4">
    <w:abstractNumId w:val="6"/>
  </w:num>
  <w:num w:numId="5">
    <w:abstractNumId w:val="0"/>
  </w:num>
  <w:num w:numId="6">
    <w:abstractNumId w:val="10"/>
  </w:num>
  <w:num w:numId="7">
    <w:abstractNumId w:val="11"/>
  </w:num>
  <w:num w:numId="8">
    <w:abstractNumId w:val="1"/>
  </w:num>
  <w:num w:numId="9">
    <w:abstractNumId w:val="12"/>
  </w:num>
  <w:num w:numId="10">
    <w:abstractNumId w:val="7"/>
  </w:num>
  <w:num w:numId="11">
    <w:abstractNumId w:val="14"/>
  </w:num>
  <w:num w:numId="12">
    <w:abstractNumId w:val="13"/>
  </w:num>
  <w:num w:numId="13">
    <w:abstractNumId w:val="2"/>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8FF6ACA11C3441BBAFCA0836BD22D1D"/>
    <w:docVar w:name="LW_CROSSREFERENCE" w:val="{SWD(2017) 165 final}"/>
    <w:docVar w:name="LW_DocType" w:val="NORMAL"/>
    <w:docVar w:name="LW_EMISSION" w:val="30.5.2017"/>
    <w:docVar w:name="LW_EMISSION_ISODATE" w:val="2017-05-30"/>
    <w:docVar w:name="LW_EMISSION_LOCATION" w:val="BRX"/>
    <w:docVar w:name="LW_EMISSION_PREFIX" w:val="Brussell, "/>
    <w:docVar w:name="LW_EMISSION_SUFFIX" w:val=" "/>
    <w:docVar w:name="LW_ID_DOCTYPE_NONLW" w:val="CP-014"/>
    <w:docVar w:name="LW_LANGUE" w:val="MT"/>
    <w:docVar w:name="LW_MARKING" w:val="&lt;UNUSED&g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7) 248"/>
    <w:docVar w:name="LW_REF.INTERNE" w:val="&lt;UNUSED&gt;"/>
    <w:docVar w:name="LW_SOUS.TITRE.OBJ.CP" w:val="&lt;UNUSED&gt;"/>
    <w:docVar w:name="LW_SUPERTITRE" w:val="&lt;UNUSED&gt;"/>
    <w:docVar w:name="LW_TITRE.OBJ.CP" w:val="L-i\u380?vilupp tal-iskejjel u t-tag\u295?lim e\u267?\u267?ellenti g\u295?al bidu tajjeb fil-\u295?ajja"/>
    <w:docVar w:name="LW_TYPE.DOC.CP" w:val="KOMUNIKAZZJONI TAL-KUMMISSJONI LILL-PARLAMENT EWROPEW, LILL-KUNSILL, LILL-KUMITAT EKONOMIKU U SO\u266?JALI EWROPEW U LILL-KUMITAT TAR-RE\u288?JU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f,Char,Footnote text,ft"/>
    <w:basedOn w:val="Normal"/>
    <w:link w:val="FootnoteTextChar"/>
    <w:uiPriority w:val="99"/>
    <w:qFormat/>
    <w:pPr>
      <w:spacing w:after="0" w:line="240" w:lineRule="auto"/>
    </w:pPr>
    <w:rPr>
      <w:rFonts w:ascii="Calibri" w:eastAsia="Calibri" w:hAnsi="Calibri" w:cs="Arial"/>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Calibri" w:eastAsia="Calibri" w:hAnsi="Calibri" w:cs="Arial"/>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basedOn w:val="DefaultParagraphFont"/>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ascii="Calibri" w:eastAsia="Calibri" w:hAnsi="Calibri" w:cs="Arial"/>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Pr>
      <w:rFonts w:ascii="Calibri" w:eastAsia="Calibri" w:hAnsi="Calibri" w:cs="Arial"/>
    </w:rPr>
  </w:style>
  <w:style w:type="paragraph" w:styleId="Header">
    <w:name w:val="header"/>
    <w:basedOn w:val="Normal"/>
    <w:link w:val="HeaderChar"/>
    <w:uiPriority w:val="99"/>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Pr>
      <w:rFonts w:ascii="Calibri" w:eastAsia="Calibri" w:hAnsi="Calibri" w:cs="Arial"/>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DefaultParagraphFont"/>
    <w:link w:val="FooterCoverPage"/>
    <w:uiPriority w:val="99"/>
    <w:locked/>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f,Char,Footnote text,ft"/>
    <w:basedOn w:val="Normal"/>
    <w:link w:val="FootnoteTextChar"/>
    <w:uiPriority w:val="99"/>
    <w:qFormat/>
    <w:pPr>
      <w:spacing w:after="0" w:line="240" w:lineRule="auto"/>
    </w:pPr>
    <w:rPr>
      <w:rFonts w:ascii="Calibri" w:eastAsia="Calibri" w:hAnsi="Calibri" w:cs="Arial"/>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Calibri" w:eastAsia="Calibri" w:hAnsi="Calibri" w:cs="Arial"/>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basedOn w:val="DefaultParagraphFont"/>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ascii="Calibri" w:eastAsia="Calibri" w:hAnsi="Calibri" w:cs="Arial"/>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Pr>
      <w:rFonts w:ascii="Calibri" w:eastAsia="Calibri" w:hAnsi="Calibri" w:cs="Arial"/>
    </w:rPr>
  </w:style>
  <w:style w:type="paragraph" w:styleId="Header">
    <w:name w:val="header"/>
    <w:basedOn w:val="Normal"/>
    <w:link w:val="HeaderChar"/>
    <w:uiPriority w:val="99"/>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Pr>
      <w:rFonts w:ascii="Calibri" w:eastAsia="Calibri" w:hAnsi="Calibri" w:cs="Arial"/>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DefaultParagraphFont"/>
    <w:link w:val="FooterCoverPage"/>
    <w:uiPriority w:val="99"/>
    <w:locked/>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8896">
      <w:bodyDiv w:val="1"/>
      <w:marLeft w:val="0"/>
      <w:marRight w:val="0"/>
      <w:marTop w:val="0"/>
      <w:marBottom w:val="0"/>
      <w:divBdr>
        <w:top w:val="none" w:sz="0" w:space="0" w:color="auto"/>
        <w:left w:val="none" w:sz="0" w:space="0" w:color="auto"/>
        <w:bottom w:val="none" w:sz="0" w:space="0" w:color="auto"/>
        <w:right w:val="none" w:sz="0" w:space="0" w:color="auto"/>
      </w:divBdr>
    </w:div>
    <w:div w:id="1908026285">
      <w:bodyDiv w:val="1"/>
      <w:marLeft w:val="0"/>
      <w:marRight w:val="0"/>
      <w:marTop w:val="0"/>
      <w:marBottom w:val="0"/>
      <w:divBdr>
        <w:top w:val="none" w:sz="0" w:space="0" w:color="auto"/>
        <w:left w:val="none" w:sz="0" w:space="0" w:color="auto"/>
        <w:bottom w:val="none" w:sz="0" w:space="0" w:color="auto"/>
        <w:right w:val="none" w:sz="0" w:space="0" w:color="auto"/>
      </w:divBdr>
    </w:div>
    <w:div w:id="2044861053">
      <w:bodyDiv w:val="1"/>
      <w:marLeft w:val="0"/>
      <w:marRight w:val="0"/>
      <w:marTop w:val="0"/>
      <w:marBottom w:val="0"/>
      <w:divBdr>
        <w:top w:val="none" w:sz="0" w:space="0" w:color="auto"/>
        <w:left w:val="none" w:sz="0" w:space="0" w:color="auto"/>
        <w:bottom w:val="none" w:sz="0" w:space="0" w:color="auto"/>
        <w:right w:val="none" w:sz="0" w:space="0" w:color="auto"/>
      </w:divBdr>
    </w:div>
    <w:div w:id="21397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creaub.info/included" TargetMode="External"/><Relationship Id="rId2" Type="http://schemas.openxmlformats.org/officeDocument/2006/relationships/hyperlink" Target="https://ec.europa.eu/jrc/en/entrecomp" TargetMode="External"/><Relationship Id="rId1" Type="http://schemas.openxmlformats.org/officeDocument/2006/relationships/hyperlink" Target="https://ec.europa.eu/jrc/en/digcomporg/selfie-tool" TargetMode="External"/><Relationship Id="rId5" Type="http://schemas.openxmlformats.org/officeDocument/2006/relationships/hyperlink" Target="http://www.oecd.org/education/schoolresourcesreview.htm" TargetMode="External"/><Relationship Id="rId4" Type="http://schemas.openxmlformats.org/officeDocument/2006/relationships/hyperlink" Target="http://eacea.ec.europa.eu/education/eurydice/index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3CB9131AC97034F8B71ED59BB79F962" ma:contentTypeVersion="12" ma:contentTypeDescription="Create a new document in this library." ma:contentTypeScope="" ma:versionID="bcb2879885e11ce4f4e6d97abc6d0ffd">
  <xsd:schema xmlns:xsd="http://www.w3.org/2001/XMLSchema" xmlns:xs="http://www.w3.org/2001/XMLSchema" xmlns:p="http://schemas.microsoft.com/office/2006/metadata/properties" xmlns:ns2="2ef9fadd-d175-4c74-a8f2-fc8ca1dfcf52" targetNamespace="http://schemas.microsoft.com/office/2006/metadata/properties" ma:root="true" ma:fieldsID="e58739a386d80a696ee45b80aa9b39d7" ns2:_="">
    <xsd:import namespace="2ef9fadd-d175-4c74-a8f2-fc8ca1dfcf52"/>
    <xsd:element name="properties">
      <xsd:complexType>
        <xsd:sequence>
          <xsd:element name="documentManagement">
            <xsd:complexType>
              <xsd:all>
                <xsd:element ref="ns2:Policy_x0020_theme"/>
                <xsd:element ref="ns2:Document_x0020_Type" minOccurs="0"/>
                <xsd:element ref="ns2:PLAT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9fadd-d175-4c74-a8f2-fc8ca1dfcf52" elementFormDefault="qualified">
    <xsd:import namespace="http://schemas.microsoft.com/office/2006/documentManagement/types"/>
    <xsd:import namespace="http://schemas.microsoft.com/office/infopath/2007/PartnerControls"/>
    <xsd:element name="Policy_x0020_theme" ma:index="8" ma:displayName="Policy Theme" ma:format="Dropdown" ma:internalName="Policy_x0020_theme">
      <xsd:simpleType>
        <xsd:restriction base="dms:Choice">
          <xsd:enumeration value="Basic skills"/>
          <xsd:enumeration value="Citizenship"/>
          <xsd:enumeration value="DG Schools"/>
          <xsd:enumeration value="Early school leaving"/>
          <xsd:enumeration value="ECEC"/>
          <xsd:enumeration value="ECEC"/>
          <xsd:enumeration value="Funding and resources"/>
          <xsd:enumeration value="Future Programme"/>
          <xsd:enumeration value="Key Competences (review)"/>
          <xsd:enumeration value="Language learning"/>
          <xsd:enumeration value="Migrants"/>
          <xsd:enumeration value="Multilingualism"/>
          <xsd:enumeration value="Platforms"/>
          <xsd:enumeration value="Programme ERASMUS+"/>
          <xsd:enumeration value="Quality Assurance"/>
          <xsd:enumeration value="Schools-general"/>
          <xsd:enumeration value="Teachers and Teaching"/>
        </xsd:restriction>
      </xsd:simpleType>
    </xsd:element>
    <xsd:element name="Document_x0020_Type" ma:index="9" nillable="true" ma:displayName="Document Type" ma:default="Policy Document" ma:format="Dropdown" ma:internalName="Document_x0020_Type">
      <xsd:simpleType>
        <xsd:restriction base="dms:Choice">
          <xsd:enumeration value="Policy Document"/>
          <xsd:enumeration value="Call for Tender"/>
          <xsd:enumeration value="Platforms"/>
          <xsd:enumeration value="Other"/>
        </xsd:restriction>
      </xsd:simpleType>
    </xsd:element>
    <xsd:element name="PLATFORMS" ma:index="10" nillable="true" ma:displayName="PLATFORMS" ma:internalName="PLAT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ef9fadd-d175-4c74-a8f2-fc8ca1dfcf52">Policy Document</Document_x0020_Type>
    <PLATFORMS xmlns="2ef9fadd-d175-4c74-a8f2-fc8ca1dfcf52" xsi:nil="true"/>
    <Policy_x0020_theme xmlns="2ef9fadd-d175-4c74-a8f2-fc8ca1dfcf52">Schools-general</Policy_x0020_the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AD77-FC99-4CAF-BFED-62BF31CC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9fadd-d175-4c74-a8f2-fc8ca1dfc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98BCD-B340-4B64-A055-E4B4EAD626B3}">
  <ds:schemaRefs>
    <ds:schemaRef ds:uri="http://schemas.microsoft.com/sharepoint/v3/contenttype/forms"/>
  </ds:schemaRefs>
</ds:datastoreItem>
</file>

<file path=customXml/itemProps3.xml><?xml version="1.0" encoding="utf-8"?>
<ds:datastoreItem xmlns:ds="http://schemas.openxmlformats.org/officeDocument/2006/customXml" ds:itemID="{ED4C6306-680A-47BE-9292-B44B06A8E7D9}">
  <ds:schemaRefs>
    <ds:schemaRef ds:uri="2ef9fadd-d175-4c74-a8f2-fc8ca1dfcf52"/>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58A42DA-A14F-4A6E-B3FA-4921B013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3927</Words>
  <Characters>29142</Characters>
  <Application>Microsoft Office Word</Application>
  <DocSecurity>0</DocSecurity>
  <Lines>404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2017-05-12T08:06:00Z</cp:lastPrinted>
  <dcterms:created xsi:type="dcterms:W3CDTF">2017-05-29T12:18:00Z</dcterms:created>
  <dcterms:modified xsi:type="dcterms:W3CDTF">2017-05-31T08:43:00Z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0x010100258AA79CEB83498886A3A086811232500023CB9131AC97034F8B71ED59BB79F962</vt:lpwstr>
  </property>
</Properties>
</file>