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C6BC3145A8245D1AE96993B172E174D" style="width:450pt;height:333.9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numPr>
          <w:ilvl w:val="0"/>
          <w:numId w:val="1"/>
        </w:numPr>
        <w:spacing w:before="240" w:after="240" w:line="240" w:lineRule="auto"/>
        <w:ind w:left="357" w:hanging="357"/>
        <w:contextualSpacing/>
        <w:jc w:val="both"/>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Įvadas</w:t>
      </w:r>
    </w:p>
    <w:p>
      <w:pPr>
        <w:spacing w:before="240" w:after="240" w:line="240" w:lineRule="auto"/>
        <w:ind w:left="357"/>
        <w:contextualSpacing/>
        <w:jc w:val="both"/>
        <w:rPr>
          <w:rFonts w:ascii="Times New Roman" w:eastAsia="Calibri" w:hAnsi="Times New Roman" w:cs="Times New Roman"/>
          <w:b/>
          <w:noProof/>
          <w:sz w:val="24"/>
          <w:szCs w:val="24"/>
        </w:rPr>
      </w:pP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Investicijos į žmones, ypač į jaunimą, yra vienas svarbiausių ES prioritetų. </w:t>
      </w:r>
      <w:r>
        <w:rPr>
          <w:rFonts w:ascii="Times New Roman" w:hAnsi="Times New Roman"/>
          <w:noProof/>
          <w:sz w:val="24"/>
        </w:rPr>
        <w:t>2016 m. gruodžio mėn. Europos Komisija pristatė „Investicijų į Europos jaunimą“ iniciatyvas</w:t>
      </w:r>
      <w:r>
        <w:rPr>
          <w:rStyle w:val="FootnoteReference"/>
          <w:rFonts w:ascii="Times New Roman" w:hAnsi="Times New Roman"/>
          <w:noProof/>
          <w:sz w:val="24"/>
        </w:rPr>
        <w:footnoteReference w:id="2"/>
      </w:r>
      <w:r>
        <w:rPr>
          <w:rFonts w:ascii="Times New Roman" w:hAnsi="Times New Roman"/>
          <w:noProof/>
          <w:sz w:val="24"/>
        </w:rPr>
        <w:t xml:space="preserve"> pabrėždama, kaip svarbu suteikti </w:t>
      </w:r>
      <w:r>
        <w:rPr>
          <w:rFonts w:ascii="Times New Roman" w:hAnsi="Times New Roman"/>
          <w:i/>
          <w:noProof/>
          <w:sz w:val="24"/>
        </w:rPr>
        <w:t>jaunimui naujų galimybių</w:t>
      </w:r>
      <w:r>
        <w:rPr>
          <w:rFonts w:ascii="Times New Roman" w:hAnsi="Times New Roman"/>
          <w:noProof/>
          <w:sz w:val="24"/>
        </w:rPr>
        <w:t>. Išreikšta pagrindinė mintis, kad švietimo kokybė turi lemiamą reikšmę jaunimo perspektyvoms ir galimybėms per visą gyvenimą. Ši iniciatyva pagrįsta Nauja Europos įgūdžių darbotvarke</w:t>
      </w:r>
      <w:r>
        <w:rPr>
          <w:rFonts w:ascii="Times New Roman" w:hAnsi="Times New Roman"/>
          <w:noProof/>
          <w:sz w:val="24"/>
          <w:vertAlign w:val="superscript"/>
        </w:rPr>
        <w:footnoteReference w:id="3"/>
      </w:r>
      <w:r>
        <w:rPr>
          <w:rFonts w:ascii="Times New Roman" w:hAnsi="Times New Roman"/>
          <w:noProof/>
          <w:sz w:val="24"/>
        </w:rPr>
        <w:t>. Švietimui taip pat tenka pagrindinis vaidmuo pagal Europos socialinių teisių ramstį</w:t>
      </w:r>
      <w:r>
        <w:rPr>
          <w:rFonts w:ascii="Times New Roman" w:hAnsi="Times New Roman"/>
          <w:noProof/>
          <w:sz w:val="24"/>
          <w:vertAlign w:val="superscript"/>
        </w:rPr>
        <w:footnoteReference w:id="4"/>
      </w:r>
      <w:r>
        <w:rPr>
          <w:rFonts w:ascii="Times New Roman" w:hAnsi="Times New Roman"/>
          <w:noProof/>
          <w:sz w:val="24"/>
        </w:rPr>
        <w:t>. Šis komunikatas yra įtrauktas į mokykloms, aukštajam mokslui ir absolventų karjeros stebėjimui skirtų iniciatyvų rinkinį. Jis parengtas atsižvelgiant į 2016 m. gruodžio mėn. Europos Vadovų Tarybos išvadas</w:t>
      </w:r>
      <w:r>
        <w:rPr>
          <w:rFonts w:ascii="Times New Roman" w:hAnsi="Times New Roman"/>
          <w:noProof/>
          <w:sz w:val="24"/>
          <w:vertAlign w:val="superscript"/>
        </w:rPr>
        <w:footnoteReference w:id="5"/>
      </w:r>
      <w:r>
        <w:rPr>
          <w:rFonts w:ascii="Times New Roman" w:hAnsi="Times New Roman"/>
          <w:noProof/>
          <w:sz w:val="24"/>
        </w:rPr>
        <w:t>. Juo pritariama JT darnaus vystymosi tikslui Nr. 4 dėl švietimo</w:t>
      </w:r>
      <w:r>
        <w:rPr>
          <w:rFonts w:ascii="Times New Roman" w:hAnsi="Times New Roman"/>
          <w:noProof/>
          <w:sz w:val="24"/>
          <w:vertAlign w:val="superscript"/>
        </w:rPr>
        <w:footnoteReference w:id="6"/>
      </w:r>
      <w:r>
        <w:rPr>
          <w:rFonts w:ascii="Times New Roman" w:hAnsi="Times New Roman"/>
          <w:noProof/>
          <w:sz w:val="24"/>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Visiems prieinamas aukštos kokybės švietimas padės Europai siekti savo ekonominių ir socialinių tikslų. </w:t>
      </w:r>
      <w:r>
        <w:rPr>
          <w:rFonts w:ascii="Times New Roman" w:hAnsi="Times New Roman"/>
          <w:noProof/>
          <w:sz w:val="24"/>
        </w:rPr>
        <w:t xml:space="preserve">Geras švietimas yra įtraukios ir atsparios visuomenės pagrindas. Nuo jo prasideda sėkminga profesinė karjera ir jis geriausiai apsaugo nuo nedarbo ir skurdo. Jis skatina asmenybės raidą ir deda pamatus aktyviam pilietiškumui. Geru švietimu skatinami moksliniai tyrimai ir technologinė plėtra, inovacijos ir konkurencingumas. Tačiau siekiant, kad visuomenė pasinaudotų jo teikiama nauda, aukštos kokybės švietimas turi būti prieinamas visiems.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Mokyklų vaidmuo yra itin svarbus mokymuisi visą gyvenimą, todėl reikia imtis veiksmų gerinant mokyklinio ugdymo kokybę ir rezultatus</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Iš dabartinės padėties Europoje aišku, kad dabar ne laikas tenkintis tuo, kas turima. Europos Sąjungoje yra didelė mokyklų ir švietimo sistemų įvairovė; tuo pat metu faktiškai visos valstybės narės susiduria su keliais svarbiausiais sunkumais, kurie išvardyti toliau. </w:t>
      </w:r>
    </w:p>
    <w:p>
      <w:pPr>
        <w:pStyle w:val="ListParagraph"/>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Gebėjimų lavinimas mokyklinio ugdymo lygmeniu turi trūkumų</w:t>
      </w:r>
      <w:r>
        <w:rPr>
          <w:rFonts w:ascii="Times New Roman" w:hAnsi="Times New Roman"/>
          <w:noProof/>
          <w:sz w:val="24"/>
        </w:rPr>
        <w:t>. Naujausi EBPO Tarptautinio moksleivių vertinimo programos (PISA) tyrimo rezultatai rodo, kad vienam iš penkių mokinių kyla didelių sunkumų, kliudančių įgyti pakankamus skaitymo, matematikos ir gamtos mokslų sričių įgūdžius. Todėl yra didesnė tikimybė, kad šie jaunuoliai susidurs su reikšmingomis kliūtimis, kurios visą gyvenimą trukdys jų socialiniai įtraukčiai ir įsidarbinamumui. Tuo pat metu labai gerus mokymosi rezultatus pasiekusių mokinių dalis Europoje yra palyginti nedidelė: net ir tas ES valstybes nares, kuriose šie rezultatai geriausi, lenkia išsivysčiusios Azijos šalys</w:t>
      </w:r>
      <w:r>
        <w:rPr>
          <w:rFonts w:ascii="Times New Roman" w:hAnsi="Times New Roman"/>
          <w:noProof/>
          <w:sz w:val="24"/>
          <w:vertAlign w:val="superscript"/>
        </w:rPr>
        <w:footnoteReference w:id="8"/>
      </w:r>
      <w:r>
        <w:rPr>
          <w:rFonts w:ascii="Times New Roman" w:hAnsi="Times New Roman"/>
          <w:noProof/>
          <w:sz w:val="24"/>
        </w:rPr>
        <w:t>. Daugeliui jaunuolių trūksta tinkamų skaitmeninių įgūdžių</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Kita svarbi problema yra formalios kvalifikacijos stoka; nors daugelis valstybių narių padarė didelę pažangą mažindamos mokyklos nebaigiančių asmenų skaičių, siekiant „Europa 2020“ pagrindinio tikslo sumažinti jų dalį iki 10 proc., vis dar per daug jaunuolių palieka mokyklą nebaigę mokslų. </w:t>
      </w:r>
    </w:p>
    <w:p>
      <w:pPr>
        <w:pStyle w:val="ListParagraph"/>
        <w:numPr>
          <w:ilvl w:val="0"/>
          <w:numId w:val="16"/>
        </w:numPr>
        <w:spacing w:after="120" w:line="240" w:lineRule="auto"/>
        <w:jc w:val="both"/>
        <w:rPr>
          <w:rFonts w:ascii="Times New Roman" w:hAnsi="Times New Roman" w:cs="Times New Roman"/>
          <w:noProof/>
          <w:sz w:val="24"/>
          <w:szCs w:val="24"/>
        </w:rPr>
      </w:pPr>
      <w:r>
        <w:rPr>
          <w:rFonts w:ascii="Times New Roman" w:hAnsi="Times New Roman"/>
          <w:b/>
          <w:noProof/>
          <w:sz w:val="24"/>
        </w:rPr>
        <w:t>Mokyklinis ugdymas ne visada visiškai atlieka savo paskirtį skatinti lygybę ir socialinį teisingumą</w:t>
      </w:r>
      <w:r>
        <w:rPr>
          <w:rFonts w:ascii="Times New Roman" w:hAnsi="Times New Roman"/>
          <w:noProof/>
          <w:sz w:val="24"/>
        </w:rPr>
        <w:t>. PISA duomenys</w:t>
      </w:r>
      <w:r>
        <w:rPr>
          <w:rFonts w:ascii="Times New Roman" w:hAnsi="Times New Roman"/>
          <w:noProof/>
          <w:sz w:val="24"/>
          <w:vertAlign w:val="superscript"/>
        </w:rPr>
        <w:footnoteReference w:id="10"/>
      </w:r>
      <w:r>
        <w:rPr>
          <w:rFonts w:ascii="Times New Roman" w:hAnsi="Times New Roman"/>
          <w:noProof/>
          <w:sz w:val="24"/>
        </w:rPr>
        <w:t xml:space="preserve"> rodo, kad lyčių nelygybė matematikos ir gamtos mokslų srityje mažėja, tačiau lyčių stereotipai vis dar lemia skirtumus gamtos mokslo ir IRT srityse, kurioms reikia skirti daugiau dėmesio. Be to, šie duomenys atskleidžia, kad mokymosi pasiekimai labai priklauso nuo mokinio socialinės ir ekonominės padėties. Vidutiniškai ES daugiau kaip trečdalio vaikų ir jaunuolių iš palankių sąlygų neturinčių šeimų mokymosi rezultatai yra prasti. Tokių mokinių dalis yra keturis kartus didesnė negu tarp jų bendraamžių iš palankesnes sąlygas turinčių šeimų. Padėtį dar labiau sunkina kitos specifinės problemos, kylančios migrantų kilmės ir romų tautybės mokiniams. Šis atotrūkis didina socialinę nelygybę</w:t>
      </w:r>
      <w:r>
        <w:rPr>
          <w:rStyle w:val="FootnoteReference"/>
          <w:rFonts w:ascii="Times New Roman" w:hAnsi="Times New Roman"/>
          <w:noProof/>
          <w:sz w:val="24"/>
        </w:rPr>
        <w:footnoteReference w:id="11"/>
      </w:r>
      <w:r>
        <w:rPr>
          <w:rFonts w:ascii="Times New Roman" w:hAnsi="Times New Roman"/>
          <w:noProof/>
          <w:sz w:val="24"/>
        </w:rPr>
        <w:t xml:space="preserve"> ir kliudo ją mažinti. Kokybiško švietimo ir mokymo prieinamumas yra būtinas siekiant didesnio visuomenės atsparumo ir lygybės. Iš Estijos ir Suomijos pavyzdžių aišku, kad mokyklinio ugdymo sistemose galima kartu pasiekti gerus mokymosi rezultatus ir švietimo teisingumą.</w:t>
      </w:r>
    </w:p>
    <w:p>
      <w:pPr>
        <w:pStyle w:val="ListParagraph"/>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Spartus technologinių ir skaitmeninių pokyčių tempas daro didžiulį poveikį mūsų ekonomikai ir visuomenei, taigi mokyklos turi geriau prisitaikyti prie šios naujos realybės.</w:t>
      </w:r>
      <w:r>
        <w:rPr>
          <w:rFonts w:ascii="Times New Roman" w:hAnsi="Times New Roman"/>
          <w:noProof/>
          <w:sz w:val="24"/>
        </w:rPr>
        <w:t xml:space="preserve"> Daugelis šiuo metu mokyklose besimokančių vaikų ateityje dirbs tokius darbus, kurie šiuo metu dar neegzistuoja.</w:t>
      </w:r>
      <w:r>
        <w:rPr>
          <w:rFonts w:ascii="Times New Roman" w:hAnsi="Times New Roman"/>
          <w:noProof/>
          <w:color w:val="000000"/>
          <w:sz w:val="24"/>
        </w:rPr>
        <w:t xml:space="preserve"> Jau dabar 90 proc. visų dabartinių darbo vietų yra būtina turėti bent šiek tiek skaitmeninių įgūdžių</w:t>
      </w:r>
      <w:r>
        <w:rPr>
          <w:rStyle w:val="FootnoteReference"/>
          <w:rFonts w:ascii="Times New Roman" w:hAnsi="Times New Roman"/>
          <w:noProof/>
          <w:color w:val="000000"/>
          <w:sz w:val="24"/>
        </w:rPr>
        <w:footnoteReference w:id="12"/>
      </w:r>
      <w:r>
        <w:rPr>
          <w:noProof/>
        </w:rPr>
        <w:t>.</w:t>
      </w:r>
      <w:r>
        <w:rPr>
          <w:rFonts w:ascii="Times New Roman" w:hAnsi="Times New Roman"/>
          <w:noProof/>
          <w:color w:val="000000"/>
          <w:sz w:val="24"/>
        </w:rPr>
        <w:t xml:space="preserve"> </w:t>
      </w:r>
      <w:r>
        <w:rPr>
          <w:rFonts w:ascii="Times New Roman" w:hAnsi="Times New Roman"/>
          <w:noProof/>
          <w:sz w:val="24"/>
        </w:rPr>
        <w:t>Jau nebepakanka suteikti jaunimui pastovių įgūdžių arba žinių „paketo“; jie turi didinti savo atsparumą ir gebėjimą prisitaikyti prie pokyčių. Diskusijoms skirtame dokumente dėl globalizacijos suvaldymo taip pat pripažįstama, kad vis judesnei ir vis labiau skaitmenine tampančiai visuomenei reikia naujų mokymosi būdų. Kaip pabrėžiama Diskusijoms skirtame dokumente dėl socialinio Europos aspekto, švietimo sistemas reikia modernizuoti siekiant skatinti kūrybiškumą, kritinį mąstymą ir verslumą</w:t>
      </w:r>
      <w:r>
        <w:rPr>
          <w:rStyle w:val="FootnoteReference"/>
          <w:rFonts w:ascii="Times New Roman" w:hAnsi="Times New Roman"/>
          <w:noProof/>
          <w:sz w:val="24"/>
        </w:rPr>
        <w:footnoteReference w:id="13"/>
      </w:r>
      <w:r>
        <w:rPr>
          <w:noProof/>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Norint įveikti šiuos sunkumus būtinos reformos. </w:t>
      </w:r>
      <w:r>
        <w:rPr>
          <w:rFonts w:ascii="Times New Roman" w:hAnsi="Times New Roman"/>
          <w:noProof/>
          <w:sz w:val="24"/>
        </w:rPr>
        <w:t xml:space="preserve">Tai yra valstybių narių užduotis, nes jos pačios nustato savo švietimo sistemų sandarą, o problemų sprendimo būdai priklauso nuo nacionalinių, regioninių ir vietos ypatumų. Laikydamasi subsidiarumo principo ES gali atlikti naudingą vaidmenį, padėdama valstybėms narėms vykdyti savo reformas. Bendradarbiaujant ES lygmeniu valstybėms narėms padedama atlikti duomenų analizę, dalytis patikimais duomenimis, nustatyti gerąją praktiką ir gauti galimybių dalytis patirtimi bei mokytis tarpusavyje. Šio pobūdžio savanoriškas bendradarbiavimas turi pridėtinės vertės valstybėms narėms priimant patikima informacija grindžiamus sprendimus. </w:t>
      </w:r>
    </w:p>
    <w:p>
      <w:pPr>
        <w:spacing w:after="120" w:line="240" w:lineRule="auto"/>
        <w:jc w:val="both"/>
        <w:rPr>
          <w:rFonts w:ascii="Times New Roman" w:hAnsi="Times New Roman"/>
          <w:noProof/>
          <w:sz w:val="24"/>
        </w:rPr>
      </w:pPr>
      <w:r>
        <w:rPr>
          <w:rFonts w:ascii="Times New Roman" w:hAnsi="Times New Roman"/>
          <w:b/>
          <w:noProof/>
          <w:sz w:val="24"/>
        </w:rPr>
        <w:t>Yra trys sritys,</w:t>
      </w:r>
      <w:r>
        <w:rPr>
          <w:rFonts w:ascii="Times New Roman" w:hAnsi="Times New Roman"/>
          <w:noProof/>
          <w:sz w:val="24"/>
        </w:rPr>
        <w:t xml:space="preserve"> </w:t>
      </w:r>
      <w:r>
        <w:rPr>
          <w:rFonts w:ascii="Times New Roman" w:hAnsi="Times New Roman"/>
          <w:b/>
          <w:noProof/>
          <w:sz w:val="24"/>
        </w:rPr>
        <w:t>kuriose reikia imtis veiksmų</w:t>
      </w:r>
      <w:r>
        <w:rPr>
          <w:rFonts w:ascii="Times New Roman" w:hAnsi="Times New Roman"/>
          <w:noProof/>
          <w:sz w:val="24"/>
        </w:rPr>
        <w:t xml:space="preserve"> ir kuriose teikiant paramą Europos lygmeniu galima padėti įveikti minėtus sunkumus: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geresnių ir įtraukesnių mokyklų kūrimas;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parama mokytojams ir mokyklų vadovams siekiant aukštos kokybės mokymo ir mokymosi ir </w:t>
      </w:r>
    </w:p>
    <w:p>
      <w:pPr>
        <w:pStyle w:val="ListParagraph"/>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mokyklinio ugdymo sistemų valdymas, kad jos taptų veiksmingesnės, teisingesnės ir efektyvesnės.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Šiame komunikate nustatyti ES veiksmai kiekvienoje iš šių sričių siekiant padėti valstybėms narėms išspręsti šiuos uždavinius.</w:t>
      </w:r>
      <w:r>
        <w:rPr>
          <w:rFonts w:ascii="Times New Roman" w:hAnsi="Times New Roman"/>
          <w:noProof/>
          <w:sz w:val="24"/>
        </w:rPr>
        <w:t xml:space="preserve"> Europos semestras yra vienas iš pagrindinių reformų veiksnių, visų pirma dėl su švietimu susijusių konkrečiai šaliai skirtų rekomendacijų. ES gali padėti toms valstybėms narėms, kurios nori gauti paramos savo švietimo reformoms. Be to, ES siūlo finansinę ir techninę paramą valstybėms narėms, ypač per „Erasmus+“, Europos struktūrinius ir investicijų fondus ir Paramos struktūrinėms reformoms tarnybą.</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Europos mokyklinio ugdymo sistemų skiriamasis bruožas yra įvairovė</w:t>
      </w:r>
      <w:r>
        <w:rPr>
          <w:rFonts w:ascii="Times New Roman" w:hAnsi="Times New Roman"/>
          <w:noProof/>
          <w:sz w:val="24"/>
        </w:rPr>
        <w:t xml:space="preserve"> ir vieno visiems tinkamo problemų sprendimo būdo nėra. Tuo pat metu valstybės narės turi bendrą interesą gerinti švietimo rezultatus. Kad aukštos kokybės švietimas taptų tikrove visiems, reikėtų visapusiškai naudotis visomis turimomis priemonėmis nacionaliniu ir ES lygmenimis. Komisija yra pasirengusi dirbti išvien su valstybėmis narėmis. </w:t>
      </w:r>
    </w:p>
    <w:p>
      <w:pPr>
        <w:keepNext/>
        <w:spacing w:after="240"/>
        <w:rPr>
          <w:rFonts w:ascii="Times New Roman" w:hAnsi="Times New Roman" w:cs="Times New Roman"/>
          <w:b/>
          <w:noProof/>
          <w:color w:val="000000"/>
          <w:sz w:val="24"/>
          <w:szCs w:val="24"/>
        </w:rPr>
      </w:pPr>
      <w:r>
        <w:rPr>
          <w:rFonts w:ascii="Times New Roman" w:hAnsi="Times New Roman"/>
          <w:b/>
          <w:noProof/>
          <w:color w:val="000000"/>
          <w:sz w:val="24"/>
        </w:rPr>
        <w:t>2. Geresnių ir įtraukesnių mokyklų kūrimas</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Siekdama papildyti valstybių narių veiksmus Komisija:</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stiprins bendradarbiavimą tarp mokyklų, didindama galimybes naudotis </w:t>
      </w:r>
      <w:r>
        <w:rPr>
          <w:rFonts w:ascii="Times New Roman" w:hAnsi="Times New Roman"/>
          <w:b/>
          <w:noProof/>
          <w:color w:val="000000"/>
          <w:sz w:val="24"/>
        </w:rPr>
        <w:t>mokyklų partneryste ir mokinių judumu pagal „Erasmus+“</w:t>
      </w:r>
      <w:r>
        <w:rPr>
          <w:rFonts w:ascii="Times New Roman" w:hAnsi="Times New Roman"/>
          <w:noProof/>
          <w:color w:val="000000"/>
          <w:sz w:val="24"/>
        </w:rPr>
        <w:t xml:space="preserve"> ir siekdama turiningesnio e. mokymosi ir tarpkultūrinio mokymosi, šiuo tikslu skatindama dalyvauti iniciatyvoje </w:t>
      </w:r>
      <w:r>
        <w:rPr>
          <w:rFonts w:ascii="Times New Roman" w:hAnsi="Times New Roman"/>
          <w:b/>
          <w:noProof/>
          <w:color w:val="000000"/>
          <w:sz w:val="24"/>
        </w:rPr>
        <w:t>„eTwinning“</w:t>
      </w:r>
      <w:r>
        <w:rPr>
          <w:rFonts w:ascii="Times New Roman" w:hAnsi="Times New Roman"/>
          <w:noProof/>
          <w:color w:val="000000"/>
          <w:sz w:val="24"/>
        </w:rPr>
        <w:t>;</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sukurs </w:t>
      </w:r>
      <w:r>
        <w:rPr>
          <w:rFonts w:ascii="Times New Roman" w:hAnsi="Times New Roman"/>
          <w:b/>
          <w:noProof/>
          <w:color w:val="000000"/>
          <w:sz w:val="24"/>
        </w:rPr>
        <w:t>skaitmeninio pajėgumo įsivertinimo priemonę</w:t>
      </w:r>
      <w:r>
        <w:rPr>
          <w:rFonts w:ascii="Times New Roman" w:hAnsi="Times New Roman"/>
          <w:noProof/>
          <w:color w:val="000000"/>
          <w:sz w:val="24"/>
        </w:rPr>
        <w:t>, kad ES mokyklos galėtų savanoriškai įvertinti savo būklę pagal bendrus kriterijus ir joms būtų padedama daugiau ir efektyviau naudotis technologijomis, tinkamomis mokymuisi skaitmeniniame amžiuje</w:t>
      </w:r>
      <w:r>
        <w:rPr>
          <w:rFonts w:ascii="Times New Roman" w:hAnsi="Times New Roman"/>
          <w:noProof/>
          <w:color w:val="000000"/>
          <w:sz w:val="24"/>
          <w:vertAlign w:val="superscript"/>
        </w:rPr>
        <w:footnoteReference w:id="14"/>
      </w:r>
      <w:r>
        <w:rPr>
          <w:rFonts w:ascii="Times New Roman" w:hAnsi="Times New Roman"/>
          <w:noProof/>
          <w:color w:val="000000"/>
          <w:sz w:val="24"/>
        </w:rPr>
        <w:t xml:space="preserve">. Naudodamosi šia priemone mokyklos gali nuspręsti pranešti apie savo pažangą, susijusią su </w:t>
      </w:r>
      <w:r>
        <w:rPr>
          <w:rFonts w:ascii="Times New Roman" w:hAnsi="Times New Roman"/>
          <w:b/>
          <w:noProof/>
          <w:color w:val="000000"/>
          <w:sz w:val="24"/>
        </w:rPr>
        <w:t>informacinių ir ryšių technologijų prieinamumu, naudojimu, susijusiais gebėjimais ir požiūriais, kuriamoje duomenų bazėje</w:t>
      </w:r>
      <w:r>
        <w:rPr>
          <w:rFonts w:ascii="Times New Roman" w:hAnsi="Times New Roman"/>
          <w:noProof/>
          <w:color w:val="000000"/>
          <w:sz w:val="24"/>
        </w:rPr>
        <w:t xml:space="preserve">, į kurią įtraukiamos visos dalyvaujančios valstybės narės; </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rems mokyklinio ugdymo </w:t>
      </w:r>
      <w:r>
        <w:rPr>
          <w:rFonts w:ascii="Times New Roman" w:hAnsi="Times New Roman"/>
          <w:b/>
          <w:noProof/>
          <w:color w:val="000000"/>
          <w:sz w:val="24"/>
        </w:rPr>
        <w:t>gamtos mokslų, technologijų, inžinerijos ir matematikos</w:t>
      </w:r>
      <w:r>
        <w:rPr>
          <w:rFonts w:ascii="Times New Roman" w:hAnsi="Times New Roman"/>
          <w:noProof/>
          <w:color w:val="000000"/>
          <w:sz w:val="24"/>
        </w:rPr>
        <w:t xml:space="preserve"> (angl. STEM) srityse gerinimą, skatindama laikytis geriausios praktikos užmezgant ryšius ir plėtojant aukštojo mokslo, mokslinių tyrimų sričių ir įmonių bendradarbiavimą su mokyklomis ES lygmeniu ir veiksmingai šalinant lyčių skirtumus ir stereotipus STEM srityse, naudojantis „Erasmus+“;</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noProof/>
          <w:color w:val="000000"/>
          <w:sz w:val="24"/>
        </w:rPr>
      </w:pPr>
      <w:r>
        <w:rPr>
          <w:rFonts w:ascii="Times New Roman" w:hAnsi="Times New Roman"/>
          <w:noProof/>
          <w:color w:val="000000"/>
          <w:sz w:val="24"/>
        </w:rPr>
        <w:t xml:space="preserve">skatins ir rems politikos eksperimentus vystant </w:t>
      </w:r>
      <w:r>
        <w:rPr>
          <w:rFonts w:ascii="Times New Roman" w:hAnsi="Times New Roman"/>
          <w:b/>
          <w:noProof/>
          <w:color w:val="000000"/>
          <w:sz w:val="24"/>
        </w:rPr>
        <w:t>daugiakalbę pedagogiką</w:t>
      </w:r>
      <w:r>
        <w:rPr>
          <w:rFonts w:ascii="Times New Roman" w:hAnsi="Times New Roman"/>
          <w:noProof/>
          <w:color w:val="000000"/>
          <w:sz w:val="24"/>
        </w:rPr>
        <w:t xml:space="preserve"> ir </w:t>
      </w:r>
      <w:r>
        <w:rPr>
          <w:rFonts w:ascii="Times New Roman" w:hAnsi="Times New Roman"/>
          <w:b/>
          <w:noProof/>
          <w:color w:val="000000"/>
          <w:sz w:val="24"/>
        </w:rPr>
        <w:t>mokymą įvairiose klasėse</w:t>
      </w:r>
      <w:r>
        <w:rPr>
          <w:rFonts w:ascii="Times New Roman" w:hAnsi="Times New Roman"/>
          <w:noProof/>
          <w:color w:val="000000"/>
          <w:sz w:val="24"/>
        </w:rPr>
        <w:t xml:space="preserve"> pagal 2018 m. „Erasmus+“ darbo programą;</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color w:val="000000"/>
          <w:sz w:val="24"/>
        </w:rPr>
        <w:t xml:space="preserve">imsis tolesnių veiksmų po Jungtinių Tautų Neįgaliųjų teisių komiteto pateiktų pastabų, remdama bendradarbiavimą tarp </w:t>
      </w:r>
      <w:r>
        <w:rPr>
          <w:rFonts w:ascii="Times New Roman" w:hAnsi="Times New Roman"/>
          <w:b/>
          <w:noProof/>
          <w:color w:val="000000"/>
          <w:sz w:val="24"/>
        </w:rPr>
        <w:t>Europos specialiojo ugdymo plėtros agentūros</w:t>
      </w:r>
      <w:r>
        <w:rPr>
          <w:rFonts w:ascii="Times New Roman" w:hAnsi="Times New Roman"/>
          <w:noProof/>
          <w:color w:val="000000"/>
          <w:sz w:val="24"/>
        </w:rPr>
        <w:t xml:space="preserve"> ir valstybių narių, kurios to prašo, įgyvendinant JT neįgaliųjų teisių konvencijos nuostatas dėl švietimo;</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color w:val="000000"/>
          <w:sz w:val="24"/>
          <w:szCs w:val="24"/>
        </w:rPr>
      </w:pPr>
      <w:r>
        <w:rPr>
          <w:rFonts w:ascii="Times New Roman" w:hAnsi="Times New Roman"/>
          <w:noProof/>
          <w:sz w:val="24"/>
        </w:rPr>
        <w:t xml:space="preserve">toliau padės valstybėms narėms teikti pakankamas </w:t>
      </w:r>
      <w:r>
        <w:rPr>
          <w:rFonts w:ascii="Times New Roman" w:hAnsi="Times New Roman"/>
          <w:b/>
          <w:noProof/>
          <w:sz w:val="24"/>
        </w:rPr>
        <w:t>aukštos kokybės ankstyvojo ugdymo ir priežiūros paslaugas</w:t>
      </w:r>
      <w:r>
        <w:rPr>
          <w:rFonts w:ascii="Times New Roman" w:hAnsi="Times New Roman"/>
          <w:noProof/>
          <w:sz w:val="24"/>
        </w:rPr>
        <w:t xml:space="preserve"> ir dės daugiau pastangų padėti joms mokytis vienoms iš kitų ir atrasti, kas yra geriausia.</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2.1.</w:t>
      </w:r>
      <w:r>
        <w:rPr>
          <w:noProof/>
        </w:rPr>
        <w:tab/>
      </w:r>
      <w:r>
        <w:rPr>
          <w:rFonts w:ascii="Times New Roman" w:hAnsi="Times New Roman"/>
          <w:b/>
          <w:noProof/>
          <w:color w:val="000000"/>
          <w:sz w:val="24"/>
        </w:rPr>
        <w:t>Parama visiems moksleiviams ir jų gebėjimų lavinimas</w:t>
      </w:r>
    </w:p>
    <w:p>
      <w:pPr>
        <w:keepNext/>
        <w:spacing w:after="120" w:line="240" w:lineRule="auto"/>
        <w:jc w:val="both"/>
        <w:rPr>
          <w:rFonts w:ascii="Times New Roman" w:hAnsi="Times New Roman" w:cs="Times New Roman"/>
          <w:noProof/>
          <w:color w:val="000000"/>
          <w:sz w:val="24"/>
          <w:szCs w:val="24"/>
        </w:rPr>
      </w:pPr>
      <w:r>
        <w:rPr>
          <w:rFonts w:ascii="Times New Roman" w:hAnsi="Times New Roman"/>
          <w:b/>
          <w:noProof/>
          <w:sz w:val="24"/>
        </w:rPr>
        <w:t xml:space="preserve">Visi jauni žmonės turi turėti galimybę įgyti </w:t>
      </w:r>
      <w:r>
        <w:rPr>
          <w:rFonts w:ascii="Times New Roman" w:hAnsi="Times New Roman"/>
          <w:b/>
          <w:noProof/>
          <w:color w:val="000000"/>
          <w:sz w:val="24"/>
        </w:rPr>
        <w:t>visus bendruosius gebėjimus (kompetencijas)</w:t>
      </w:r>
      <w:r>
        <w:rPr>
          <w:rFonts w:ascii="Times New Roman" w:hAnsi="Times New Roman"/>
          <w:b/>
          <w:noProof/>
          <w:sz w:val="24"/>
        </w:rPr>
        <w:t>,</w:t>
      </w:r>
      <w:r>
        <w:rPr>
          <w:rFonts w:ascii="Times New Roman" w:hAnsi="Times New Roman"/>
          <w:noProof/>
          <w:color w:val="000000"/>
          <w:sz w:val="24"/>
        </w:rPr>
        <w:t xml:space="preserve"> įskaitant raštingumą, užsienio kalbų mokėjimą, matematikos, gamtos mokslų, skaitmeninius ir programavimo įgūdžius ir pilietinius bei socialinius gebėjimus, taip pat verslumo gebėjimus ir universaliuosius įgūdžius, tokius kaip kūrybiškumas ir kritinis mąstymas. Nors šie gebėjimai yra labai svarbūs, ne visi jaunuoliai pakankamai gerai juos išlavina. Šių gebėjimų įgijimas remiamas pagal 2006 m. Europos bendrųjų mokymosi visą gyvenimą gebėjimų metmenis</w:t>
      </w:r>
      <w:r>
        <w:rPr>
          <w:rStyle w:val="FootnoteReference"/>
          <w:rFonts w:ascii="Times New Roman" w:hAnsi="Times New Roman"/>
          <w:noProof/>
          <w:color w:val="000000"/>
          <w:sz w:val="24"/>
        </w:rPr>
        <w:footnoteReference w:id="15"/>
      </w:r>
      <w:r>
        <w:rPr>
          <w:rFonts w:ascii="Times New Roman" w:hAnsi="Times New Roman"/>
          <w:noProof/>
          <w:color w:val="000000"/>
          <w:sz w:val="24"/>
        </w:rPr>
        <w:t>. Šiuos metmenis peržiūrėjus, kaip paskelbta Naujoje įgūdžių darbotvarkėje, bus padedama toliau stiprinti gebėjimų lavinimą švietimo ir mokymo sistemoje. Mokykloms dėl to taip pat būtina keisti paties mokymosi eigą, kaip išdėstyta toliau.</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Mokymąsi susiejant su gyvenimo patirties įgijimu gaunama geresnių rezultatų. </w:t>
      </w:r>
      <w:r>
        <w:rPr>
          <w:rFonts w:ascii="Times New Roman" w:hAnsi="Times New Roman"/>
          <w:noProof/>
          <w:color w:val="000000"/>
          <w:sz w:val="24"/>
        </w:rPr>
        <w:t>Projektais ir problemų sprendimu pagrįstas mokymasis, darbo praktika arba mokymasis teikiant paslaugas bendruomenei didina jaunuolių motyvaciją, mokomųjų dalykų turiniui suteikia daugiau konteksto ir teikia galimybių lavinti socialinius, pilietinius ir verslumo gebėjimus</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Gamtos mokslų, technologijų, inžinerijos ir matematikos (STEM) sričių švietimas yra veiksmingesnis tada, kai susiejamas su ekonominių, aplinkos ir socialinių uždavinių sprendimu arba su menais ir dizainu, parodant jo svarbą kasdieniam gyvenimui</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w:t>
      </w:r>
    </w:p>
    <w:p>
      <w:pPr>
        <w:autoSpaceDE w:val="0"/>
        <w:autoSpaceDN w:val="0"/>
        <w:adjustRightInd w:val="0"/>
        <w:spacing w:before="240" w:after="240" w:line="240" w:lineRule="auto"/>
        <w:jc w:val="both"/>
        <w:rPr>
          <w:rFonts w:ascii="Times New Roman" w:hAnsi="Times New Roman" w:cs="Times New Roman"/>
          <w:b/>
          <w:i/>
          <w:noProof/>
          <w:color w:val="000000"/>
          <w:sz w:val="24"/>
          <w:szCs w:val="24"/>
        </w:rPr>
      </w:pPr>
      <w:r>
        <w:rPr>
          <w:rFonts w:ascii="Times New Roman" w:hAnsi="Times New Roman"/>
          <w:b/>
          <w:noProof/>
          <w:color w:val="000000"/>
          <w:sz w:val="24"/>
        </w:rPr>
        <w:t xml:space="preserve">Skaitmeninėmis technologijomis galima gerinti mokymąsi ir padėti mokyklose diegti naujoves. </w:t>
      </w:r>
      <w:r>
        <w:rPr>
          <w:rFonts w:ascii="Times New Roman" w:hAnsi="Times New Roman"/>
          <w:noProof/>
          <w:color w:val="000000"/>
          <w:sz w:val="24"/>
        </w:rPr>
        <w:t>Tinkamai naudojamos skaitmeninės technologijos gali padėti turiningiau mokytis ir remti pažangą, įgyjant ne tik skaitmeninių gebėjimų. Tačiau šiuo metu tik ketvirtadalis vaikų Europos mokyklose yra mokomi mokytojų, įgudusių naudotis skaitmeninėmis technologijomis</w:t>
      </w:r>
      <w:r>
        <w:rPr>
          <w:rStyle w:val="FootnoteReference"/>
          <w:rFonts w:ascii="Times New Roman" w:hAnsi="Times New Roman"/>
          <w:noProof/>
          <w:color w:val="000000"/>
          <w:sz w:val="24"/>
        </w:rPr>
        <w:footnoteReference w:id="18"/>
      </w:r>
      <w:r>
        <w:rPr>
          <w:noProof/>
        </w:rPr>
        <w:t>.</w:t>
      </w:r>
      <w:r>
        <w:rPr>
          <w:rFonts w:ascii="Times New Roman" w:hAnsi="Times New Roman"/>
          <w:noProof/>
          <w:color w:val="000000"/>
          <w:sz w:val="24"/>
        </w:rPr>
        <w:t xml:space="preserve"> Skaitmeninės technologijos gali padėti gerinti ryšius ir bendradarbiavimą mokyklose ir tarp jų ir didinti mokinių ir jų šeimų dalyvavimą mokyklos gyvenime. </w:t>
      </w:r>
    </w:p>
    <w:p>
      <w:pPr>
        <w:autoSpaceDE w:val="0"/>
        <w:autoSpaceDN w:val="0"/>
        <w:adjustRightInd w:val="0"/>
        <w:spacing w:before="240" w:after="240" w:line="240" w:lineRule="auto"/>
        <w:jc w:val="both"/>
        <w:rPr>
          <w:rFonts w:ascii="Times New Roman" w:hAnsi="Times New Roman"/>
          <w:b/>
          <w:i/>
          <w:noProof/>
          <w:color w:val="000000"/>
          <w:sz w:val="24"/>
        </w:rPr>
      </w:pPr>
      <w:r>
        <w:rPr>
          <w:rFonts w:ascii="Times New Roman" w:hAnsi="Times New Roman"/>
          <w:b/>
          <w:noProof/>
          <w:color w:val="000000"/>
          <w:sz w:val="24"/>
        </w:rPr>
        <w:t>Mokyklos turi padėti visiems moksleiviams ir tenkinti konkrečius jų poreikius</w:t>
      </w:r>
      <w:r>
        <w:rPr>
          <w:rFonts w:ascii="Times New Roman" w:hAnsi="Times New Roman"/>
          <w:noProof/>
          <w:color w:val="000000"/>
          <w:sz w:val="24"/>
        </w:rPr>
        <w:t>. Mokyklos, kurios skiria dėmesio skirtingiems įvairių mokinių poreikiams, pasiekia geresnių rezultatų. Tai taip pat susiję su lyčių aspektu. Kai mokyklos pritaria kalbų ir kultūrų įvairovei savo bendruomenėje ir remia integraciją, tai turi teigiamą poveikį visų vaikų gebėjimui mokytis</w:t>
      </w:r>
      <w:r>
        <w:rPr>
          <w:rStyle w:val="FootnoteReference"/>
          <w:rFonts w:ascii="Times New Roman" w:hAnsi="Times New Roman"/>
          <w:noProof/>
          <w:color w:val="000000"/>
          <w:sz w:val="24"/>
        </w:rPr>
        <w:footnoteReference w:id="19"/>
      </w:r>
      <w:r>
        <w:rPr>
          <w:noProof/>
        </w:rPr>
        <w:t>.</w:t>
      </w:r>
      <w:r>
        <w:rPr>
          <w:rFonts w:ascii="Times New Roman" w:hAnsi="Times New Roman"/>
          <w:noProof/>
          <w:color w:val="000000"/>
          <w:sz w:val="24"/>
        </w:rPr>
        <w:t xml:space="preserve"> Tačiau šiuo metu tai nėra visur įprasta praktika. Kai kuriose ES valstybėse narėse sunku pasiekti, kad įtraukus, kokybiškas švietimas taptų prieinamas neįgaliems mokiniams</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Kai kuriuose miestuose ir regionuose nemaža mokyklų mokinių dalis savo namuose nekalba ta kalba, kuria mokosi mokykloje. Ypač naujai atvykusių migrantų vaikams reikia specialių kalbos mokymo programų, kad geriau integruotųsi mokykloje.</w:t>
      </w:r>
      <w:r>
        <w:rPr>
          <w:rFonts w:ascii="Times New Roman" w:hAnsi="Times New Roman"/>
          <w:noProof/>
          <w:color w:val="000000"/>
          <w:sz w:val="24"/>
          <w:vertAlign w:val="superscript"/>
        </w:rPr>
        <w:t xml:space="preserve"> </w:t>
      </w:r>
      <w:r>
        <w:rPr>
          <w:rFonts w:ascii="Times New Roman" w:hAnsi="Times New Roman"/>
          <w:noProof/>
          <w:color w:val="000000"/>
          <w:sz w:val="24"/>
          <w:vertAlign w:val="superscript"/>
        </w:rPr>
        <w:footnoteReference w:id="21"/>
      </w:r>
      <w:r>
        <w:rPr>
          <w:rFonts w:ascii="Times New Roman" w:hAnsi="Times New Roman"/>
          <w:noProof/>
          <w:color w:val="000000"/>
          <w:sz w:val="24"/>
        </w:rPr>
        <w:t xml:space="preserve"> Kai kuriose šalyse kokybiško švietimo galimybių trūksta romams ir kitoms etninėms mažumoms. </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2.2.</w:t>
      </w:r>
      <w:r>
        <w:rPr>
          <w:noProof/>
        </w:rPr>
        <w:tab/>
      </w:r>
      <w:r>
        <w:rPr>
          <w:rFonts w:ascii="Times New Roman" w:hAnsi="Times New Roman"/>
          <w:b/>
          <w:noProof/>
          <w:color w:val="000000"/>
          <w:sz w:val="24"/>
        </w:rPr>
        <w:t>Mokymosi gerinimas atveriant kelius naujų formų bendradarbiavimui</w:t>
      </w:r>
    </w:p>
    <w:p>
      <w:pPr>
        <w:autoSpaceDE w:val="0"/>
        <w:autoSpaceDN w:val="0"/>
        <w:adjustRightInd w:val="0"/>
        <w:spacing w:before="240" w:after="240" w:line="240" w:lineRule="auto"/>
        <w:jc w:val="both"/>
        <w:rPr>
          <w:rFonts w:ascii="Times New Roman" w:eastAsia="Calibri" w:hAnsi="Times New Roman" w:cs="Times New Roman"/>
          <w:b/>
          <w:noProof/>
          <w:color w:val="000000"/>
          <w:sz w:val="24"/>
          <w:szCs w:val="24"/>
        </w:rPr>
      </w:pPr>
      <w:r>
        <w:rPr>
          <w:rFonts w:ascii="Times New Roman" w:hAnsi="Times New Roman"/>
          <w:b/>
          <w:noProof/>
          <w:color w:val="000000"/>
          <w:sz w:val="24"/>
        </w:rPr>
        <w:t>Bendradarbiaudamos mokyklos gali gerinti mokymosi patirtį ir rezultatus ir geriau padėti jaunimui įgyti reikalingus gebėjimus.</w:t>
      </w:r>
      <w:r>
        <w:rPr>
          <w:rFonts w:ascii="Times New Roman" w:hAnsi="Times New Roman"/>
          <w:noProof/>
          <w:color w:val="000000"/>
          <w:sz w:val="24"/>
        </w:rPr>
        <w:t xml:space="preserve"> Tai, be kita ko, bendradarbiavimas su vietos paslaugų tarnybomis, bendruomenės organizacijomis, įmonėmis ir universitetais, taip pat bendradarbiavimas pačiose mokyklose. Jaunuoliams, kurie rizikuoja nebaigti mokslų, yra naudingas glaudus bendradarbiavimas su socialinėmis tarnybomis arba jaunimo darbuotojais. Kai vaikai ir jaunuoliai pradeda anksti bendrauti su profesinio orientavimo vadovais, verslininkais ir akademinės bendruomenės nariais, tai padeda jiems pasirengti būsimam darbui ir tolesnėms studijoms</w:t>
      </w:r>
      <w:r>
        <w:rPr>
          <w:rStyle w:val="FootnoteReference"/>
          <w:rFonts w:ascii="Times New Roman" w:hAnsi="Times New Roman"/>
          <w:noProof/>
          <w:color w:val="000000"/>
          <w:sz w:val="24"/>
        </w:rPr>
        <w:footnoteReference w:id="22"/>
      </w:r>
      <w:r>
        <w:rPr>
          <w:noProof/>
        </w:rPr>
        <w:t>.</w:t>
      </w:r>
      <w:r>
        <w:rPr>
          <w:rStyle w:val="FootnoteReference"/>
          <w:rFonts w:ascii="Times New Roman" w:hAnsi="Times New Roman"/>
          <w:noProof/>
          <w:color w:val="000000"/>
          <w:sz w:val="24"/>
        </w:rPr>
        <w:t xml:space="preserve"> </w:t>
      </w:r>
      <w:r>
        <w:rPr>
          <w:rFonts w:ascii="Times New Roman" w:hAnsi="Times New Roman"/>
          <w:noProof/>
          <w:color w:val="000000"/>
          <w:sz w:val="24"/>
        </w:rPr>
        <w:t>Tokiose dalykinėse srityse kaip gamtos mokslai ar sportas mokiniams yra naudinga, kad su jų mokyklomis bendradarbiautų kiti švietimo paslaugų teikėjai, įmonės ir pilietinė visuomenė</w:t>
      </w:r>
      <w:r>
        <w:rPr>
          <w:rStyle w:val="FootnoteReference"/>
          <w:rFonts w:ascii="Times New Roman" w:hAnsi="Times New Roman"/>
          <w:noProof/>
          <w:color w:val="000000"/>
          <w:sz w:val="24"/>
        </w:rPr>
        <w:footnoteReference w:id="23"/>
      </w:r>
      <w:r>
        <w:rPr>
          <w:noProof/>
        </w:rPr>
        <w:t>.</w:t>
      </w:r>
      <w:r>
        <w:rPr>
          <w:rFonts w:ascii="Times New Roman" w:hAnsi="Times New Roman"/>
          <w:noProof/>
          <w:color w:val="000000"/>
          <w:sz w:val="24"/>
        </w:rPr>
        <w:t xml:space="preserve"> Tačiau ne visos mokyklos gauna pakankamai išorės paramos ar remia būtiną bendradarbiavimą tarp savo mokytojų, nepedagoginio personalo, mokinių ir jų tėvų</w:t>
      </w:r>
      <w:r>
        <w:rPr>
          <w:rStyle w:val="FootnoteReference"/>
          <w:rFonts w:ascii="Times New Roman" w:hAnsi="Times New Roman"/>
          <w:noProof/>
          <w:color w:val="000000"/>
          <w:sz w:val="24"/>
        </w:rPr>
        <w:footnoteReference w:id="24"/>
      </w:r>
      <w:r>
        <w:rPr>
          <w:noProof/>
        </w:rPr>
        <w:t>.</w:t>
      </w:r>
      <w:r>
        <w:rPr>
          <w:rFonts w:ascii="Times New Roman" w:hAnsi="Times New Roman"/>
          <w:b/>
          <w:noProof/>
          <w:color w:val="000000"/>
          <w:sz w:val="24"/>
        </w:rPr>
        <w:t xml:space="preserve"> </w:t>
      </w:r>
    </w:p>
    <w:p>
      <w:pPr>
        <w:spacing w:after="120" w:line="240" w:lineRule="auto"/>
        <w:jc w:val="both"/>
        <w:rPr>
          <w:rFonts w:ascii="Times New Roman" w:eastAsia="SimSun" w:hAnsi="Times New Roman"/>
          <w:noProof/>
          <w:color w:val="000000"/>
          <w:sz w:val="24"/>
          <w:szCs w:val="24"/>
        </w:rPr>
      </w:pPr>
      <w:r>
        <w:rPr>
          <w:rFonts w:ascii="Times New Roman" w:hAnsi="Times New Roman"/>
          <w:b/>
          <w:noProof/>
          <w:color w:val="000000"/>
          <w:sz w:val="24"/>
        </w:rPr>
        <w:t>Patyčios, priekabiavimas elektroninėje erdvėje ir smurtas kelia grėsmę vaiko gerovei ir sėkmingai veiklai mokykloje.</w:t>
      </w:r>
      <w:r>
        <w:rPr>
          <w:rFonts w:ascii="Times New Roman" w:hAnsi="Times New Roman"/>
          <w:noProof/>
          <w:color w:val="000000"/>
          <w:sz w:val="24"/>
          <w:vertAlign w:val="superscript"/>
        </w:rPr>
        <w:footnoteReference w:id="25"/>
      </w:r>
      <w:r>
        <w:rPr>
          <w:rFonts w:ascii="Times New Roman" w:hAnsi="Times New Roman"/>
          <w:b/>
          <w:noProof/>
          <w:color w:val="000000"/>
          <w:sz w:val="24"/>
        </w:rPr>
        <w:t xml:space="preserve"> </w:t>
      </w:r>
      <w:r>
        <w:rPr>
          <w:rFonts w:ascii="Times New Roman" w:hAnsi="Times New Roman"/>
          <w:noProof/>
          <w:color w:val="000000"/>
          <w:sz w:val="24"/>
        </w:rPr>
        <w:t>Fizinė ir psichinė gerovė yra būtina sėkmingo mokymosi sąlyga,</w:t>
      </w:r>
      <w:r>
        <w:rPr>
          <w:noProof/>
        </w:rPr>
        <w:t xml:space="preserve"> </w:t>
      </w:r>
      <w:r>
        <w:rPr>
          <w:rFonts w:ascii="Times New Roman" w:hAnsi="Times New Roman"/>
          <w:noProof/>
          <w:color w:val="000000"/>
          <w:sz w:val="24"/>
        </w:rPr>
        <w:t>Yra įrodymų, kad kovojant su visų formų patyčiomis efektyviausios yra tos strategijos, kuriose dalyvauja mokytojai ir tėvai</w:t>
      </w:r>
      <w:r>
        <w:rPr>
          <w:rFonts w:ascii="Times New Roman" w:hAnsi="Times New Roman"/>
          <w:noProof/>
          <w:color w:val="000000"/>
          <w:sz w:val="24"/>
          <w:vertAlign w:val="superscript"/>
        </w:rPr>
        <w:footnoteReference w:id="26"/>
      </w:r>
      <w:r>
        <w:rPr>
          <w:rFonts w:ascii="Times New Roman" w:hAnsi="Times New Roman"/>
          <w:noProof/>
          <w:color w:val="000000"/>
          <w:sz w:val="24"/>
        </w:rPr>
        <w:t xml:space="preserve">. Siekiant įveikti patyčias ir smurtą vaikai turi būti mokomi tolerancijos, mokomi suprasti įvairovę, taip pat saugiai naudotis internetu ir atsakingai naudotis socialiniais tinklais. </w:t>
      </w:r>
    </w:p>
    <w:p>
      <w:pPr>
        <w:autoSpaceDE w:val="0"/>
        <w:autoSpaceDN w:val="0"/>
        <w:adjustRightInd w:val="0"/>
        <w:spacing w:before="240" w:after="24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Vadovaujantis visuminiu požiūriu į mokyklą, gerinami mokymosi rezultatai, didinamas mokymo įtraukumas ir teisingumas</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Pagal šį požiūrį prie mokyklos kokybės gerinimo prisideda visa mokykla kartu su išorės suinteresuotaisiais subjektais ir vietos bendruomene. Tokiu požiūriu vadovautis padeda interneto platformos </w:t>
      </w:r>
      <w:r>
        <w:rPr>
          <w:rFonts w:ascii="Times New Roman" w:hAnsi="Times New Roman"/>
          <w:i/>
          <w:noProof/>
          <w:color w:val="000000"/>
          <w:sz w:val="24"/>
        </w:rPr>
        <w:t>European Toolkit for Schools</w:t>
      </w:r>
      <w:r>
        <w:rPr>
          <w:rFonts w:ascii="Times New Roman" w:hAnsi="Times New Roman"/>
          <w:noProof/>
          <w:color w:val="000000"/>
          <w:sz w:val="24"/>
        </w:rPr>
        <w:t xml:space="preserve"> (Europos šalių priemonių mokykloms paketas) ir mokyklinio ugdymo platforma </w:t>
      </w:r>
      <w:r>
        <w:rPr>
          <w:rFonts w:ascii="Times New Roman" w:hAnsi="Times New Roman"/>
          <w:i/>
          <w:noProof/>
          <w:color w:val="000000"/>
          <w:sz w:val="24"/>
        </w:rPr>
        <w:t>School Education Gateway</w:t>
      </w:r>
      <w:r>
        <w:rPr>
          <w:rFonts w:ascii="Times New Roman" w:hAnsi="Times New Roman"/>
          <w:noProof/>
          <w:color w:val="000000"/>
          <w:sz w:val="24"/>
        </w:rPr>
        <w:t>, kuriomis gali savanoriškai naudotis visos Europos mokyklos, jomis remiami mainai tarp kolegų ir padedama gerinti organizavimo metodus, mokymo praktiką ir mokymosi patirtį</w:t>
      </w:r>
      <w:r>
        <w:rPr>
          <w:rStyle w:val="FootnoteReference"/>
          <w:rFonts w:ascii="Times New Roman" w:hAnsi="Times New Roman"/>
          <w:noProof/>
          <w:color w:val="000000"/>
          <w:sz w:val="24"/>
        </w:rPr>
        <w:footnoteReference w:id="28"/>
      </w:r>
      <w:r>
        <w:rPr>
          <w:noProof/>
        </w:rPr>
        <w:t>.</w:t>
      </w:r>
      <w:r>
        <w:rPr>
          <w:rFonts w:ascii="Times New Roman" w:hAnsi="Times New Roman"/>
          <w:noProof/>
          <w:color w:val="000000"/>
          <w:sz w:val="24"/>
        </w:rPr>
        <w:t xml:space="preserve"> Pagal programą „Erasmus+“ remiama Europos mokyklų partnerystė, padedant mokykloms plėsti ryšius ir suteikiant galimybių tarpvalstybiniams tarpusavio mainams.</w:t>
      </w:r>
      <w:r>
        <w:rPr>
          <w:rFonts w:ascii="Times New Roman" w:hAnsi="Times New Roman"/>
          <w:noProof/>
          <w:color w:val="000000"/>
          <w:sz w:val="24"/>
          <w:vertAlign w:val="superscript"/>
        </w:rPr>
        <w:t xml:space="preserve"> </w:t>
      </w:r>
      <w:r>
        <w:rPr>
          <w:rFonts w:ascii="Times New Roman" w:hAnsi="Times New Roman"/>
          <w:noProof/>
          <w:color w:val="000000"/>
          <w:sz w:val="24"/>
          <w:vertAlign w:val="superscript"/>
        </w:rPr>
        <w:footnoteReference w:id="29"/>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ascii="Times New Roman" w:hAnsi="Times New Roman" w:cs="Times New Roman"/>
          <w:i/>
          <w:noProof/>
          <w:color w:val="000000"/>
          <w:sz w:val="24"/>
          <w:szCs w:val="24"/>
        </w:rPr>
      </w:pPr>
      <w:r>
        <w:rPr>
          <w:rFonts w:ascii="Times New Roman" w:hAnsi="Times New Roman"/>
          <w:b/>
          <w:i/>
          <w:noProof/>
          <w:color w:val="000000"/>
          <w:sz w:val="24"/>
        </w:rPr>
        <w:t>„eTwinning“</w:t>
      </w:r>
      <w:r>
        <w:rPr>
          <w:rStyle w:val="FootnoteReference"/>
          <w:rFonts w:ascii="Times New Roman" w:hAnsi="Times New Roman"/>
          <w:noProof/>
          <w:color w:val="000000"/>
          <w:sz w:val="24"/>
        </w:rPr>
        <w:footnoteReference w:id="30"/>
      </w:r>
      <w:r>
        <w:rPr>
          <w:rFonts w:ascii="Times New Roman" w:hAnsi="Times New Roman"/>
          <w:i/>
          <w:noProof/>
          <w:color w:val="000000"/>
          <w:sz w:val="24"/>
        </w:rPr>
        <w:t xml:space="preserve"> yra didžiausia mokyklų bendruomenė Europoje. Joje jau yra dalyvavę daugiau kaip 460 000 mokytojų ir 4 iš 10 Europos mokyklų. Teikdama saugią interneto aplinką tarpvalstybiniams švietimo projektams „eTwinning“ suteikia mokykloms lengvai prieinamų priemonių, kurios naudodamosi jos gali gerinti savo skaitmeninio mokymosi pasiūlą ir remti tarpkultūrinius ir tarpvalstybinius ryšius tarp mokytojų ir mokinių. Visuotinis naudojimasis ja visose Europos mokyklose galėtų padėti stiprinti skaitmeninius gebėjimus ir didinti klasių atvirumą.</w:t>
      </w:r>
    </w:p>
    <w:p>
      <w:pPr>
        <w:keepNext/>
        <w:autoSpaceDE w:val="0"/>
        <w:autoSpaceDN w:val="0"/>
        <w:adjustRightInd w:val="0"/>
        <w:spacing w:before="240" w:after="240"/>
        <w:rPr>
          <w:rFonts w:ascii="Times New Roman" w:hAnsi="Times New Roman"/>
          <w:b/>
          <w:noProof/>
          <w:color w:val="000000"/>
          <w:sz w:val="16"/>
          <w:szCs w:val="16"/>
          <w:u w:val="single"/>
        </w:rPr>
      </w:pPr>
      <w:r>
        <w:rPr>
          <w:rFonts w:ascii="Times New Roman" w:hAnsi="Times New Roman"/>
          <w:b/>
          <w:noProof/>
          <w:color w:val="000000"/>
          <w:sz w:val="24"/>
        </w:rPr>
        <w:t xml:space="preserve"> 2.3.</w:t>
      </w:r>
      <w:r>
        <w:rPr>
          <w:noProof/>
        </w:rPr>
        <w:tab/>
      </w:r>
      <w:r>
        <w:rPr>
          <w:rFonts w:ascii="Times New Roman" w:hAnsi="Times New Roman"/>
          <w:b/>
          <w:noProof/>
          <w:color w:val="000000"/>
          <w:sz w:val="24"/>
        </w:rPr>
        <w:t>Didinti galimybes gauti ikimokyklinio ugdymo ir priežiūros paslaugas ir gerinti tokių paslaugų kokybę</w:t>
      </w:r>
    </w:p>
    <w:p>
      <w:pPr>
        <w:keepNext/>
        <w:spacing w:before="120" w:after="120" w:line="240" w:lineRule="auto"/>
        <w:jc w:val="both"/>
        <w:rPr>
          <w:noProof/>
        </w:rPr>
      </w:pPr>
      <w:r>
        <w:rPr>
          <w:rFonts w:ascii="Times New Roman" w:hAnsi="Times New Roman"/>
          <w:b/>
          <w:noProof/>
          <w:sz w:val="24"/>
        </w:rPr>
        <w:t>Aukštos kokybės ankstyvasis ugdymas ir priežiūra yra veiksmingos ir teisingos švietimo sistemos pagrindas</w:t>
      </w:r>
      <w:r>
        <w:rPr>
          <w:b/>
          <w:noProof/>
          <w:sz w:val="24"/>
        </w:rPr>
        <w:t>.</w:t>
      </w:r>
      <w:r>
        <w:rPr>
          <w:b/>
          <w:noProof/>
        </w:rPr>
        <w:t xml:space="preserve"> </w:t>
      </w:r>
      <w:r>
        <w:rPr>
          <w:rFonts w:ascii="Times New Roman" w:hAnsi="Times New Roman"/>
          <w:noProof/>
          <w:sz w:val="24"/>
        </w:rPr>
        <w:t>Taip vaikai parengiami pradinei mokyklai ir pasiekia geresnių mokymosi rezultatų visose paskesnėse švietimo pakopose; tai ypač teigiamai veikia vaikus iš palankių sąlygų neturinčių ir migrantų šeimų.</w:t>
      </w:r>
      <w:r>
        <w:rPr>
          <w:noProof/>
        </w:rPr>
        <w:t xml:space="preserve"> </w:t>
      </w:r>
      <w:r>
        <w:rPr>
          <w:rFonts w:ascii="Times New Roman" w:hAnsi="Times New Roman"/>
          <w:noProof/>
          <w:sz w:val="24"/>
        </w:rPr>
        <w:t>Tarptautinio moksleivių vertinimo programos (PISA) duomenimis, ikimokyklinio ugdymo įstaigų nelankiusių penkiolikmečių jaunuolių rizika prastai mokytis yra tris kartus didesnė negu tų, kurie tokią įstaigą lankė ilgiau kaip vienus metus</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Investuojant į ankstyvąjį ugdymą ir priežiūrą reikia mažiau išlaidų paskesniuose švietimo etapuose, kuriuose atotrūkio tarp gerai ir prastai besimokančių moksleivių mažinimas brangiau kainuoja</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w:t>
      </w:r>
    </w:p>
    <w:p>
      <w:pPr>
        <w:pStyle w:val="Text1"/>
        <w:spacing w:after="120"/>
        <w:ind w:left="0"/>
        <w:rPr>
          <w:noProof/>
          <w:szCs w:val="24"/>
        </w:rPr>
      </w:pPr>
      <w:r>
        <w:rPr>
          <w:b/>
          <w:noProof/>
        </w:rPr>
        <w:t xml:space="preserve">Užtikrinti aukštos kokybės ankstyvojo ugdymo ir priežiūros pasiūlą ir prieinamumą nėra lengva. </w:t>
      </w:r>
      <w:r>
        <w:rPr>
          <w:noProof/>
        </w:rPr>
        <w:t>Dalyvavimas ankstyvojo ugdymo ir priežiūros programose padidėjo</w:t>
      </w:r>
      <w:r>
        <w:rPr>
          <w:rStyle w:val="FootnoteReference"/>
          <w:noProof/>
        </w:rPr>
        <w:footnoteReference w:id="33"/>
      </w:r>
      <w:r>
        <w:rPr>
          <w:noProof/>
        </w:rPr>
        <w:t>, tačiau tai tebėra sudėtinga vaikams iki trejų metų ir ypač nepalankioje padėtyje esantiems vaikams. Dalyvavimas, paslaugų įperkamumas ir kokybė nėra visur vienodi tiek vienos šalies mastu, tiek tarp šalių. 25 valstybėse narėse vaikų priežiūros paslaugų paklausa yra didesnė negu pasiūla, o kokybės trūkumas dažnai yra susijęs su nepakankama personalo kvalifikacija ir ribotomis profesinio tobulinimosi galimybėmis</w:t>
      </w:r>
      <w:r>
        <w:rPr>
          <w:rStyle w:val="FootnoteReference"/>
          <w:noProof/>
        </w:rPr>
        <w:footnoteReference w:id="34"/>
      </w:r>
      <w:r>
        <w:rPr>
          <w:noProof/>
        </w:rPr>
        <w:t>. Valstybių narių ekspertai ir Europos Komisija kartu nustatė kokybės principus ir penkias pagrindines veiksmų sritis. Jos yra: prieinamumas; darbo jėga; mokymo programa; vertinimas ir stebėsena; valdymas ir finansavimas</w:t>
      </w:r>
      <w:r>
        <w:rPr>
          <w:rStyle w:val="FootnoteReference"/>
          <w:noProof/>
        </w:rPr>
        <w:footnoteReference w:id="35"/>
      </w:r>
      <w:r>
        <w:rPr>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Įgyvendinus šias gaires būtų labai pagerinti mažų vaikų mokymosi rezultatai, suteikiant visiems vaikams, įskaitant tuos, kurie dėl savo nepalankios padėties yra labiau pažeidžiami, gerą pradžią tolesniam sėkmingam mokymuisi mokykloje. </w:t>
      </w:r>
    </w:p>
    <w:p>
      <w:pPr>
        <w:spacing w:after="120" w:line="240" w:lineRule="auto"/>
        <w:jc w:val="both"/>
        <w:rPr>
          <w:rFonts w:ascii="Times New Roman" w:hAnsi="Times New Roman" w:cs="Times New Roman"/>
          <w:noProof/>
          <w:color w:val="000000"/>
          <w:sz w:val="24"/>
          <w:szCs w:val="24"/>
        </w:rPr>
      </w:pPr>
    </w:p>
    <w:p>
      <w:pPr>
        <w:keepNext/>
        <w:spacing w:after="0" w:line="240" w:lineRule="auto"/>
        <w:rPr>
          <w:rFonts w:ascii="Times New Roman" w:hAnsi="Times New Roman" w:cs="Times New Roman"/>
          <w:b/>
          <w:noProof/>
          <w:color w:val="000000"/>
          <w:sz w:val="24"/>
          <w:szCs w:val="24"/>
        </w:rPr>
      </w:pPr>
      <w:r>
        <w:rPr>
          <w:rFonts w:ascii="Times New Roman" w:hAnsi="Times New Roman"/>
          <w:b/>
          <w:noProof/>
          <w:color w:val="000000"/>
          <w:sz w:val="24"/>
        </w:rPr>
        <w:t>3. Parama mokytojams ir mokyklų vadovams siekiant aukštos kokybės mokymo ir mokymosi</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Siekdama papildyti valstybių narių veiksmus Komisija:</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b/>
          <w:noProof/>
          <w:color w:val="000000"/>
          <w:sz w:val="24"/>
        </w:rPr>
      </w:pPr>
      <w:r>
        <w:rPr>
          <w:rFonts w:ascii="Times New Roman" w:hAnsi="Times New Roman"/>
          <w:noProof/>
          <w:color w:val="000000"/>
          <w:sz w:val="24"/>
        </w:rPr>
        <w:t xml:space="preserve">pasiūlys </w:t>
      </w:r>
      <w:r>
        <w:rPr>
          <w:rFonts w:ascii="Times New Roman" w:hAnsi="Times New Roman"/>
          <w:b/>
          <w:noProof/>
          <w:color w:val="000000"/>
          <w:sz w:val="24"/>
        </w:rPr>
        <w:t>politikos gairių dėl mokytojų ir mokyklų vadovų karjeros ir profesinio tobulinimosi</w:t>
      </w:r>
      <w:r>
        <w:rPr>
          <w:rFonts w:ascii="Times New Roman" w:hAnsi="Times New Roman"/>
          <w:noProof/>
          <w:color w:val="000000"/>
          <w:sz w:val="24"/>
        </w:rPr>
        <w:t xml:space="preserve"> stiprinant tarpusavio mokymąsi pagal strateginę programą „ET 2020“, šiuo tikslu surengiant ekspertų seminarų ciklą ir susiejant jį su Europos sektoriniu socialiniu dialogu švietimo srityje;</w:t>
      </w:r>
    </w:p>
    <w:p>
      <w:pPr>
        <w:pStyle w:val="ListParagraph"/>
        <w:keepNext/>
        <w:keepLines/>
        <w:numPr>
          <w:ilvl w:val="0"/>
          <w:numId w:val="2"/>
        </w:numPr>
        <w:pBdr>
          <w:top w:val="single" w:sz="4" w:space="1" w:color="auto"/>
          <w:left w:val="single" w:sz="4" w:space="4" w:color="auto"/>
          <w:bottom w:val="single" w:sz="4" w:space="1" w:color="auto"/>
          <w:right w:val="single" w:sz="4" w:space="4" w:color="auto"/>
        </w:pBdr>
        <w:spacing w:before="200" w:line="240" w:lineRule="auto"/>
        <w:ind w:left="284" w:hanging="284"/>
        <w:jc w:val="both"/>
        <w:outlineLvl w:val="4"/>
        <w:rPr>
          <w:rFonts w:ascii="Times New Roman" w:hAnsi="Times New Roman" w:cs="Times New Roman"/>
          <w:noProof/>
          <w:color w:val="000000"/>
          <w:sz w:val="28"/>
          <w:szCs w:val="24"/>
        </w:rPr>
      </w:pPr>
      <w:r>
        <w:rPr>
          <w:rFonts w:ascii="Times New Roman" w:hAnsi="Times New Roman"/>
          <w:b/>
          <w:noProof/>
          <w:color w:val="000000"/>
          <w:sz w:val="24"/>
        </w:rPr>
        <w:t>paprastins ir gerins galimybes būsimiems mokytojams</w:t>
      </w:r>
      <w:r>
        <w:rPr>
          <w:rFonts w:ascii="Times New Roman" w:hAnsi="Times New Roman"/>
          <w:noProof/>
          <w:color w:val="000000"/>
          <w:sz w:val="24"/>
        </w:rPr>
        <w:t xml:space="preserve"> </w:t>
      </w:r>
      <w:r>
        <w:rPr>
          <w:rFonts w:ascii="Times New Roman" w:hAnsi="Times New Roman"/>
          <w:b/>
          <w:noProof/>
          <w:color w:val="000000"/>
          <w:sz w:val="24"/>
        </w:rPr>
        <w:t>įgyti praktinės mokymo patirties</w:t>
      </w:r>
      <w:r>
        <w:rPr>
          <w:rFonts w:ascii="Times New Roman" w:hAnsi="Times New Roman"/>
          <w:noProof/>
          <w:color w:val="000000"/>
          <w:sz w:val="24"/>
        </w:rPr>
        <w:t xml:space="preserve"> </w:t>
      </w:r>
      <w:r>
        <w:rPr>
          <w:rFonts w:ascii="Times New Roman" w:hAnsi="Times New Roman"/>
          <w:b/>
          <w:noProof/>
          <w:color w:val="000000"/>
          <w:sz w:val="24"/>
        </w:rPr>
        <w:t>užsienyje</w:t>
      </w:r>
      <w:r>
        <w:rPr>
          <w:rFonts w:ascii="Times New Roman" w:hAnsi="Times New Roman"/>
          <w:noProof/>
          <w:color w:val="000000"/>
          <w:sz w:val="24"/>
        </w:rPr>
        <w:t xml:space="preserve"> naudojantis „Erasmus+“ parama;</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plėtos </w:t>
      </w:r>
      <w:r>
        <w:rPr>
          <w:rFonts w:ascii="Times New Roman" w:hAnsi="Times New Roman"/>
          <w:b/>
          <w:noProof/>
          <w:color w:val="000000"/>
          <w:sz w:val="24"/>
        </w:rPr>
        <w:t>interneto bendruomenes ir išteklius</w:t>
      </w:r>
      <w:r>
        <w:rPr>
          <w:rFonts w:ascii="Times New Roman" w:hAnsi="Times New Roman"/>
          <w:noProof/>
          <w:color w:val="000000"/>
          <w:sz w:val="24"/>
        </w:rPr>
        <w:t>, skirtus mokyklų profesionalams, įskaitant naujas „eTwinning“ galimybes studijuojantiems mokytojams, interneto tinklus karjerą pradedantiems mokytojams ir jų mentoriams, kursus internetu (įskaitant atvirus masinio nuotolinio mokymo kursus, MOOC), keitimąsi geriausia patirtimi tarp pirminio mokytojų rengimo teikėjų ir skaitmeninės kompetencijos sistemą, siekiant remti mokytojų savarankiško įsivertinimo ir tobulinimosi pastangas;</w:t>
      </w:r>
    </w:p>
    <w:p>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eastAsiaTheme="majorEastAsia" w:hAnsi="Times New Roman" w:cstheme="majorBidi"/>
          <w:noProof/>
          <w:color w:val="000000"/>
          <w:sz w:val="24"/>
        </w:rPr>
      </w:pPr>
      <w:r>
        <w:rPr>
          <w:rFonts w:ascii="Times New Roman" w:hAnsi="Times New Roman"/>
          <w:noProof/>
          <w:color w:val="000000"/>
          <w:sz w:val="24"/>
        </w:rPr>
        <w:t xml:space="preserve">toliau kurs sąsajas </w:t>
      </w:r>
      <w:r>
        <w:rPr>
          <w:rFonts w:ascii="Times New Roman" w:hAnsi="Times New Roman"/>
          <w:b/>
          <w:noProof/>
          <w:color w:val="000000"/>
          <w:sz w:val="24"/>
        </w:rPr>
        <w:t>su EBPO siekdama rengti bendrus palyginamus duomenis apie mokyklų darbuotojus</w:t>
      </w:r>
      <w:r>
        <w:rPr>
          <w:rFonts w:ascii="Times New Roman" w:hAnsi="Times New Roman"/>
          <w:noProof/>
          <w:color w:val="000000"/>
          <w:sz w:val="24"/>
        </w:rPr>
        <w:t>, įskaitant efektyvesnį bendrą duomenų apie mokytojus ir mokyklų vadovus rinkimą tinkle „Eurydice“</w:t>
      </w:r>
      <w:r>
        <w:rPr>
          <w:rStyle w:val="FootnoteReference"/>
          <w:rFonts w:ascii="Times New Roman" w:hAnsi="Times New Roman"/>
          <w:noProof/>
          <w:color w:val="000000"/>
          <w:sz w:val="24"/>
        </w:rPr>
        <w:footnoteReference w:id="36"/>
      </w:r>
      <w:r>
        <w:rPr>
          <w:rFonts w:ascii="Times New Roman" w:hAnsi="Times New Roman"/>
          <w:noProof/>
          <w:color w:val="000000"/>
          <w:sz w:val="24"/>
        </w:rPr>
        <w:t xml:space="preserve"> ir EBPO.</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3.1. Mokytojo karjeros patrauklumo didinimas</w:t>
      </w:r>
    </w:p>
    <w:p>
      <w:pPr>
        <w:keepNext/>
        <w:spacing w:after="12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Aukštos kvalifikacijos, motyvuoti ir vertinami mokytojai yra būtini siekiant aukštos kokybės švietimo</w:t>
      </w:r>
      <w:r>
        <w:rPr>
          <w:rFonts w:ascii="Times New Roman" w:hAnsi="Times New Roman"/>
          <w:noProof/>
          <w:color w:val="000000"/>
          <w:sz w:val="24"/>
        </w:rPr>
        <w:t>, tačiau mokytojo profesijos prestižo mažėjimas ir personalo trūkumas kelia problemų daugelyje valstybių narių ir kenkia mokyklinio ugdymo kokybei</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Dauguma valstybių narių siekia pritraukti daugiau įvairių tinkamų kandidatų siekti mokytojo karjeros ir paskatinti bei padėti jiems siekti puikių rezultatų pasirinkus šią nelengvą profesiją.</w:t>
      </w:r>
      <w:r>
        <w:rPr>
          <w:rFonts w:ascii="Times New Roman" w:hAnsi="Times New Roman"/>
          <w:b/>
          <w:noProof/>
          <w:color w:val="000000"/>
          <w:sz w:val="24"/>
        </w:rPr>
        <w:t xml:space="preserve"> </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Gerinant kandidatų atranką ir įdarbinimą galima padėti atrasti tuos, kurie yra tinkamiausi mokytojo darbui, ir praturtinti šią profesiją įvairesnių sričių patirtimi.</w:t>
      </w:r>
      <w:r>
        <w:rPr>
          <w:rFonts w:ascii="Times New Roman" w:hAnsi="Times New Roman"/>
          <w:noProof/>
          <w:color w:val="000000"/>
          <w:sz w:val="24"/>
        </w:rPr>
        <w:t xml:space="preserve"> Kai kuriose šalyse kandidatai vertinami ne tik pagal akademinius pasiekimus, bet ir pagal įvairesnius gebėjimus bei pažiūras</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Kai valstybėms narėms tai aktualu, galima tai derinti su pastangomis siekti didesnės lyčių pusiausvyros tarp mokytojų, kurios labai trūksta, ir pritraukti naujų mokytojų iš kitų profesijų ir iš nepakankamai atstovaujamų grupių. </w:t>
      </w:r>
    </w:p>
    <w:p>
      <w:pPr>
        <w:spacing w:line="240" w:lineRule="auto"/>
        <w:jc w:val="both"/>
        <w:rPr>
          <w:rFonts w:ascii="Times New Roman" w:hAnsi="Times New Roman" w:cs="Times New Roman"/>
          <w:noProof/>
          <w:sz w:val="24"/>
          <w:szCs w:val="24"/>
        </w:rPr>
      </w:pPr>
      <w:r>
        <w:rPr>
          <w:rFonts w:ascii="Times New Roman" w:hAnsi="Times New Roman"/>
          <w:b/>
          <w:noProof/>
          <w:color w:val="000000"/>
          <w:sz w:val="24"/>
        </w:rPr>
        <w:t xml:space="preserve">Darbo užmokestis, darbo sutartys ir aiškios karjeros perspektyvos yra svarbūs dalykai, nuo kurių priklauso šios profesijos patrauklumas. </w:t>
      </w:r>
      <w:r>
        <w:rPr>
          <w:rFonts w:ascii="Times New Roman" w:hAnsi="Times New Roman"/>
          <w:noProof/>
          <w:color w:val="000000"/>
          <w:sz w:val="24"/>
        </w:rPr>
        <w:t>Kai kuriose valstybėse narėse mokytojo profesija neatlaiko kitų profesijų konkurencijos dėl geriausių darbuotojų. Dažnai mokytojų uždarbis yra kur kas mažesnis negu vidutinis darbo užmokestis, kurį gauna tretinį išsilavinimą turintys darbuotojai: jų algos siekia nuo 74 proc. šio užmokesčio ikimokyklinio ugdymo ir iki 92 proc. – vidurinio ugdymo sektoriuje</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Tose šalyse, kuriose algos yra labai mažos arba trūksta darbo vietos garantijų, sunku pritraukti naujų mokytojų ir parinkti labiausiai kvalifikuotus kandidatus į laisvas darbo vietas. </w:t>
      </w:r>
      <w:r>
        <w:rPr>
          <w:rFonts w:ascii="Times New Roman" w:hAnsi="Times New Roman"/>
          <w:noProof/>
          <w:sz w:val="24"/>
        </w:rPr>
        <w:t>Mokytojams taip pat rūpi jų profesinio rengimo kokybė, įvadinis supažindinimas su darbu ir geresnės karjeros galimybės</w:t>
      </w:r>
      <w:r>
        <w:rPr>
          <w:rStyle w:val="FootnoteReference"/>
          <w:rFonts w:ascii="Times New Roman" w:hAnsi="Times New Roman"/>
          <w:noProof/>
          <w:color w:val="000000"/>
          <w:sz w:val="24"/>
        </w:rPr>
        <w:footnoteReference w:id="40"/>
      </w:r>
      <w:r>
        <w:rPr>
          <w:noProof/>
        </w:rPr>
        <w:t>.</w:t>
      </w:r>
      <w:r>
        <w:rPr>
          <w:rFonts w:ascii="Times New Roman" w:hAnsi="Times New Roman"/>
          <w:noProof/>
          <w:sz w:val="24"/>
        </w:rPr>
        <w:t xml:space="preserve"> Aiškiai apibrėžti kompetencijos lygiai ir karjeros sistemos didina mokytojų pasitikėjimą karjeros perspektyvomis. </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3.2. Mokytojas – tai profesija per visą karjerą besimokantiems, kolektyve dirbantiems žmonėms</w:t>
      </w:r>
    </w:p>
    <w:p>
      <w:pPr>
        <w:keepNext/>
        <w:spacing w:after="12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Reikia skirti daugiau dėmesio mokytojų išsilavinimo kokybei.</w:t>
      </w:r>
      <w:r>
        <w:rPr>
          <w:rFonts w:ascii="Times New Roman" w:hAnsi="Times New Roman"/>
          <w:noProof/>
          <w:color w:val="000000"/>
          <w:sz w:val="24"/>
        </w:rPr>
        <w:t xml:space="preserve"> Pirminis mokytojų rengimas efektyviausias yra tada, kai pedagogikos teorija derinama tiek su mokomojo dalyko žinių įgijimu, tiek su pakankama darbo praktika klasėse</w:t>
      </w:r>
      <w:r>
        <w:rPr>
          <w:rStyle w:val="FootnoteReference"/>
          <w:rFonts w:ascii="Times New Roman" w:hAnsi="Times New Roman"/>
          <w:noProof/>
          <w:color w:val="000000"/>
          <w:sz w:val="24"/>
        </w:rPr>
        <w:footnoteReference w:id="41"/>
      </w:r>
      <w:r>
        <w:rPr>
          <w:noProof/>
        </w:rPr>
        <w:t>.</w:t>
      </w:r>
      <w:r>
        <w:rPr>
          <w:rFonts w:ascii="Times New Roman" w:hAnsi="Times New Roman"/>
          <w:noProof/>
          <w:color w:val="000000"/>
          <w:sz w:val="24"/>
        </w:rPr>
        <w:t xml:space="preserve"> Studijuojantys mokytojai turi būti pasirengę bendradarbiauti ir kelti kvalifikaciją per visą karjerą, mokėti dirbti esant įvairovei klasėse ir įgudusiai naudotis skaitmeninėmis technologijomis. Keliose valstybėse narėse per mažai dalyvaujama nuolatinio profesinio tobulinimosi veikloje arba jai trūksta kryptingumo. Nuolatinis profesinis tobulinimasis turi būti prieinamas, ne per brangus ir aktualus. Jo kokybę gali padėti gerinti mokyklų ir mokytojų įtraukimas dalyvauti nustatant jo temas ir reikiamas sritis</w:t>
      </w:r>
      <w:r>
        <w:rPr>
          <w:rStyle w:val="FootnoteReference"/>
          <w:rFonts w:ascii="Times New Roman" w:hAnsi="Times New Roman"/>
          <w:noProof/>
          <w:color w:val="000000"/>
          <w:sz w:val="24"/>
        </w:rPr>
        <w:footnoteReference w:id="42"/>
      </w:r>
      <w:r>
        <w:rPr>
          <w:noProof/>
        </w:rPr>
        <w:t>.</w:t>
      </w:r>
      <w:r>
        <w:rPr>
          <w:rFonts w:ascii="Times New Roman" w:hAnsi="Times New Roman"/>
          <w:noProof/>
          <w:color w:val="000000"/>
          <w:sz w:val="24"/>
        </w:rPr>
        <w:t xml:space="preserve"> </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 xml:space="preserve">Mokytojams reikia specialios paramos pradiniuose jų karjeros etapuose. </w:t>
      </w:r>
      <w:r>
        <w:rPr>
          <w:rFonts w:ascii="Times New Roman" w:hAnsi="Times New Roman"/>
          <w:noProof/>
          <w:color w:val="000000"/>
          <w:sz w:val="24"/>
        </w:rPr>
        <w:t>Pradedant dirbti pagal šią profesiją daugeliui mokytojų yra sunku dirbti realioje mokyklos aplinkoje ir kai kurie iš jų šios profesijos atsisako. Šiuo metu tik 6 iš 10 pradedančiųjų mokytojų yra iš tiesų supažindinami su darbo mokykloje praktika</w:t>
      </w:r>
      <w:r>
        <w:rPr>
          <w:rStyle w:val="FootnoteReference"/>
          <w:rFonts w:ascii="Times New Roman" w:hAnsi="Times New Roman"/>
          <w:noProof/>
          <w:color w:val="000000"/>
          <w:sz w:val="24"/>
        </w:rPr>
        <w:footnoteReference w:id="43"/>
      </w:r>
      <w:r>
        <w:rPr>
          <w:rFonts w:ascii="Times New Roman" w:hAnsi="Times New Roman"/>
          <w:noProof/>
          <w:color w:val="000000"/>
          <w:sz w:val="24"/>
        </w:rPr>
        <w:t xml:space="preserve"> ir dalyvauja įvadinėse programose, pagal kurias jiems teikiama profesinė, socialinė ir asmeninė parama, įskaitant mentorystę, taip padedant pradedantiesiems mokytojams lavinti gebėjimus ir atsparumą sunkumams. Taip gerinama mokymo kokybė ir mažėja brangiai kainuojančių atvejų, kai šios profesijos atsisakoma</w:t>
      </w:r>
      <w:r>
        <w:rPr>
          <w:rStyle w:val="FootnoteReference"/>
          <w:rFonts w:ascii="Times New Roman" w:hAnsi="Times New Roman"/>
          <w:noProof/>
          <w:color w:val="000000"/>
          <w:sz w:val="24"/>
        </w:rPr>
        <w:footnoteReference w:id="44"/>
      </w:r>
      <w:r>
        <w:rPr>
          <w:noProof/>
        </w:rPr>
        <w:t>.</w:t>
      </w:r>
    </w:p>
    <w:p>
      <w:pPr>
        <w:spacing w:after="120"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Gerų rezultatų pasiekia tie mokytojai, kurie bendradarbiauja.</w:t>
      </w:r>
      <w:r>
        <w:rPr>
          <w:rFonts w:ascii="Times New Roman" w:hAnsi="Times New Roman"/>
          <w:noProof/>
          <w:color w:val="000000"/>
          <w:sz w:val="24"/>
        </w:rPr>
        <w:t xml:space="preserve"> Mokymas kaip darbas kolektyve, kitų mokytojų darbo stebėjimas ir dalyvavimas platesnėse profesionaliose besimokančiose bendruomenėse įsigali kaip efektyvaus kolegų tarpusavio bendradarbiavimo formos, tačiau dar nėra įprasti visoje Europoje</w:t>
      </w:r>
      <w:r>
        <w:rPr>
          <w:rStyle w:val="FootnoteReference"/>
          <w:rFonts w:ascii="Times New Roman" w:hAnsi="Times New Roman"/>
          <w:noProof/>
          <w:color w:val="000000"/>
          <w:sz w:val="24"/>
        </w:rPr>
        <w:footnoteReference w:id="45"/>
      </w:r>
      <w:r>
        <w:rPr>
          <w:noProof/>
        </w:rPr>
        <w:t>.</w:t>
      </w:r>
      <w:r>
        <w:rPr>
          <w:rFonts w:ascii="Times New Roman" w:hAnsi="Times New Roman"/>
          <w:noProof/>
          <w:color w:val="000000"/>
          <w:sz w:val="24"/>
        </w:rPr>
        <w:t xml:space="preserve"> Siekiant gerinti mokinių mokymosi patirtį, mokytojai turi gebėti ir norėti dirbti ir mokytis kolektyve – kartu su kitais mokytojais, mišriose įvairių profesijų mokyklos darbuotojų grupėse ir su išorės partneriais.</w:t>
      </w:r>
    </w:p>
    <w:p>
      <w:pPr>
        <w:spacing w:after="120" w:line="240" w:lineRule="auto"/>
        <w:jc w:val="both"/>
        <w:rPr>
          <w:rFonts w:ascii="Times New Roman" w:hAnsi="Times New Roman"/>
          <w:noProof/>
          <w:color w:val="000000"/>
          <w:sz w:val="24"/>
        </w:rPr>
      </w:pPr>
      <w:r>
        <w:rPr>
          <w:rFonts w:ascii="Times New Roman" w:hAnsi="Times New Roman"/>
          <w:b/>
          <w:noProof/>
          <w:color w:val="000000"/>
          <w:sz w:val="24"/>
        </w:rPr>
        <w:t>Bendradarbiavimui palanki aplinka ir skaitmeninės technologijos gali pagerinti mokytojų mokymąsi.</w:t>
      </w:r>
      <w:r>
        <w:rPr>
          <w:rFonts w:ascii="Times New Roman" w:hAnsi="Times New Roman"/>
          <w:noProof/>
          <w:color w:val="000000"/>
          <w:sz w:val="24"/>
        </w:rPr>
        <w:t xml:space="preserve"> Iki šiol daugiausia rengiami tradiciniai praktiniai seminarai ir mokymo kursai ne pačioje mokykloje, o už jos ribų. Tokios švietimo naujovės kaip kolegų bendradarbiavimo tinklai, atviri masinio nuotolinio mokymo kursai (MOOC) ir dalijimasis atviraisiais švietimo ištekliais gali papildyti šiuos metodus ir padėti įveikti dalyvauti trukdančias kliūtis</w:t>
      </w:r>
      <w:r>
        <w:rPr>
          <w:rStyle w:val="FootnoteReference"/>
          <w:rFonts w:ascii="Times New Roman" w:hAnsi="Times New Roman"/>
          <w:noProof/>
          <w:color w:val="000000"/>
          <w:sz w:val="24"/>
        </w:rPr>
        <w:footnoteReference w:id="46"/>
      </w:r>
      <w:r>
        <w:rPr>
          <w:noProof/>
        </w:rPr>
        <w:t>.</w:t>
      </w:r>
      <w:r>
        <w:rPr>
          <w:rFonts w:ascii="Times New Roman" w:hAnsi="Times New Roman"/>
          <w:noProof/>
          <w:color w:val="000000"/>
          <w:sz w:val="24"/>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 xml:space="preserve">Pagal </w:t>
      </w:r>
      <w:r>
        <w:rPr>
          <w:rFonts w:ascii="Times New Roman" w:hAnsi="Times New Roman"/>
          <w:b/>
          <w:i/>
          <w:noProof/>
          <w:color w:val="000000"/>
          <w:sz w:val="24"/>
        </w:rPr>
        <w:t>„Erasmus+“</w:t>
      </w:r>
      <w:r>
        <w:rPr>
          <w:rFonts w:ascii="Times New Roman" w:hAnsi="Times New Roman"/>
          <w:i/>
          <w:noProof/>
          <w:color w:val="000000"/>
          <w:sz w:val="24"/>
        </w:rPr>
        <w:t xml:space="preserve"> ES remia mokyklų darbuotojų profesinį tobulinimąsi. Dotacijas gali gauti studijuojantys mokytojai, dirbantys mokytojai ir mokyklų vadovai, norintys dalyvauti mokymo kursuose, mokomojoje praktikoje mokyklose ar stebėti kitų darbą kitoje šalyje. Pagal </w:t>
      </w:r>
      <w:r>
        <w:rPr>
          <w:rFonts w:ascii="Times New Roman" w:hAnsi="Times New Roman"/>
          <w:b/>
          <w:i/>
          <w:noProof/>
          <w:color w:val="000000"/>
          <w:sz w:val="24"/>
        </w:rPr>
        <w:t>„eTwinning“</w:t>
      </w:r>
      <w:r>
        <w:rPr>
          <w:rFonts w:ascii="Times New Roman" w:hAnsi="Times New Roman"/>
          <w:i/>
          <w:noProof/>
          <w:color w:val="000000"/>
          <w:sz w:val="24"/>
        </w:rPr>
        <w:t xml:space="preserve"> ES skatina savanorišką mokytojų bendradarbiavimą ir tarpusavio mokymąsi per kursus internetu ir bendrus mokymo renginius.</w:t>
      </w:r>
    </w:p>
    <w:p>
      <w:pPr>
        <w:keepNext/>
        <w:autoSpaceDE w:val="0"/>
        <w:autoSpaceDN w:val="0"/>
        <w:adjustRightInd w:val="0"/>
        <w:spacing w:before="240" w:after="240" w:line="240" w:lineRule="auto"/>
        <w:jc w:val="both"/>
        <w:rPr>
          <w:rFonts w:ascii="Times New Roman" w:hAnsi="Times New Roman" w:cs="Times New Roman"/>
          <w:b/>
          <w:noProof/>
          <w:color w:val="000000"/>
          <w:sz w:val="24"/>
          <w:szCs w:val="24"/>
        </w:rPr>
      </w:pPr>
      <w:r>
        <w:rPr>
          <w:rFonts w:ascii="Times New Roman" w:hAnsi="Times New Roman"/>
          <w:b/>
          <w:noProof/>
          <w:color w:val="000000"/>
          <w:sz w:val="24"/>
        </w:rPr>
        <w:t xml:space="preserve">3.3. Parama vadovavimui mokyklai </w:t>
      </w:r>
    </w:p>
    <w:p>
      <w:pPr>
        <w:keepNext/>
        <w:spacing w:after="120" w:line="240" w:lineRule="auto"/>
        <w:jc w:val="both"/>
        <w:rPr>
          <w:rFonts w:ascii="Times New Roman" w:hAnsi="Times New Roman"/>
          <w:noProof/>
          <w:color w:val="000000"/>
          <w:sz w:val="24"/>
        </w:rPr>
      </w:pPr>
      <w:r>
        <w:rPr>
          <w:rFonts w:ascii="Times New Roman" w:hAnsi="Times New Roman"/>
          <w:b/>
          <w:noProof/>
          <w:color w:val="000000"/>
          <w:sz w:val="24"/>
        </w:rPr>
        <w:t>Efektyvus vadovavimas mokyklai teigiamai veikia mokinių pasiekimus, mokymo kokybę ir personalo motyvaciją.</w:t>
      </w:r>
      <w:r>
        <w:rPr>
          <w:rFonts w:ascii="Times New Roman" w:hAnsi="Times New Roman"/>
          <w:noProof/>
          <w:color w:val="000000"/>
          <w:sz w:val="24"/>
        </w:rPr>
        <w:t xml:space="preserve"> Tyrimai rodo, kad bendra mokyklos darbuotojų, mokinių tėvų ir vietos bendruomenės vizija grindžiamas vadovavimas turi lemiamą reikšmę mokyklos raidai ir naujovių diegimui joje</w:t>
      </w:r>
      <w:r>
        <w:rPr>
          <w:rStyle w:val="FootnoteReference"/>
          <w:rFonts w:ascii="Times New Roman" w:hAnsi="Times New Roman"/>
          <w:noProof/>
          <w:color w:val="000000"/>
          <w:sz w:val="24"/>
        </w:rPr>
        <w:footnoteReference w:id="47"/>
      </w:r>
      <w:r>
        <w:rPr>
          <w:noProof/>
        </w:rPr>
        <w:t>.</w:t>
      </w:r>
      <w:r>
        <w:rPr>
          <w:rFonts w:ascii="Times New Roman" w:hAnsi="Times New Roman"/>
          <w:noProof/>
          <w:color w:val="000000"/>
          <w:sz w:val="24"/>
        </w:rPr>
        <w:t xml:space="preserve"> Tačiau kai kuriose valstybėse narėse mokyklų vadovų pareigos nelaikomos patraukliomis</w:t>
      </w:r>
      <w:r>
        <w:rPr>
          <w:rStyle w:val="FootnoteReference"/>
          <w:rFonts w:ascii="Times New Roman" w:hAnsi="Times New Roman"/>
          <w:noProof/>
          <w:color w:val="000000"/>
          <w:sz w:val="24"/>
        </w:rPr>
        <w:footnoteReference w:id="48"/>
      </w:r>
      <w:r>
        <w:rPr>
          <w:noProof/>
        </w:rPr>
        <w:t>.</w:t>
      </w:r>
      <w:r>
        <w:rPr>
          <w:rFonts w:ascii="Times New Roman" w:hAnsi="Times New Roman"/>
          <w:noProof/>
          <w:color w:val="000000"/>
          <w:sz w:val="24"/>
        </w:rPr>
        <w:t xml:space="preserve"> Vadovaujant mokyklai paprastai reikia spręsti įvairias sudėtingas tiek su valdymu, tiek su mokymu susijusias užduotis. Mokyklų vadovai dažnai nėra tinkamai parengiami ir negauna tolesnės paramos, kurios jiems reikia atliekant šias įvairias užduotis. </w:t>
      </w:r>
    </w:p>
    <w:p>
      <w:pPr>
        <w:spacing w:after="120" w:line="240" w:lineRule="auto"/>
        <w:jc w:val="both"/>
        <w:rPr>
          <w:rFonts w:ascii="Times New Roman" w:hAnsi="Times New Roman"/>
          <w:noProof/>
          <w:color w:val="000000"/>
          <w:sz w:val="24"/>
        </w:rPr>
      </w:pPr>
      <w:r>
        <w:rPr>
          <w:rFonts w:ascii="Times New Roman" w:hAnsi="Times New Roman"/>
          <w:b/>
          <w:noProof/>
          <w:color w:val="000000"/>
          <w:sz w:val="24"/>
        </w:rPr>
        <w:t>Didesnė mokyklų autonomija lemia didesnę mokyklų vadovų atsakomybę daugelyje valstybių.</w:t>
      </w:r>
      <w:r>
        <w:rPr>
          <w:rFonts w:ascii="Times New Roman" w:hAnsi="Times New Roman"/>
          <w:noProof/>
          <w:color w:val="000000"/>
          <w:sz w:val="24"/>
        </w:rPr>
        <w:t xml:space="preserve"> Taigi, mokyklų vadovai gali pertvarkyti pamokų laiką ir metodus, skatinti mokyklos raidą ir dalytis atsakomybę su didesne darbuotojų grupe. Tačiau šioms permainoms įgyvendinti reikia tinkamų išteklių ir paramos</w:t>
      </w:r>
      <w:r>
        <w:rPr>
          <w:rStyle w:val="FootnoteReference"/>
          <w:rFonts w:ascii="Times New Roman" w:hAnsi="Times New Roman"/>
          <w:noProof/>
          <w:color w:val="000000"/>
          <w:sz w:val="24"/>
        </w:rPr>
        <w:footnoteReference w:id="49"/>
      </w:r>
      <w:r>
        <w:rPr>
          <w:noProof/>
        </w:rPr>
        <w:t>.</w:t>
      </w:r>
      <w:r>
        <w:rPr>
          <w:rFonts w:ascii="Times New Roman" w:hAnsi="Times New Roman"/>
          <w:b/>
          <w:noProof/>
          <w:color w:val="000000"/>
          <w:sz w:val="24"/>
        </w:rPr>
        <w:t xml:space="preserve"> </w:t>
      </w:r>
      <w:r>
        <w:rPr>
          <w:rFonts w:ascii="Times New Roman" w:hAnsi="Times New Roman"/>
          <w:noProof/>
          <w:color w:val="000000"/>
          <w:sz w:val="24"/>
        </w:rPr>
        <w:t xml:space="preserve">Mokyklų vadovų įdarbinimas, rengimas ir profesinis tobulinimasis yra lemiamos svarbos veiksnys gerinant mokyklos rezultatus. </w:t>
      </w:r>
    </w:p>
    <w:p>
      <w:pPr>
        <w:spacing w:line="240" w:lineRule="auto"/>
        <w:rPr>
          <w:rFonts w:ascii="Times New Roman" w:hAnsi="Times New Roman" w:cs="Times New Roman"/>
          <w:noProof/>
          <w:color w:val="000000"/>
          <w:sz w:val="24"/>
          <w:szCs w:val="24"/>
          <w:u w:val="single"/>
        </w:rPr>
      </w:pPr>
    </w:p>
    <w:p>
      <w:pPr>
        <w:keepNext/>
        <w:spacing w:after="240"/>
        <w:rPr>
          <w:rFonts w:ascii="Times New Roman" w:hAnsi="Times New Roman" w:cs="Times New Roman"/>
          <w:b/>
          <w:noProof/>
          <w:color w:val="000000"/>
          <w:sz w:val="24"/>
          <w:szCs w:val="24"/>
        </w:rPr>
      </w:pPr>
      <w:r>
        <w:rPr>
          <w:rFonts w:ascii="Times New Roman" w:hAnsi="Times New Roman"/>
          <w:b/>
          <w:noProof/>
          <w:color w:val="000000"/>
          <w:sz w:val="24"/>
        </w:rPr>
        <w:t>4. Mokyklinio ugdymo sistemų valdymas, kad jos taptų veiksmingesnės, teisingesnės ir efektyvesnės</w:t>
      </w:r>
    </w:p>
    <w:p>
      <w:pPr>
        <w:keepNext/>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 xml:space="preserve">Siekdama papildyti valstybių narių veiksmus Komisija: </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sz w:val="24"/>
        </w:rPr>
        <w:t xml:space="preserve">remsis esamu bendradarbiavimu, be kita ko, dėl įgūdžių lavinimo strategijų ir mokyklų išteklių, pradės techninės paramos </w:t>
      </w:r>
      <w:r>
        <w:rPr>
          <w:rFonts w:ascii="Times New Roman" w:hAnsi="Times New Roman"/>
          <w:b/>
          <w:noProof/>
          <w:sz w:val="24"/>
        </w:rPr>
        <w:t>pagal poreikius</w:t>
      </w:r>
      <w:r>
        <w:rPr>
          <w:rFonts w:ascii="Times New Roman" w:hAnsi="Times New Roman"/>
          <w:noProof/>
          <w:sz w:val="24"/>
        </w:rPr>
        <w:t xml:space="preserve"> programą</w:t>
      </w:r>
      <w:r>
        <w:rPr>
          <w:noProof/>
        </w:rPr>
        <w:t xml:space="preserve">, </w:t>
      </w:r>
      <w:r>
        <w:rPr>
          <w:rFonts w:ascii="Times New Roman" w:hAnsi="Times New Roman"/>
          <w:b/>
          <w:noProof/>
          <w:sz w:val="24"/>
        </w:rPr>
        <w:t>bendradarbiaudama su EBPO</w:t>
      </w:r>
      <w:r>
        <w:rPr>
          <w:rFonts w:ascii="Times New Roman" w:hAnsi="Times New Roman"/>
          <w:noProof/>
          <w:sz w:val="24"/>
        </w:rPr>
        <w:t>, siekdama padėti valstybėms narėms, kurios savo noru prašo pagalbos, planuoti ir vykdyti didelio masto mokyklinio ugdymo reformas. Paramą galėtų teikti Komisijos tarnybos,</w:t>
      </w:r>
      <w:r>
        <w:rPr>
          <w:noProof/>
        </w:rPr>
        <w:t xml:space="preserve"> </w:t>
      </w:r>
      <w:r>
        <w:rPr>
          <w:rFonts w:ascii="Times New Roman" w:hAnsi="Times New Roman"/>
          <w:noProof/>
          <w:sz w:val="24"/>
        </w:rPr>
        <w:t xml:space="preserve">įskaitant Paramos struktūrinėms reformoms tarnybą, taip pat būtų galima naudotis ES finansavimo priemonėmis (tokiomis kaip Europos struktūriniai ir investicijų fondai ir „Erasmus+“); </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sz w:val="24"/>
        </w:rPr>
        <w:t xml:space="preserve">pasiūlys parengti </w:t>
      </w:r>
      <w:r>
        <w:rPr>
          <w:rFonts w:ascii="Times New Roman" w:hAnsi="Times New Roman"/>
          <w:b/>
          <w:noProof/>
          <w:sz w:val="24"/>
        </w:rPr>
        <w:t>bendrą ataskaitą dėl mokyklinio ugdymo išlaidų veiksmingumo ir efektyvumo</w:t>
      </w:r>
      <w:r>
        <w:rPr>
          <w:rFonts w:ascii="Times New Roman" w:hAnsi="Times New Roman"/>
          <w:noProof/>
          <w:sz w:val="24"/>
        </w:rPr>
        <w:t>, į šį darbą įtraukiant atitinkamus Tarybos komitetus ir Komisijos tarnybas. Tai bus grindžiama kartu su EBPO atliekamu darbu ir bus galima parengti politikos gaires dėl investicijų į mokyklinį ugdymą, palaikant partnerystės ryšius su susidomėjusiomis ES valstybėmis narėmis ir suinteresuotaisiais subjektais;</w:t>
      </w:r>
    </w:p>
    <w:p>
      <w:pPr>
        <w:pStyle w:val="ListParagraph"/>
        <w:numPr>
          <w:ilvl w:val="0"/>
          <w:numId w:val="3"/>
        </w:num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noProof/>
          <w:sz w:val="24"/>
          <w:szCs w:val="24"/>
        </w:rPr>
      </w:pPr>
      <w:r>
        <w:rPr>
          <w:rFonts w:ascii="Times New Roman" w:hAnsi="Times New Roman"/>
          <w:noProof/>
          <w:sz w:val="24"/>
        </w:rPr>
        <w:t xml:space="preserve">kartu su ES valstybėmis narėmis ir suinteresuotaisiais subjektais parengs tikslines politikos gaires dėl </w:t>
      </w:r>
      <w:r>
        <w:rPr>
          <w:rFonts w:ascii="Times New Roman" w:hAnsi="Times New Roman"/>
          <w:b/>
          <w:noProof/>
          <w:sz w:val="24"/>
        </w:rPr>
        <w:t>kokybės užtikrinimo</w:t>
      </w:r>
      <w:r>
        <w:rPr>
          <w:rFonts w:ascii="Times New Roman" w:hAnsi="Times New Roman"/>
          <w:noProof/>
          <w:sz w:val="24"/>
        </w:rPr>
        <w:t xml:space="preserve"> tarpusavio konsultavimu</w:t>
      </w:r>
      <w:r>
        <w:rPr>
          <w:rStyle w:val="FootnoteReference"/>
          <w:rFonts w:ascii="Times New Roman" w:hAnsi="Times New Roman"/>
          <w:noProof/>
          <w:sz w:val="24"/>
        </w:rPr>
        <w:footnoteReference w:id="50"/>
      </w:r>
      <w:r>
        <w:rPr>
          <w:rFonts w:ascii="Times New Roman" w:hAnsi="Times New Roman"/>
          <w:noProof/>
          <w:sz w:val="24"/>
        </w:rPr>
        <w:t xml:space="preserve"> ir tarpusavio mokymusi.</w:t>
      </w:r>
    </w:p>
    <w:p>
      <w:pPr>
        <w:pStyle w:val="Text1"/>
        <w:keepNext/>
        <w:spacing w:before="240"/>
        <w:ind w:left="0"/>
        <w:rPr>
          <w:b/>
          <w:noProof/>
          <w:color w:val="000000"/>
          <w:szCs w:val="24"/>
        </w:rPr>
      </w:pPr>
      <w:r>
        <w:rPr>
          <w:b/>
          <w:noProof/>
          <w:color w:val="000000"/>
        </w:rPr>
        <w:t>4.1. Mokyklų ištekliai: pakankamas ir efektyvus investavimas į juos</w:t>
      </w:r>
    </w:p>
    <w:p>
      <w:pPr>
        <w:spacing w:before="120" w:after="120" w:line="240" w:lineRule="auto"/>
        <w:jc w:val="both"/>
        <w:rPr>
          <w:rFonts w:ascii="Times New Roman" w:hAnsi="Times New Roman"/>
          <w:bCs/>
          <w:noProof/>
          <w:sz w:val="24"/>
          <w:szCs w:val="24"/>
        </w:rPr>
      </w:pPr>
      <w:r>
        <w:rPr>
          <w:rFonts w:ascii="Times New Roman" w:hAnsi="Times New Roman"/>
          <w:b/>
          <w:noProof/>
          <w:sz w:val="24"/>
        </w:rPr>
        <w:t>Europoje yra didelė švietimo sistemų, kultūrų ir aplinkybių įvairovė, tačiau joje kyla panašių valdymo bei finansavimo problemų.</w:t>
      </w:r>
      <w:r>
        <w:rPr>
          <w:rFonts w:ascii="Times New Roman" w:hAnsi="Times New Roman"/>
          <w:noProof/>
          <w:sz w:val="24"/>
        </w:rPr>
        <w:t xml:space="preserve"> Be kita ko, sunku aiškiai nustatyti atsakomybę už finansavimą, taip pat mokyklų tinklui sunku prisitaikyti prie demografinių pokyčių</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ES valstybės narės mokykliniam ugdymui skiria didelį išteklių kiekį – vidutiniškai daugiau kaip 3 proc. BVP</w:t>
      </w:r>
      <w:r>
        <w:rPr>
          <w:rStyle w:val="FootnoteReference"/>
          <w:rFonts w:ascii="Times New Roman" w:hAnsi="Times New Roman"/>
          <w:noProof/>
          <w:sz w:val="24"/>
        </w:rPr>
        <w:footnoteReference w:id="52"/>
      </w:r>
      <w:r>
        <w:rPr>
          <w:noProof/>
        </w:rPr>
        <w:t>.</w:t>
      </w:r>
      <w:r>
        <w:rPr>
          <w:rFonts w:ascii="Times New Roman" w:hAnsi="Times New Roman"/>
          <w:noProof/>
          <w:sz w:val="24"/>
        </w:rPr>
        <w:t xml:space="preserve"> Nuo to, kaip gerai šie ištekliai panaudojami, priklauso visų šalies išlaidų efektyvumas.</w:t>
      </w:r>
    </w:p>
    <w:p>
      <w:pPr>
        <w:spacing w:before="120" w:after="120" w:line="240" w:lineRule="auto"/>
        <w:jc w:val="both"/>
        <w:rPr>
          <w:rFonts w:ascii="Times New Roman" w:hAnsi="Times New Roman"/>
          <w:b/>
          <w:i/>
          <w:noProof/>
          <w:sz w:val="24"/>
          <w:szCs w:val="24"/>
        </w:rPr>
      </w:pPr>
      <w:r>
        <w:rPr>
          <w:rFonts w:ascii="Times New Roman" w:hAnsi="Times New Roman"/>
          <w:b/>
          <w:noProof/>
          <w:sz w:val="24"/>
        </w:rPr>
        <w:t xml:space="preserve">Ypač svarbu kuo geriau panaudoti ribotus išteklius gerinant visų mokinių mokymosi rezultatus. </w:t>
      </w:r>
      <w:r>
        <w:rPr>
          <w:rFonts w:ascii="Times New Roman" w:hAnsi="Times New Roman"/>
          <w:noProof/>
          <w:sz w:val="24"/>
        </w:rPr>
        <w:t>PISA tyrimų duomenimis, gerų švietimo rezultatų pasiekti neįmanoma, jeigu nėra bent minimalaus lygio finansavimo. Kai kurios valstybės narės nepakankamai investuoja, kad pasiektų gerų ilgalaikių rezultatų</w:t>
      </w:r>
      <w:r>
        <w:rPr>
          <w:rStyle w:val="FootnoteReference"/>
          <w:rFonts w:ascii="Times New Roman" w:hAnsi="Times New Roman"/>
          <w:noProof/>
          <w:sz w:val="24"/>
        </w:rPr>
        <w:footnoteReference w:id="53"/>
      </w:r>
      <w:r>
        <w:rPr>
          <w:noProof/>
        </w:rPr>
        <w:t>.</w:t>
      </w:r>
      <w:r>
        <w:rPr>
          <w:rFonts w:ascii="Times New Roman" w:hAnsi="Times New Roman"/>
          <w:noProof/>
          <w:sz w:val="24"/>
        </w:rPr>
        <w:t xml:space="preserve"> Tačiau kai kurios valstybės narės, išleisdamos panašias lėšų sumas, pasiekia geresnių rezultatų negu kitos. Stiprinant bendradarbiavimą tarp švietimo ir ekonominės politikos sričių galima pagerinti patikimų žinių bazę, kuria grindžiama politika, ir susitarti dėl to, „kas yra veiksminga“ investuojant į švietimą. Tarp uždavinių yra ir investavimas į infrastruktūrą, įskaitant skaitmeninę infrastruktūrą ir prisijungimą prie tinklų, taip pat į žmogiškąjį kapitalą</w:t>
      </w:r>
      <w:r>
        <w:rPr>
          <w:rStyle w:val="FootnoteReference"/>
          <w:rFonts w:ascii="Times New Roman" w:hAnsi="Times New Roman"/>
          <w:noProof/>
          <w:sz w:val="24"/>
        </w:rPr>
        <w:footnoteReference w:id="54"/>
      </w:r>
      <w:r>
        <w:rPr>
          <w:noProof/>
        </w:rPr>
        <w:t>.</w:t>
      </w:r>
      <w:r>
        <w:rPr>
          <w:rFonts w:ascii="Times New Roman" w:hAnsi="Times New Roman"/>
          <w:noProof/>
          <w:sz w:val="24"/>
        </w:rPr>
        <w:t xml:space="preserve"> Pagal poreikius teikiama politinė parama valstybių narių švietimo reformoms gali padėti gerinti mokyklų sistemų valdymą, didinti veiksmingumą ir teisingumą.</w:t>
      </w:r>
      <w:r>
        <w:rPr>
          <w:rFonts w:ascii="Times New Roman" w:hAnsi="Times New Roman"/>
          <w:b/>
          <w:i/>
          <w:noProof/>
          <w:sz w:val="24"/>
        </w:rPr>
        <w:t xml:space="preserve"> </w:t>
      </w:r>
    </w:p>
    <w:p>
      <w:pPr>
        <w:pStyle w:val="Text1"/>
        <w:keepNext/>
        <w:spacing w:before="240"/>
        <w:ind w:left="0"/>
        <w:rPr>
          <w:b/>
          <w:noProof/>
          <w:color w:val="000000"/>
          <w:szCs w:val="24"/>
        </w:rPr>
      </w:pPr>
      <w:r>
        <w:rPr>
          <w:b/>
          <w:noProof/>
          <w:color w:val="000000"/>
        </w:rPr>
        <w:t xml:space="preserve">4.2. Savarankiškumas kartu su kokybės užtikrinimu </w:t>
      </w:r>
    </w:p>
    <w:p>
      <w:pPr>
        <w:keepNext/>
        <w:spacing w:after="120" w:line="240" w:lineRule="auto"/>
        <w:jc w:val="both"/>
        <w:rPr>
          <w:rFonts w:ascii="Times New Roman" w:eastAsia="Calibri" w:hAnsi="Times New Roman" w:cs="Arial"/>
          <w:noProof/>
          <w:sz w:val="24"/>
          <w:szCs w:val="24"/>
        </w:rPr>
      </w:pPr>
      <w:r>
        <w:rPr>
          <w:rFonts w:ascii="Times New Roman" w:hAnsi="Times New Roman"/>
          <w:b/>
          <w:noProof/>
          <w:sz w:val="24"/>
        </w:rPr>
        <w:t>Derinant mokyklos autonomiją ir atskaitomybę reikalingos tvirtos, tačiau lanksčios kokybės užtikrinimo sistemos</w:t>
      </w:r>
      <w:r>
        <w:rPr>
          <w:rStyle w:val="FootnoteReference"/>
          <w:rFonts w:ascii="Times New Roman" w:hAnsi="Times New Roman"/>
          <w:noProof/>
          <w:sz w:val="24"/>
        </w:rPr>
        <w:footnoteReference w:id="55"/>
      </w:r>
      <w:r>
        <w:rPr>
          <w:noProof/>
        </w:rPr>
        <w:t>.</w:t>
      </w:r>
      <w:r>
        <w:rPr>
          <w:rFonts w:ascii="Times New Roman" w:hAnsi="Times New Roman"/>
          <w:noProof/>
          <w:sz w:val="24"/>
        </w:rPr>
        <w:t xml:space="preserve"> Svarbi nauja tendencija yra decentralizacija ir mokyklų autonomijos didinimas. Suteikiant mokykloms daugiau savarankiškumo nuspręsti dėl mokyklos praktikos ir organizavimo arba dėl savo finansinių išteklių naudojimo, jos įgyja daugiau galimybių derintis prie savo konkrečių poreikių ir vietos aplinkybių. Tačiau to nauda priklauso nuo mokyklų gebos veiksmingai planuoti ir valdyti savo raidos procesus, taip pat nuo to, kiek atskaitingos jos yra mokinių tėvams, vietos bendruomenėms ir švietimo institucijoms</w:t>
      </w:r>
      <w:r>
        <w:rPr>
          <w:rFonts w:ascii="Times New Roman" w:hAnsi="Times New Roman"/>
          <w:noProof/>
          <w:sz w:val="24"/>
          <w:vertAlign w:val="superscript"/>
        </w:rPr>
        <w:footnoteReference w:id="56"/>
      </w:r>
      <w:r>
        <w:rPr>
          <w:rFonts w:ascii="Times New Roman" w:hAnsi="Times New Roman"/>
          <w:noProof/>
          <w:sz w:val="24"/>
        </w:rPr>
        <w:t>. PISA rezultatai rodo, kad kai mokyklos autonomija derinama su atskaitomybe, joje mokiniai geriau įgyja pagrindinius įgūdžius. Kokybės užtikrinimo mechanizmų</w:t>
      </w:r>
      <w:r>
        <w:rPr>
          <w:noProof/>
        </w:rPr>
        <w:t xml:space="preserve"> </w:t>
      </w:r>
      <w:r>
        <w:rPr>
          <w:rFonts w:ascii="Times New Roman" w:hAnsi="Times New Roman"/>
          <w:noProof/>
          <w:sz w:val="24"/>
        </w:rPr>
        <w:t>visoje Europoje yra labai įvairių</w:t>
      </w:r>
      <w:r>
        <w:rPr>
          <w:rStyle w:val="FootnoteReference"/>
          <w:rFonts w:ascii="Times New Roman" w:hAnsi="Times New Roman"/>
          <w:noProof/>
          <w:sz w:val="24"/>
        </w:rPr>
        <w:footnoteReference w:id="57"/>
      </w:r>
      <w:r>
        <w:rPr>
          <w:rFonts w:ascii="Times New Roman" w:hAnsi="Times New Roman"/>
          <w:noProof/>
          <w:sz w:val="24"/>
        </w:rPr>
        <w:t>, tačiau yra ir tam tikrų bendrų su jais susijusių sunkumų, be kita ko, kaip nustatyti tikslus ir vertinti švietimo sistemų ir mokinių mokymosi pažangą, planuoti kokybės užtikrinimą vis labiau decentralizuotose, daugelio lygmenų švietimo sistemose, skatinti švietimo suinteresuotųjų subjektų dialogą ir tarpusavio pasitikėjimo kultūrą ir nustatyti žmogiškųjų bei finansinių išteklių naudojimo prioritetus.</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Jei būtų sukurtos kiekybiniams ir kokybiniams duomenims tvarkyti tinkamos priemonės ir procesai, kokybės užtikrinimas pagerėtų.</w:t>
      </w:r>
      <w:r>
        <w:rPr>
          <w:rFonts w:ascii="Times New Roman" w:hAnsi="Times New Roman"/>
          <w:noProof/>
          <w:sz w:val="24"/>
        </w:rPr>
        <w:t xml:space="preserve"> Kuriant kokybės užtikrinimo mechanizmus reikėtų atsižvelgti į mokyklos aplinką ir moksleivių gerovę, taip pat į moksleivių gebėjimų lavinimą. Laikantis šio suderinto požiūrio būtina turėti ir kiekybinių, ir kokybinių duomenų</w:t>
      </w:r>
      <w:r>
        <w:rPr>
          <w:rStyle w:val="FootnoteReference"/>
          <w:rFonts w:ascii="Times New Roman" w:hAnsi="Times New Roman"/>
          <w:noProof/>
          <w:sz w:val="24"/>
        </w:rPr>
        <w:footnoteReference w:id="58"/>
      </w:r>
      <w:r>
        <w:rPr>
          <w:noProof/>
        </w:rPr>
        <w:t>.</w:t>
      </w:r>
      <w:r>
        <w:rPr>
          <w:rFonts w:ascii="Times New Roman" w:hAnsi="Times New Roman"/>
          <w:noProof/>
          <w:sz w:val="24"/>
        </w:rPr>
        <w:t xml:space="preserve"> Mokyklos ir vietos suinteresuotieji subjektai turi investuoti į pajėgumų stiprinimą, kad galėtų atrasti sau tinkamiausias priemones ir rodiklius, taigi gebėtų stebėti tiek moksleivių pažangą, tiek mokyklos raidą ir kartu susitarti, kaip reikėtų aiškinti duomenis. Reikėtų tai papildyti išoriniais stebėsenos mechanizmais, tokiais kaip nacionaliniai ar regioniniai mokyklų vertinimai ir (arba) didelio masto mokinių vertinimai.</w:t>
      </w:r>
      <w:r>
        <w:rPr>
          <w:noProof/>
        </w:rPr>
        <w:t xml:space="preserve"> </w:t>
      </w:r>
      <w:r>
        <w:rPr>
          <w:rFonts w:ascii="Times New Roman" w:hAnsi="Times New Roman"/>
          <w:noProof/>
          <w:sz w:val="24"/>
        </w:rPr>
        <w:t>Pereinant nuo „kontroliniu sąrašu“ pagrįsto požiūrio, pagal kurį koncentruojamasi į formalų taisyklių laikymąsi ir procedūras, prie parama grindžiamo požiūrio, pagal kurį dėmesys telkiamas į mokyklos raidą, pasiekiama aukštesnių standartų ir gerinami mokymosi rezultatai</w:t>
      </w:r>
      <w:r>
        <w:rPr>
          <w:rStyle w:val="FootnoteReference"/>
          <w:rFonts w:ascii="Times New Roman" w:hAnsi="Times New Roman"/>
          <w:noProof/>
          <w:sz w:val="24"/>
        </w:rPr>
        <w:footnoteReference w:id="59"/>
      </w:r>
      <w:r>
        <w:rPr>
          <w:noProof/>
        </w:rPr>
        <w:t>.</w:t>
      </w:r>
    </w:p>
    <w:p>
      <w:pPr>
        <w:spacing w:after="240" w:line="240" w:lineRule="auto"/>
        <w:jc w:val="both"/>
        <w:rPr>
          <w:noProof/>
        </w:rPr>
      </w:pPr>
    </w:p>
    <w:p>
      <w:pPr>
        <w:pStyle w:val="ListParagraph"/>
        <w:keepNext/>
        <w:numPr>
          <w:ilvl w:val="0"/>
          <w:numId w:val="4"/>
        </w:numPr>
        <w:spacing w:before="120" w:after="240" w:line="240" w:lineRule="auto"/>
        <w:ind w:left="357" w:hanging="357"/>
        <w:contextualSpacing w:val="0"/>
        <w:rPr>
          <w:rFonts w:ascii="Times New Roman" w:hAnsi="Times New Roman" w:cs="Times New Roman"/>
          <w:b/>
          <w:noProof/>
          <w:color w:val="000000"/>
          <w:sz w:val="24"/>
          <w:szCs w:val="24"/>
        </w:rPr>
      </w:pPr>
      <w:r>
        <w:rPr>
          <w:rFonts w:ascii="Times New Roman" w:hAnsi="Times New Roman"/>
          <w:b/>
          <w:noProof/>
          <w:color w:val="000000"/>
          <w:sz w:val="24"/>
        </w:rPr>
        <w:t>Išvada: tolesni veiksmai</w:t>
      </w:r>
    </w:p>
    <w:p>
      <w:pPr>
        <w:keepNext/>
        <w:spacing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Švietimo gerinimas yra vienas iš pagrindinių dalykų Komisijos iniciatyvoje „Investicijos į Europos jaunimą“</w:t>
      </w:r>
      <w:r>
        <w:rPr>
          <w:rFonts w:ascii="Times New Roman" w:hAnsi="Times New Roman"/>
          <w:noProof/>
          <w:color w:val="000000"/>
          <w:sz w:val="24"/>
        </w:rPr>
        <w:t xml:space="preserve">. Visų pirma, mokyklų kokybė turi lemiamą reikšmę jaunimo ateities perspektyvoms. Mokyklos padeda pamatus būsimai profesinei sėkmei. Jos teikia išskirtinę socialinio judumo galimybę. Tačiau taip yra ne visada. Naujieji PISA duomenys yra pavojaus signalas Europai: gamtos mokslus prastai besimokančių mokinių dalis išaugo nuo 16,6 proc. 2012 m. iki 20,6 proc. 2015 m., o 11 proc. mokinių mokyklos nebaigia ir neįgyja jokios formalios kvalifikacijos. Jeigu tokie mokyklinio ugdymo trūkumai nebus pašalinti, milijonai jaunuolių turės mažiau galimybių gyvenime. </w:t>
      </w:r>
    </w:p>
    <w:p>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Pagrindinis Europos ateities rūpestis yra pasiekti, kad aukštos kokybės švietimas taptų tikrove visiems jauniems žmonėms.</w:t>
      </w:r>
      <w:r>
        <w:rPr>
          <w:rFonts w:ascii="Times New Roman" w:hAnsi="Times New Roman"/>
          <w:noProof/>
          <w:color w:val="000000"/>
          <w:sz w:val="24"/>
        </w:rPr>
        <w:t xml:space="preserve"> 2017 m. balandžio mėn. diskusijoms skirtame dokumente dėl socialinio Europos aspekto</w:t>
      </w:r>
      <w:r>
        <w:rPr>
          <w:rFonts w:ascii="Times New Roman" w:hAnsi="Times New Roman"/>
          <w:noProof/>
          <w:sz w:val="24"/>
          <w:vertAlign w:val="superscript"/>
        </w:rPr>
        <w:footnoteReference w:id="60"/>
      </w:r>
      <w:r>
        <w:rPr>
          <w:rFonts w:ascii="Times New Roman" w:hAnsi="Times New Roman"/>
          <w:noProof/>
          <w:color w:val="000000"/>
          <w:sz w:val="24"/>
        </w:rPr>
        <w:t xml:space="preserve"> pažymima, kad</w:t>
      </w:r>
      <w:r>
        <w:rPr>
          <w:noProof/>
        </w:rPr>
        <w:t xml:space="preserve"> </w:t>
      </w:r>
      <w:r>
        <w:rPr>
          <w:rFonts w:ascii="Times New Roman" w:hAnsi="Times New Roman"/>
          <w:noProof/>
          <w:color w:val="000000"/>
          <w:sz w:val="24"/>
        </w:rPr>
        <w:t>švietimas yra vienas iš veiksnių, nuo kurių vis labiau priklausys mūsų visuomenės ir ekonomikos ateitis; 2017 m. kovo 27 d. Romos deklaracijoje valstybės narės pasižadėjo dirbti siekdamos, kad būtų sukurta „</w:t>
      </w:r>
      <w:r>
        <w:rPr>
          <w:rFonts w:ascii="Times New Roman" w:hAnsi="Times New Roman"/>
          <w:i/>
          <w:noProof/>
          <w:color w:val="000000"/>
          <w:sz w:val="24"/>
        </w:rPr>
        <w:t>socialinė Europa: &lt;…&gt; Sąjunga, kurioje jauni žmonės įgyja geriausią išsilavinimą bei gauna geriausią mokymą ir gali studijuoti bei rasti darbą visame žemyne</w:t>
      </w:r>
      <w:r>
        <w:rPr>
          <w:rFonts w:ascii="Times New Roman" w:hAnsi="Times New Roman"/>
          <w:noProof/>
          <w:color w:val="000000"/>
          <w:sz w:val="24"/>
        </w:rPr>
        <w:t>“</w:t>
      </w:r>
      <w:r>
        <w:rPr>
          <w:rStyle w:val="FootnoteReference"/>
          <w:rFonts w:ascii="Times New Roman" w:hAnsi="Times New Roman"/>
          <w:noProof/>
          <w:color w:val="000000"/>
          <w:sz w:val="24"/>
        </w:rPr>
        <w:footnoteReference w:id="61"/>
      </w:r>
      <w:r>
        <w:rPr>
          <w:noProof/>
        </w:rPr>
        <w:t>.</w:t>
      </w:r>
      <w:r>
        <w:rPr>
          <w:rFonts w:ascii="Times New Roman" w:hAnsi="Times New Roman"/>
          <w:noProof/>
          <w:color w:val="000000"/>
          <w:sz w:val="24"/>
        </w:rPr>
        <w:t xml:space="preserve"> </w:t>
      </w:r>
    </w:p>
    <w:p>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 xml:space="preserve">Bus dirbama remiantis bendru įsipareigojimu. </w:t>
      </w:r>
      <w:r>
        <w:rPr>
          <w:rFonts w:ascii="Times New Roman" w:hAnsi="Times New Roman"/>
          <w:noProof/>
          <w:color w:val="000000"/>
          <w:sz w:val="24"/>
        </w:rPr>
        <w:t>Mokyklinio ugdymo gerinimas turi tapti vienu svarbiausių prioritetų tiek valstybėms narėms, tiek ES, taigi dėl jo reikės glaudžiai bendradarbiauti. Valstybių narių užduotis yra reformuoti savo mokyklinio ugdymo sistemas. Komisija yra pasirengusi jas remti, tam panaudodama ES priemones ir procesus. Ypač Europos semestras yra patikrinta ir išbandyta reformų paskata. Kitą darbą, tokį kaip savanoriškas bendradarbiavimas pagal strateginę programą „ET 2020“, reikėtų toliau plėtoti, kad jo pridėtinė vertė valstybėms narėms būtų kuo didesnė. Visų pirma, siekiant padėti valstybėms narėms priimti patikima informacija ir įrodymais grindžiamus politikos sprendimus, reikėtų visapusiškai naudotis Švietimo ir mokymo stebėsenos biuleteniu. Būsimam bendradarbiavimui svarbu atsakyti į esminį klausimą – ar reikėtų nustatyti platesnio užmojo lyginamąjį standartą kovojant su mokyklos nebaigimo reiškiniu. Kitas pagrindinis klausimas – kaip geriausiai pasinaudoti „Erasmus+“ siekiant, kad daugiau jaunų europiečių įgytų mokymosi užsienyje patirties, ir padidinti turimus pajėgumus remti mokyklų ir mokytojų rengimo pažangą ir naujoves.</w:t>
      </w:r>
    </w:p>
    <w:p>
      <w:pPr>
        <w:spacing w:line="240" w:lineRule="auto"/>
        <w:jc w:val="both"/>
        <w:rPr>
          <w:rFonts w:ascii="Times New Roman" w:hAnsi="Times New Roman" w:cs="Times New Roman"/>
          <w:iCs/>
          <w:noProof/>
          <w:color w:val="000000"/>
          <w:sz w:val="24"/>
          <w:szCs w:val="24"/>
        </w:rPr>
      </w:pPr>
      <w:r>
        <w:rPr>
          <w:rFonts w:ascii="Times New Roman" w:hAnsi="Times New Roman"/>
          <w:noProof/>
          <w:color w:val="000000"/>
          <w:sz w:val="24"/>
        </w:rPr>
        <w:t>Sėkmė priklausys nuo to, ar bus glaudžiai bendradarbiaujama. 2018 m. pradžioje planuojamame surengti aukščiausiojo lygio susitikime švietimo tema bus svarstomas švietimo teisingumo klausimas ir kaip reikėtų geriau paremti palankių sąlygų neturinčias grupes švietimo sistemoje. Tai bus pirma proga apsvarstyti būsimą Europos bendradarbiavimą švietimo ir ypač mokyklinio ugdymo srityje.</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818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940, 941</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381</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250</w:t>
      </w:r>
    </w:p>
  </w:footnote>
  <w:footnote w:id="5">
    <w:p>
      <w:pPr>
        <w:pStyle w:val="Default"/>
      </w:pPr>
      <w:r>
        <w:rPr>
          <w:rStyle w:val="FootnoteReference"/>
          <w:sz w:val="20"/>
        </w:rPr>
        <w:footnoteRef/>
      </w:r>
      <w:r>
        <w:rPr>
          <w:sz w:val="20"/>
        </w:rPr>
        <w:t xml:space="preserve"> </w:t>
      </w:r>
      <w:r>
        <w:rPr>
          <w:color w:val="auto"/>
          <w:sz w:val="20"/>
        </w:rPr>
        <w:t>Europos Vadovų Tarybos 2016 m. gruodžio 15 d. priimtos išvados.</w:t>
      </w:r>
    </w:p>
  </w:footnote>
  <w:footnote w:id="6">
    <w:p>
      <w:pPr>
        <w:pStyle w:val="FootnoteText"/>
        <w:rPr>
          <w:rFonts w:ascii="Times New Roman" w:hAnsi="Times New Roman" w:cs="Times New Roman"/>
        </w:rPr>
      </w:pPr>
      <w:r>
        <w:rPr>
          <w:rStyle w:val="FootnoteReference"/>
        </w:rPr>
        <w:footnoteRef/>
      </w:r>
      <w:r>
        <w:t xml:space="preserve"> </w:t>
      </w:r>
      <w:r>
        <w:rPr>
          <w:rFonts w:ascii="Times New Roman" w:hAnsi="Times New Roman"/>
        </w:rPr>
        <w:t>http://www.un.org/sustainabledevelopment/education/</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Šiame komunikate išdėstyti uždaviniai skirti tiek bendrajam lavinimui, tiek mokykliniam profesiniam mokymui.</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(2016). </w:t>
      </w:r>
      <w:r>
        <w:rPr>
          <w:rFonts w:ascii="Times New Roman" w:hAnsi="Times New Roman"/>
          <w:i/>
        </w:rPr>
        <w:t>PISA 2015: EU performance and initial conclusions regarding education policies in Europe</w:t>
      </w:r>
      <w:r>
        <w:rPr>
          <w:rFonts w:ascii="Times New Roman" w:hAnsi="Times New Roman"/>
        </w:rPr>
        <w:t xml:space="preserve"> („PISA: ES rezultatai ir pradinės išvados dėl švietimo politikos Europoje“). Prastai besimokančių gamtos mokslų dalykus mokinių dalis nuo 2012 iki 2015 m. padidėjo nuo 16,6 iki 20,6 proc., prastai skaitančių – nuo 17,8 iki 19,7 proc., o prastai besimokančių matematiką mokinių dalis liko nepakitusi, apie 22 proc. Geriausiai besimokančių gamtos mokslus mokinių dalis Singapūre yra 24 proc., Japonijoje – 15 proc. Jokia ES valstybė narė tokių rezultatų nepasiekė.</w:t>
      </w:r>
    </w:p>
  </w:footnote>
  <w:footnote w:id="9">
    <w:p>
      <w:pPr>
        <w:pStyle w:val="FootnoteText"/>
      </w:pPr>
      <w:r>
        <w:rPr>
          <w:rStyle w:val="FootnoteReference"/>
          <w:rFonts w:ascii="Times New Roman" w:hAnsi="Times New Roman"/>
        </w:rPr>
        <w:footnoteRef/>
      </w:r>
      <w:r>
        <w:rPr>
          <w:rFonts w:ascii="Times New Roman" w:hAnsi="Times New Roman"/>
        </w:rPr>
        <w:t xml:space="preserve"> Europos Komisija (2015). </w:t>
      </w:r>
      <w:r>
        <w:rPr>
          <w:rFonts w:ascii="Times New Roman" w:hAnsi="Times New Roman"/>
          <w:i/>
        </w:rPr>
        <w:t>Being young in Europe today - digital world</w:t>
      </w:r>
      <w:r>
        <w:rPr>
          <w:rFonts w:ascii="Times New Roman" w:hAnsi="Times New Roman"/>
        </w:rPr>
        <w:t xml:space="preserve"> („Šių dienų Europos jaunimas skaitmeniniame pasaulyje“).</w:t>
      </w:r>
    </w:p>
  </w:footnote>
  <w:footnote w:id="10">
    <w:p>
      <w:pPr>
        <w:pStyle w:val="FootnoteText"/>
      </w:pPr>
      <w:r>
        <w:rPr>
          <w:rStyle w:val="FootnoteReference"/>
          <w:rFonts w:ascii="Times New Roman" w:hAnsi="Times New Roman"/>
        </w:rPr>
        <w:footnoteRef/>
      </w:r>
      <w:r>
        <w:rPr>
          <w:rFonts w:ascii="Times New Roman" w:hAnsi="Times New Roman"/>
        </w:rPr>
        <w:t xml:space="preserve"> EBPO Tarptautinio moksleivių vertinimo programos (PISA) 2015 m. tyrimas.</w:t>
      </w:r>
    </w:p>
  </w:footnote>
  <w:footnote w:id="11">
    <w:p>
      <w:pPr>
        <w:pStyle w:val="FootnoteText"/>
      </w:pPr>
      <w:r>
        <w:rPr>
          <w:rStyle w:val="FootnoteReference"/>
        </w:rPr>
        <w:footnoteRef/>
      </w:r>
      <w:r>
        <w:t xml:space="preserve"> </w:t>
      </w:r>
      <w:r>
        <w:rPr>
          <w:rFonts w:ascii="Times New Roman" w:hAnsi="Times New Roman"/>
        </w:rPr>
        <w:t xml:space="preserve">Europos Komisija (2016). </w:t>
      </w:r>
      <w:r>
        <w:rPr>
          <w:rFonts w:ascii="Times New Roman" w:hAnsi="Times New Roman"/>
          <w:i/>
        </w:rPr>
        <w:t>2016 m. švietimo ir mokymo stebėsenos biuletenis</w:t>
      </w:r>
      <w:r>
        <w:rPr>
          <w:rFonts w:ascii="Times New Roman" w:hAnsi="Times New Roman"/>
        </w:rPr>
        <w:t>.</w:t>
      </w:r>
    </w:p>
  </w:footnote>
  <w:footnote w:id="1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Europos skaitmeninės pažangos ataskaita (EDPR), 2017 m., SWD(2017) 160.</w:t>
      </w:r>
    </w:p>
  </w:footnote>
  <w:footnote w:id="13">
    <w:p>
      <w:pPr>
        <w:pStyle w:val="FootnoteText"/>
        <w:rPr>
          <w:lang w:val="pt-PT"/>
        </w:rPr>
      </w:pPr>
      <w:r>
        <w:rPr>
          <w:rStyle w:val="FootnoteReference"/>
          <w:rFonts w:ascii="Times New Roman" w:hAnsi="Times New Roman"/>
        </w:rPr>
        <w:footnoteRef/>
      </w:r>
      <w:r>
        <w:t xml:space="preserve"> </w:t>
      </w:r>
      <w:r>
        <w:rPr>
          <w:rFonts w:ascii="Times New Roman" w:hAnsi="Times New Roman"/>
        </w:rPr>
        <w:t>COM(2017) 240, COM(2017) 206.</w:t>
      </w:r>
    </w:p>
  </w:footnote>
  <w:footnote w:id="1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https://ec.europa.eu/jrc/en/digcomporg/selfie-tool</w:t>
        </w:r>
      </w:hyperlink>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2006/962/EB</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EACEA, „Eurydice“ (2016). </w:t>
      </w:r>
      <w:r>
        <w:rPr>
          <w:rFonts w:ascii="Times New Roman" w:hAnsi="Times New Roman"/>
          <w:i/>
        </w:rPr>
        <w:t>Entrepreneurship Education at School</w:t>
      </w:r>
      <w:r>
        <w:rPr>
          <w:rFonts w:ascii="Times New Roman" w:hAnsi="Times New Roman"/>
        </w:rPr>
        <w:t xml:space="preserve"> („Verslumo ugdymas mokykloje“).</w:t>
      </w:r>
      <w:r>
        <w:rPr>
          <w:rFonts w:ascii="Times New Roman" w:eastAsiaTheme="minorHAnsi" w:hAnsi="Times New Roman"/>
          <w:sz w:val="22"/>
        </w:rPr>
        <w:t xml:space="preserve"> </w:t>
      </w:r>
      <w:r>
        <w:rPr>
          <w:rFonts w:ascii="Times New Roman" w:hAnsi="Times New Roman"/>
        </w:rPr>
        <w:t xml:space="preserve">Taip pat žr. verslumo gebėjimų platformą „EntreComp“: </w:t>
      </w:r>
      <w:hyperlink r:id="rId2">
        <w:r>
          <w:rPr>
            <w:rStyle w:val="Hyperlink"/>
            <w:rFonts w:ascii="Times New Roman" w:hAnsi="Times New Roman"/>
          </w:rPr>
          <w:t>https://ec.europa.eu/jrc/en/entrecomp</w:t>
        </w:r>
      </w:hyperlink>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(2015). </w:t>
      </w:r>
      <w:r>
        <w:rPr>
          <w:rFonts w:ascii="Times New Roman" w:hAnsi="Times New Roman"/>
          <w:i/>
        </w:rPr>
        <w:t>Science Education for Responsible Citizenship</w:t>
      </w:r>
      <w:r>
        <w:rPr>
          <w:rFonts w:ascii="Times New Roman" w:hAnsi="Times New Roman"/>
        </w:rPr>
        <w:t xml:space="preserve"> („Mokslinis ugdymas siekiant atsakingo pilietiškumo“).</w:t>
      </w:r>
    </w:p>
  </w:footnote>
  <w:footnote w:id="1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(2013). </w:t>
      </w:r>
      <w:r>
        <w:rPr>
          <w:rFonts w:ascii="Times New Roman" w:hAnsi="Times New Roman"/>
          <w:i/>
        </w:rPr>
        <w:t>Survey of Schools:</w:t>
      </w:r>
      <w:r>
        <w:rPr>
          <w:rFonts w:ascii="Times New Roman" w:hAnsi="Times New Roman"/>
        </w:rPr>
        <w:t xml:space="preserve"> </w:t>
      </w:r>
      <w:r>
        <w:rPr>
          <w:rFonts w:ascii="Times New Roman" w:hAnsi="Times New Roman"/>
          <w:i/>
        </w:rPr>
        <w:t>ICT in Education Benchmarking Access, Use and Attitudes to Technology in Europe‘s schools</w:t>
      </w:r>
      <w:r>
        <w:rPr>
          <w:rFonts w:ascii="Times New Roman" w:hAnsi="Times New Roman"/>
        </w:rPr>
        <w:t xml:space="preserve"> („Mokyklų tyrimas: IRT švietime. Lyginamasis technologijų prieinamumo, naudojimo ir požiūrių į jas Europos mokyklose vertinimas“).</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(2015). </w:t>
      </w:r>
      <w:r>
        <w:rPr>
          <w:rFonts w:ascii="Times New Roman" w:hAnsi="Times New Roman"/>
          <w:i/>
        </w:rPr>
        <w:t>Language teaching and learning in multilingual classrooms</w:t>
      </w:r>
      <w:r>
        <w:rPr>
          <w:rFonts w:ascii="Times New Roman" w:hAnsi="Times New Roman"/>
        </w:rPr>
        <w:t xml:space="preserve"> („Kalbų mokymas ir mokymasis daugiakalbėse klasėse“).</w:t>
      </w:r>
      <w:r>
        <w:t xml:space="preserve"> </w:t>
      </w:r>
      <w:r>
        <w:rPr>
          <w:rFonts w:ascii="Times New Roman" w:hAnsi="Times New Roman"/>
        </w:rPr>
        <w:t>Komisija pagal „Horizontas 2020“ 2018–2020 m. darbo programą numato remti mokslinių tyrimų projektus, susijusius su migrantų vaikų integravimu į ES švietimo sistemas (siekiama priimti 2017 m. spalio mėn.).</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Jungtinės Tautos, Neįgaliųjų teisių komitetas (2015). Baigiamosios pastabos dėl pradinės Europos Sąjungos ataskaitos, CRPD/C/EU/CO/1, 2015 m. spalio 2 d.</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savo Trečiųjų šalių piliečių integravimo veiksmų plane pasiūlė keletą paramos priemonių migrantų vaikų švietimo ir mokymo srityje. COM(2016) 377 </w:t>
      </w:r>
      <w:r>
        <w:rPr>
          <w:rFonts w:ascii="Times New Roman" w:hAnsi="Times New Roman"/>
          <w:i/>
        </w:rPr>
        <w:t>final</w:t>
      </w:r>
      <w:r>
        <w:rPr>
          <w:rFonts w:ascii="Times New Roman" w:hAnsi="Times New Roman"/>
        </w:rPr>
        <w:t xml:space="preserve">. </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INCLUDE-ED </w:t>
      </w:r>
      <w:hyperlink r:id="rId3">
        <w:r>
          <w:rPr>
            <w:rStyle w:val="Hyperlink"/>
            <w:rFonts w:ascii="Times New Roman" w:hAnsi="Times New Roman"/>
          </w:rPr>
          <w:t>http://creaub.info/included</w:t>
        </w:r>
      </w:hyperlink>
      <w:r>
        <w:rPr>
          <w:rFonts w:ascii="Times New Roman" w:hAnsi="Times New Roman"/>
        </w:rPr>
        <w:t>; Europos profesinio orientavimo visą gyvenimą tinklas (www.elgpn.eu).</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(2015). </w:t>
      </w:r>
      <w:r>
        <w:rPr>
          <w:rFonts w:ascii="Times New Roman" w:hAnsi="Times New Roman"/>
          <w:i/>
        </w:rPr>
        <w:t>Science Education for Responsible Citizenship.</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RESL.eu</w:t>
      </w:r>
      <w:r>
        <w:rPr>
          <w:rFonts w:ascii="Times New Roman" w:hAnsi="Times New Roman"/>
        </w:rPr>
        <w:t xml:space="preserve"> – mokyklos nebaigimo problemos mažinimas Europoje, www.uantwerpen.be/en/projects/resl-eu/.</w:t>
      </w:r>
    </w:p>
  </w:footnote>
  <w:footnote w:id="25">
    <w:p>
      <w:pPr>
        <w:pStyle w:val="FootnoteText"/>
        <w:jc w:val="both"/>
        <w:rPr>
          <w:rFonts w:eastAsia="Times New Roman"/>
        </w:rPr>
      </w:pPr>
      <w:r>
        <w:rPr>
          <w:rStyle w:val="FootnoteReference"/>
          <w:rFonts w:ascii="Times New Roman" w:hAnsi="Times New Roman"/>
        </w:rPr>
        <w:footnoteRef/>
      </w:r>
      <w:r>
        <w:rPr>
          <w:rFonts w:ascii="Times New Roman" w:hAnsi="Times New Roman"/>
        </w:rPr>
        <w:t xml:space="preserve"> EBPO (2017). </w:t>
      </w:r>
      <w:r>
        <w:rPr>
          <w:rFonts w:ascii="Times New Roman" w:hAnsi="Times New Roman"/>
          <w:i/>
        </w:rPr>
        <w:t>PISA 2015 (Volume III)</w:t>
      </w:r>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Ttofi, M. M., Farrington, D. P. (2011). </w:t>
      </w:r>
      <w:r>
        <w:rPr>
          <w:rFonts w:ascii="Times New Roman" w:hAnsi="Times New Roman"/>
          <w:i/>
        </w:rPr>
        <w:t>Effectiveness of school-based programs to reduce bullying: a systematic and meta-analytic review.</w:t>
      </w:r>
      <w:r>
        <w:rPr>
          <w:rFonts w:ascii="Times New Roman" w:hAnsi="Times New Roman"/>
        </w:rPr>
        <w:t xml:space="preserve"> </w:t>
      </w:r>
      <w:r>
        <w:rPr>
          <w:rFonts w:ascii="Times New Roman" w:hAnsi="Times New Roman"/>
          <w:i/>
        </w:rPr>
        <w:t>Journal of Experimental Criminology</w:t>
      </w:r>
      <w:r>
        <w:rPr>
          <w:rFonts w:ascii="Times New Roman" w:hAnsi="Times New Roman"/>
        </w:rPr>
        <w:t>. 7 tomas, Nr. 1, p. 27–56.</w:t>
      </w:r>
    </w:p>
  </w:footnote>
  <w:footnote w:id="27">
    <w:p>
      <w:pPr>
        <w:pStyle w:val="FootnoteText"/>
      </w:pPr>
      <w:r>
        <w:rPr>
          <w:rStyle w:val="FootnoteReference"/>
          <w:rFonts w:ascii="Times New Roman" w:hAnsi="Times New Roman"/>
        </w:rPr>
        <w:footnoteRef/>
      </w:r>
      <w:r>
        <w:t xml:space="preserve"> </w:t>
      </w:r>
      <w:r>
        <w:rPr>
          <w:rFonts w:ascii="Times New Roman" w:hAnsi="Times New Roman"/>
        </w:rPr>
        <w:t xml:space="preserve">Europos Komisija (2015). </w:t>
      </w:r>
      <w:r>
        <w:rPr>
          <w:rFonts w:ascii="Times New Roman" w:hAnsi="Times New Roman"/>
          <w:i/>
        </w:rPr>
        <w:t>Visuminis požiūris į mokyklą siekiant mokyklos nebaigusių asmenų skaičiaus mažinimo.</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http://www.schooleducationgateway.eu/lt/pub/resources/toolkitsforschools.htm</w:t>
      </w:r>
    </w:p>
  </w:footnote>
  <w:footnote w:id="29">
    <w:p>
      <w:pPr>
        <w:pStyle w:val="FootnoteText"/>
      </w:pPr>
      <w:r>
        <w:rPr>
          <w:rStyle w:val="FootnoteReference"/>
        </w:rPr>
        <w:footnoteRef/>
      </w:r>
      <w:r>
        <w:t xml:space="preserve"> </w:t>
      </w:r>
      <w:r>
        <w:rPr>
          <w:rFonts w:ascii="Times New Roman" w:hAnsi="Times New Roman"/>
        </w:rPr>
        <w:t>Minint 30-ąsias metines veiksmų programos „Erasmus“ metines 2017 m. iniciatyva „Move2Learn Learn2Move“ jaunimui, veikliam „eTwinning“ projektų srityje, kaip viena iš mokymosi patirčių suteikiama galimybė keliauti ir susitikti su kolegomis.</w:t>
      </w:r>
      <w:r>
        <w:rPr>
          <w:rFonts w:asciiTheme="minorHAnsi" w:eastAsiaTheme="minorHAnsi" w:hAnsiTheme="minorHAnsi" w:cstheme="minorBidi"/>
          <w:sz w:val="22"/>
        </w:rPr>
        <w:t xml:space="preserve"> </w:t>
      </w:r>
      <w:r>
        <w:rPr>
          <w:rFonts w:ascii="Times New Roman" w:hAnsi="Times New Roman"/>
        </w:rPr>
        <w:t>Komisija įvertins 2017 m. iniciatyvą ir gali, nedarydama neigiamo poveikio programos „Erasmus +“ biudžetui, naudodamasi vertinimo duomenimis apsvarstyti panašios iniciatyvos galimybes ateityje.</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www.etwinning.net</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(2016), </w:t>
      </w:r>
      <w:r>
        <w:rPr>
          <w:rFonts w:ascii="Times New Roman" w:hAnsi="Times New Roman"/>
          <w:i/>
        </w:rPr>
        <w:t>Low-performing students: why they fall behind and how to help them succeed</w:t>
      </w:r>
      <w:r>
        <w:rPr>
          <w:rFonts w:ascii="Times New Roman" w:hAnsi="Times New Roman"/>
        </w:rPr>
        <w:t>.</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Cunha, F. et al. (2006). </w:t>
      </w:r>
      <w:r>
        <w:rPr>
          <w:rFonts w:ascii="Times New Roman" w:hAnsi="Times New Roman"/>
          <w:i/>
        </w:rPr>
        <w:t>Interpreting the Evidence on Life Cycle Skill Formation</w:t>
      </w:r>
      <w:r>
        <w:rPr>
          <w:rFonts w:ascii="Times New Roman" w:hAnsi="Times New Roman"/>
        </w:rPr>
        <w:t xml:space="preserve">. </w:t>
      </w:r>
      <w:r>
        <w:rPr>
          <w:rFonts w:ascii="Times New Roman" w:hAnsi="Times New Roman"/>
          <w:i/>
        </w:rPr>
        <w:t>Handbook of the Economics of Education</w:t>
      </w:r>
      <w:r>
        <w:rPr>
          <w:rFonts w:ascii="Times New Roman" w:hAnsi="Times New Roman"/>
        </w:rPr>
        <w:t xml:space="preserve">, 1 tomas. Amsterdamas, </w:t>
      </w:r>
      <w:r>
        <w:rPr>
          <w:rFonts w:ascii="Times New Roman" w:hAnsi="Times New Roman"/>
          <w:i/>
        </w:rPr>
        <w:t>North-Holland</w:t>
      </w:r>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Pagal strateginę programą „ET 2020“ Taryba nustatė ES lyginamąjį standartą: ankstyvojo ugdymo ir priežiūros veikloje turi dalyvauti bent 95 proc. vaikų nuo 4 metų iki privalomojo mokyklinio amžiaus pradžios. 2014 m. dalyvavimas ES mastu buvo 94,3 proc.</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Tinklas „Eurydice“ (2014). </w:t>
      </w:r>
      <w:r>
        <w:rPr>
          <w:rFonts w:ascii="Times New Roman" w:hAnsi="Times New Roman"/>
          <w:i/>
        </w:rPr>
        <w:t>Policy Brief Early Childhood Education and Care</w:t>
      </w:r>
      <w:r>
        <w:rPr>
          <w:rFonts w:ascii="Times New Roman" w:hAnsi="Times New Roman"/>
        </w:rPr>
        <w:t xml:space="preserve"> („Ankstyvojo vaikų ugdymo ir priežiūros politikos santrauka“).</w:t>
      </w:r>
    </w:p>
  </w:footnote>
  <w:footnote w:id="35">
    <w:p>
      <w:pPr>
        <w:pStyle w:val="FootnoteText"/>
        <w:jc w:val="both"/>
      </w:pPr>
      <w:r>
        <w:rPr>
          <w:rStyle w:val="FootnoteReference"/>
          <w:rFonts w:ascii="Times New Roman" w:hAnsi="Times New Roman"/>
        </w:rPr>
        <w:footnoteRef/>
      </w:r>
      <w:r>
        <w:rPr>
          <w:rFonts w:ascii="Times New Roman" w:hAnsi="Times New Roman"/>
        </w:rPr>
        <w:t xml:space="preserve"> Europos Komisija (2014). </w:t>
      </w:r>
      <w:r>
        <w:rPr>
          <w:rFonts w:ascii="Times New Roman" w:hAnsi="Times New Roman"/>
          <w:i/>
        </w:rPr>
        <w:t>Proposal for key principles of a Quality Framework for Early Childhood Education and Care</w:t>
      </w:r>
      <w:r>
        <w:rPr>
          <w:rFonts w:ascii="Times New Roman" w:hAnsi="Times New Roman"/>
        </w:rPr>
        <w:t xml:space="preserve"> („Pasiūlymas dėl pagrindinių ankstyvojo ugdymo ir priežiūros kokybės sistemos principų“). Ankstyvojo ugdymo ir priežiūros darbo grupės ataskaita.</w:t>
      </w:r>
    </w:p>
  </w:footnote>
  <w:footnote w:id="36">
    <w:p>
      <w:pPr>
        <w:pStyle w:val="FootnoteText"/>
      </w:pPr>
      <w:r>
        <w:rPr>
          <w:rStyle w:val="FootnoteReference"/>
          <w:rFonts w:ascii="Times New Roman" w:hAnsi="Times New Roman"/>
        </w:rPr>
        <w:footnoteRef/>
      </w:r>
      <w:r>
        <w:t xml:space="preserve"> </w:t>
      </w:r>
      <w:hyperlink r:id="rId4">
        <w:r>
          <w:rPr>
            <w:rStyle w:val="Hyperlink"/>
            <w:rFonts w:ascii="Times New Roman" w:hAnsi="Times New Roman"/>
          </w:rPr>
          <w:t>http://eacea.ec.europa.eu/education/eurydice/index_en.php</w:t>
        </w:r>
      </w:hyperlink>
    </w:p>
  </w:footnote>
  <w:footnote w:id="37">
    <w:p>
      <w:pPr>
        <w:pStyle w:val="FootnoteText"/>
      </w:pPr>
      <w:r>
        <w:rPr>
          <w:rStyle w:val="FootnoteReference"/>
          <w:rFonts w:ascii="Times New Roman" w:hAnsi="Times New Roman"/>
        </w:rPr>
        <w:footnoteRef/>
      </w:r>
      <w:r>
        <w:rPr>
          <w:rFonts w:ascii="Times New Roman" w:hAnsi="Times New Roman"/>
        </w:rPr>
        <w:t xml:space="preserve"> Europos Komisija (2013). </w:t>
      </w:r>
      <w:r>
        <w:rPr>
          <w:rFonts w:ascii="Times New Roman" w:hAnsi="Times New Roman"/>
          <w:i/>
        </w:rPr>
        <w:t>Study on Policy Measures to improve the Attractiveness of the Teaching Profession in Europe</w:t>
      </w:r>
      <w:r>
        <w:rPr>
          <w:rFonts w:ascii="Times New Roman" w:hAnsi="Times New Roman"/>
        </w:rPr>
        <w:t xml:space="preserve"> („Politikos priemonių, kuriomis siekiama didinti mokytojo profesijos patrauklumą Europoje, tyrimas“).</w:t>
      </w:r>
    </w:p>
  </w:footnote>
  <w:footnote w:id="38">
    <w:p>
      <w:pPr>
        <w:pStyle w:val="FootnoteText"/>
      </w:pPr>
      <w:r>
        <w:rPr>
          <w:rStyle w:val="FootnoteReference"/>
          <w:rFonts w:ascii="Times New Roman" w:hAnsi="Times New Roman"/>
        </w:rPr>
        <w:footnoteRef/>
      </w:r>
      <w:r>
        <w:t xml:space="preserve"> </w:t>
      </w:r>
      <w:r>
        <w:rPr>
          <w:rFonts w:ascii="Times New Roman" w:hAnsi="Times New Roman"/>
        </w:rPr>
        <w:t xml:space="preserve">Europos Komisija, EACEA, „Eurydice“ (2013). </w:t>
      </w:r>
      <w:r>
        <w:rPr>
          <w:rFonts w:ascii="Times New Roman" w:hAnsi="Times New Roman"/>
          <w:i/>
        </w:rPr>
        <w:t>Pagrindiniai duomenys apie Europos mokytojus ir mokyklų vadovus.</w:t>
      </w:r>
    </w:p>
  </w:footnote>
  <w:footnote w:id="39">
    <w:p>
      <w:pPr>
        <w:pStyle w:val="FootnoteText"/>
        <w:rPr>
          <w:rFonts w:ascii="Times New Roman" w:hAnsi="Times New Roman" w:cs="Times New Roman"/>
          <w:lang w:val="nn-NO"/>
        </w:rPr>
      </w:pPr>
      <w:r>
        <w:rPr>
          <w:rStyle w:val="FootnoteReference"/>
          <w:rFonts w:ascii="Times New Roman" w:hAnsi="Times New Roman"/>
        </w:rPr>
        <w:footnoteRef/>
      </w:r>
      <w:r>
        <w:rPr>
          <w:rFonts w:ascii="Times New Roman" w:hAnsi="Times New Roman"/>
        </w:rPr>
        <w:t xml:space="preserve"> OECD (2016). </w:t>
      </w:r>
      <w:r>
        <w:rPr>
          <w:rFonts w:ascii="Times New Roman" w:hAnsi="Times New Roman"/>
          <w:i/>
        </w:rPr>
        <w:t>Education at a Glance 2016: OECD indicators. Data for 22 EU Member States</w:t>
      </w:r>
      <w:r>
        <w:rPr>
          <w:rFonts w:ascii="Times New Roman" w:hAnsi="Times New Roman"/>
        </w:rPr>
        <w:t xml:space="preserve"> („2016 m. švietimo apžvalga. EBPO rodikliai. 22 ES valstybių narių duomenys“). </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(2013), ten pat.</w:t>
      </w:r>
    </w:p>
  </w:footnote>
  <w:footnote w:id="4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EBPO (2014). </w:t>
      </w:r>
      <w:r>
        <w:rPr>
          <w:rFonts w:ascii="Times New Roman" w:hAnsi="Times New Roman"/>
          <w:i/>
        </w:rPr>
        <w:t>TALIS 2013 Results: An International Perspective on Teaching and Learning</w:t>
      </w:r>
      <w:r>
        <w:rPr>
          <w:rFonts w:ascii="Times New Roman" w:hAnsi="Times New Roman"/>
        </w:rPr>
        <w:t xml:space="preserve"> („TALIS tyrimo 2013 m. rezultatai: tarptautinė mokymo ir mokymosi perspektyva“).</w:t>
      </w:r>
    </w:p>
  </w:footnote>
  <w:footnote w:id="4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The Teaching Profession in Europe</w:t>
      </w:r>
      <w:r>
        <w:rPr>
          <w:rFonts w:ascii="Times New Roman" w:hAnsi="Times New Roman"/>
        </w:rPr>
        <w:t xml:space="preserve"> (2015). </w:t>
      </w:r>
    </w:p>
  </w:footnote>
  <w:footnote w:id="4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EACEA, „Eurydice“ (2015). </w:t>
      </w:r>
      <w:r>
        <w:rPr>
          <w:rFonts w:ascii="Times New Roman" w:hAnsi="Times New Roman"/>
          <w:i/>
        </w:rPr>
        <w:t>The Teaching Profession in Europe:</w:t>
      </w:r>
      <w:r>
        <w:rPr>
          <w:rFonts w:ascii="Times New Roman" w:hAnsi="Times New Roman"/>
        </w:rPr>
        <w:t xml:space="preserve"> </w:t>
      </w:r>
      <w:r>
        <w:rPr>
          <w:rFonts w:ascii="Times New Roman" w:hAnsi="Times New Roman"/>
          <w:i/>
        </w:rPr>
        <w:t>Practices, Perceptions, and Policies</w:t>
      </w:r>
      <w:r>
        <w:rPr>
          <w:rFonts w:ascii="Times New Roman" w:hAnsi="Times New Roman"/>
        </w:rPr>
        <w:t xml:space="preserve"> („Mokytojo profesija Europoje: praktika, požiūriai ir politika“). </w:t>
      </w:r>
    </w:p>
  </w:footnote>
  <w:footnote w:id="4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(2010). </w:t>
      </w:r>
      <w:r>
        <w:rPr>
          <w:rFonts w:ascii="Times New Roman" w:hAnsi="Times New Roman"/>
          <w:i/>
        </w:rPr>
        <w:t>Developing coherent and system-wide induction programmes for beginning teachers: a handbook for policymakers</w:t>
      </w:r>
      <w:r>
        <w:rPr>
          <w:rFonts w:ascii="Times New Roman" w:hAnsi="Times New Roman"/>
        </w:rPr>
        <w:t xml:space="preserve"> („Nuoseklių įvadinių supažindinimo su darbu programų pradedantiesiems mokytojams rengimas visos sistemos mastu: vadovas politikos formuotojams“), SEC (2010) 538 </w:t>
      </w:r>
      <w:r>
        <w:rPr>
          <w:rFonts w:ascii="Times New Roman" w:hAnsi="Times New Roman"/>
          <w:i/>
        </w:rPr>
        <w:t>final</w:t>
      </w:r>
      <w:r>
        <w:rPr>
          <w:rFonts w:ascii="Times New Roman" w:hAnsi="Times New Roman"/>
        </w:rPr>
        <w:t xml:space="preserve">. </w:t>
      </w:r>
    </w:p>
  </w:footnote>
  <w:footnote w:id="4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EBPO (2014), ten pat. </w:t>
      </w:r>
    </w:p>
  </w:footnote>
  <w:footnote w:id="46">
    <w:p>
      <w:pPr>
        <w:pStyle w:val="FootnoteText"/>
      </w:pPr>
      <w:r>
        <w:rPr>
          <w:rStyle w:val="FootnoteReference"/>
          <w:rFonts w:ascii="Times New Roman" w:hAnsi="Times New Roman"/>
        </w:rPr>
        <w:footnoteRef/>
      </w:r>
      <w:r>
        <w:rPr>
          <w:rFonts w:ascii="Times New Roman" w:hAnsi="Times New Roman"/>
        </w:rPr>
        <w:t xml:space="preserve"> Ten pat.</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EBPO (2016). </w:t>
      </w:r>
      <w:r>
        <w:rPr>
          <w:rFonts w:ascii="Times New Roman" w:hAnsi="Times New Roman"/>
          <w:i/>
        </w:rPr>
        <w:t>School Leadership for Learning</w:t>
      </w:r>
      <w:r>
        <w:rPr>
          <w:rFonts w:ascii="Times New Roman" w:hAnsi="Times New Roman"/>
        </w:rPr>
        <w:t xml:space="preserve"> („Vadovavimas mokyklai siekiant geresnio mokymosi“).</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SWD(2012)0374.</w:t>
      </w:r>
    </w:p>
  </w:footnote>
  <w:footnote w:id="4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„VO-raad“, EFEE, ETUCE (2015). </w:t>
      </w:r>
      <w:r>
        <w:rPr>
          <w:rFonts w:ascii="Times New Roman" w:hAnsi="Times New Roman"/>
          <w:i/>
        </w:rPr>
        <w:t>Professional Autonomy, Accountability and Efficient Leadership and the role of employers‘ organisations, trade unions and school leaders</w:t>
      </w:r>
      <w:r>
        <w:rPr>
          <w:rFonts w:ascii="Times New Roman" w:hAnsi="Times New Roman"/>
        </w:rPr>
        <w:t xml:space="preserve"> („Profesinis savarankiškumas, atskaitomybė ir efektyvi lyderystė, taip pat darbdavių organizacijų, profesinių sąjungų ir mokyklų vadovų vaidmuo“).</w:t>
      </w:r>
    </w:p>
  </w:footnote>
  <w:footnote w:id="50">
    <w:p>
      <w:pPr>
        <w:pStyle w:val="FootnoteText"/>
        <w:jc w:val="both"/>
      </w:pPr>
      <w:r>
        <w:rPr>
          <w:rStyle w:val="FootnoteReference"/>
          <w:rFonts w:ascii="Times New Roman" w:hAnsi="Times New Roman"/>
        </w:rPr>
        <w:footnoteRef/>
      </w:r>
      <w:r>
        <w:rPr>
          <w:rFonts w:ascii="Times New Roman" w:hAnsi="Times New Roman"/>
        </w:rPr>
        <w:t xml:space="preserve"> Vykdant tarpusavio konsultavimą, nacionalinių administracijų profesionalai iš išorės teikia patarimų valstybei, prašančiai paramos savo švietimo reformai.</w:t>
      </w:r>
    </w:p>
  </w:footnote>
  <w:footnote w:id="5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EBPO (bendradarbiaujant su Europos Komisija) atlikta mokyklų išteklių peržiūra, </w:t>
      </w:r>
      <w:hyperlink r:id="rId5">
        <w:r>
          <w:rPr>
            <w:rStyle w:val="Hyperlink"/>
            <w:rFonts w:ascii="Times New Roman" w:hAnsi="Times New Roman"/>
          </w:rPr>
          <w:t>http://www.oecd.org/education/schoolresourcesreview.htm</w:t>
        </w:r>
      </w:hyperlink>
      <w:r>
        <w:t>.</w:t>
      </w:r>
    </w:p>
  </w:footnote>
  <w:footnote w:id="5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Eurostatas, bendra vyriausybių finansų statistika.</w:t>
      </w:r>
    </w:p>
  </w:footnote>
  <w:footnote w:id="5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(2016). </w:t>
      </w:r>
      <w:r>
        <w:rPr>
          <w:rFonts w:ascii="Times New Roman" w:hAnsi="Times New Roman"/>
          <w:i/>
        </w:rPr>
        <w:t>2016 m. švietimo ir mokymo stebėsenos biuletenis</w:t>
      </w:r>
      <w:r>
        <w:rPr>
          <w:rFonts w:ascii="Times New Roman" w:hAnsi="Times New Roman"/>
        </w:rPr>
        <w:t>.</w:t>
      </w:r>
    </w:p>
  </w:footnote>
  <w:footnote w:id="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https://ec.europa.eu/info/publications/2017-european-semester-country-reports_lt</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„ET 2020“ mokyklų darbo grupės tarpinė ataskaita dėl mokyklų raidos kokybės užtikrinimo, 2017 m. balandžio mėn.</w:t>
      </w:r>
    </w:p>
  </w:footnote>
  <w:footnote w:id="5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Hanushek, E.A., Link, S. ir Woessmann, L. (2013). </w:t>
      </w:r>
      <w:r>
        <w:rPr>
          <w:rFonts w:ascii="Times New Roman" w:hAnsi="Times New Roman"/>
          <w:i/>
        </w:rPr>
        <w:t>Does school autonomy make sense everywhere?</w:t>
      </w:r>
      <w:r>
        <w:rPr>
          <w:rFonts w:ascii="Times New Roman" w:hAnsi="Times New Roman"/>
        </w:rPr>
        <w:t xml:space="preserve"> </w:t>
      </w:r>
      <w:r>
        <w:rPr>
          <w:rFonts w:ascii="Times New Roman" w:hAnsi="Times New Roman"/>
          <w:i/>
        </w:rPr>
        <w:t>Panel estimates from PISA</w:t>
      </w:r>
      <w:r>
        <w:rPr>
          <w:rFonts w:ascii="Times New Roman" w:hAnsi="Times New Roman"/>
        </w:rPr>
        <w:t xml:space="preserve">, </w:t>
      </w:r>
      <w:r>
        <w:rPr>
          <w:rFonts w:ascii="Times New Roman" w:hAnsi="Times New Roman"/>
          <w:i/>
        </w:rPr>
        <w:t>Journal of Development Economics</w:t>
      </w:r>
      <w:r>
        <w:rPr>
          <w:rFonts w:ascii="Times New Roman" w:hAnsi="Times New Roman"/>
        </w:rPr>
        <w:t>, 104 tomas, p. 212–232.</w:t>
      </w:r>
    </w:p>
  </w:footnote>
  <w:footnote w:id="5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Europos Komisija (2015). </w:t>
      </w:r>
      <w:r>
        <w:rPr>
          <w:rFonts w:ascii="Times New Roman" w:hAnsi="Times New Roman"/>
          <w:i/>
        </w:rPr>
        <w:t>Comparative study on quality assurance in EU school education systems: Policies, procedures and practices. Final report</w:t>
      </w:r>
      <w:r>
        <w:rPr>
          <w:rFonts w:ascii="Times New Roman" w:hAnsi="Times New Roman"/>
        </w:rPr>
        <w:t xml:space="preserve"> („Kokybės užtikrinimo ES mokyklinio ugdymo sistemose lyginamasis tyrimas: politikos priemonės, procedūros ir praktika. Galutinė ataskaita“).</w:t>
      </w:r>
    </w:p>
  </w:footnote>
  <w:footnote w:id="58">
    <w:p>
      <w:pPr>
        <w:pStyle w:val="FootnoteText"/>
      </w:pPr>
      <w:r>
        <w:rPr>
          <w:rStyle w:val="FootnoteReference"/>
          <w:rFonts w:ascii="Times New Roman" w:hAnsi="Times New Roman"/>
        </w:rPr>
        <w:footnoteRef/>
      </w:r>
      <w:r>
        <w:rPr>
          <w:rFonts w:ascii="Times New Roman" w:hAnsi="Times New Roman"/>
        </w:rPr>
        <w:t xml:space="preserve"> „ET 2020“ mokyklų darbo grupės tarpinė ataskaita dėl moksleivių raidos tęstinumo ir perėjimo iš vieno lygio į kitą, 2017 m. balandžio mėn.</w:t>
      </w:r>
    </w:p>
  </w:footnote>
  <w:footnote w:id="59">
    <w:p>
      <w:pPr>
        <w:autoSpaceDE w:val="0"/>
        <w:autoSpaceDN w:val="0"/>
        <w:adjustRightInd w:val="0"/>
        <w:spacing w:after="0" w:line="240" w:lineRule="auto"/>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Tarybos išvados dėl kokybės užtikrinimo remiant švietimą ir mokymą, 2014 m. gegužės 20 d.</w:t>
      </w:r>
      <w:r>
        <w:rPr>
          <w:rFonts w:ascii="Times New Roman" w:hAnsi="Times New Roman"/>
        </w:rPr>
        <w:t xml:space="preserve"> </w:t>
      </w:r>
    </w:p>
  </w:footnote>
  <w:footnote w:id="6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206</w:t>
      </w:r>
    </w:p>
  </w:footnote>
  <w:footnote w:id="61">
    <w:p>
      <w:pPr>
        <w:pStyle w:val="FootnoteText"/>
      </w:pPr>
      <w:r>
        <w:rPr>
          <w:rStyle w:val="FootnoteReference"/>
          <w:rFonts w:ascii="Times New Roman" w:hAnsi="Times New Roman"/>
        </w:rPr>
        <w:footnoteRef/>
      </w:r>
      <w:r>
        <w:t xml:space="preserve"> </w:t>
      </w:r>
      <w:r>
        <w:rPr>
          <w:rFonts w:ascii="Times New Roman" w:hAnsi="Times New Roman"/>
        </w:rPr>
        <w:t>Romos deklaracija; 27 valstybių narių ir Europos Vadovų Tarybos, Europos Parlamento ir Europos Komisijos vadovų deklaracija, 2017 m. kovo 25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C8"/>
    <w:multiLevelType w:val="hybridMultilevel"/>
    <w:tmpl w:val="458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D30C0"/>
    <w:multiLevelType w:val="hybridMultilevel"/>
    <w:tmpl w:val="E80A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545BC"/>
    <w:multiLevelType w:val="hybridMultilevel"/>
    <w:tmpl w:val="5DFE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726844"/>
    <w:multiLevelType w:val="hybridMultilevel"/>
    <w:tmpl w:val="67DA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3E7C65"/>
    <w:multiLevelType w:val="hybridMultilevel"/>
    <w:tmpl w:val="170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E1088"/>
    <w:multiLevelType w:val="hybridMultilevel"/>
    <w:tmpl w:val="5824E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919E2"/>
    <w:multiLevelType w:val="hybridMultilevel"/>
    <w:tmpl w:val="02F82BF6"/>
    <w:lvl w:ilvl="0" w:tplc="0809000F">
      <w:start w:val="5"/>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45031F8"/>
    <w:multiLevelType w:val="hybridMultilevel"/>
    <w:tmpl w:val="680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148E7"/>
    <w:multiLevelType w:val="hybridMultilevel"/>
    <w:tmpl w:val="029A11B4"/>
    <w:lvl w:ilvl="0" w:tplc="08090001">
      <w:start w:val="1"/>
      <w:numFmt w:val="bullet"/>
      <w:lvlText w:val=""/>
      <w:lvlJc w:val="left"/>
      <w:pPr>
        <w:ind w:left="1077" w:hanging="360"/>
      </w:pPr>
      <w:rPr>
        <w:rFonts w:ascii="Symbol" w:hAnsi="Symbol" w:hint="default"/>
      </w:rPr>
    </w:lvl>
    <w:lvl w:ilvl="1" w:tplc="9CC84460">
      <w:numFmt w:val="bullet"/>
      <w:lvlText w:val="-"/>
      <w:lvlJc w:val="left"/>
      <w:pPr>
        <w:ind w:left="1797" w:hanging="360"/>
      </w:pPr>
      <w:rPr>
        <w:rFonts w:ascii="Times New Roman" w:eastAsia="Times New Roman" w:hAnsi="Times New Roman"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3DA769F5"/>
    <w:multiLevelType w:val="hybridMultilevel"/>
    <w:tmpl w:val="8FF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261E5"/>
    <w:multiLevelType w:val="hybridMultilevel"/>
    <w:tmpl w:val="96E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4C56C0"/>
    <w:multiLevelType w:val="hybridMultilevel"/>
    <w:tmpl w:val="7AE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D5471"/>
    <w:multiLevelType w:val="hybridMultilevel"/>
    <w:tmpl w:val="5624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DD3D47"/>
    <w:multiLevelType w:val="hybridMultilevel"/>
    <w:tmpl w:val="3800D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88511D"/>
    <w:multiLevelType w:val="hybridMultilevel"/>
    <w:tmpl w:val="0BF8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885EA6"/>
    <w:multiLevelType w:val="multilevel"/>
    <w:tmpl w:val="E4C4E826"/>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5"/>
  </w:num>
  <w:num w:numId="2">
    <w:abstractNumId w:val="5"/>
  </w:num>
  <w:num w:numId="3">
    <w:abstractNumId w:val="8"/>
  </w:num>
  <w:num w:numId="4">
    <w:abstractNumId w:val="6"/>
  </w:num>
  <w:num w:numId="5">
    <w:abstractNumId w:val="0"/>
  </w:num>
  <w:num w:numId="6">
    <w:abstractNumId w:val="10"/>
  </w:num>
  <w:num w:numId="7">
    <w:abstractNumId w:val="11"/>
  </w:num>
  <w:num w:numId="8">
    <w:abstractNumId w:val="1"/>
  </w:num>
  <w:num w:numId="9">
    <w:abstractNumId w:val="12"/>
  </w:num>
  <w:num w:numId="10">
    <w:abstractNumId w:val="7"/>
  </w:num>
  <w:num w:numId="11">
    <w:abstractNumId w:val="14"/>
  </w:num>
  <w:num w:numId="12">
    <w:abstractNumId w:val="13"/>
  </w:num>
  <w:num w:numId="13">
    <w:abstractNumId w:val="2"/>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CONFIDENCE" w:val=" "/>
    <w:docVar w:name="LW_CONST_RESTREINT_UE" w:val="RESTREINT UE"/>
    <w:docVar w:name="LW_CORRIGENDUM" w:val="&lt;UNUSED&gt;"/>
    <w:docVar w:name="LW_COVERPAGE_GUID" w:val="EC6BC3145A8245D1AE96993B172E174D"/>
    <w:docVar w:name="LW_CROSSREFERENCE" w:val="{SWD(2017) 165 final}"/>
    <w:docVar w:name="LW_DocType" w:val="NORMAL"/>
    <w:docVar w:name="LW_EMISSION" w:val="2017 05 30"/>
    <w:docVar w:name="LW_EMISSION_ISODATE" w:val="2017-05-30"/>
    <w:docVar w:name="LW_EMISSION_LOCATION" w:val="BRX"/>
    <w:docVar w:name="LW_EMISSION_PREFIX" w:val="Briuselis, "/>
    <w:docVar w:name="LW_EMISSION_SUFFIX" w:val=" "/>
    <w:docVar w:name="LW_ID_DOCTYPE_NONLW" w:val="CP-014"/>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7) 248"/>
    <w:docVar w:name="LW_REF.INTERNE" w:val="&lt;UNUSED&gt;"/>
    <w:docVar w:name="LW_SOUS.TITRE.OBJ.CP" w:val="&lt;UNUSED&gt;"/>
    <w:docVar w:name="LW_SUPERTITRE" w:val="&lt;UNUSED&gt;"/>
    <w:docVar w:name="LW_TITRE.OBJ.CP" w:val="Mokykl\u371? raida ir auk\u353?tos kokyb\u279?s mokymas gerai gyvenimo prad\u382?iai"/>
    <w:docVar w:name="LW_TYPE.DOC.CP" w:val="KOMISIJOS KOMUNIKATAS EUROPOS PARLAMENTUI, TARYBAI, EUROPOS EKONOMIKOS IR SOCIALINI\u370? REIKAL\u370? KOMITETUI IR REGION\u370? KOMITETU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f,Char,Footnote text,ft"/>
    <w:basedOn w:val="Normal"/>
    <w:link w:val="FootnoteTextChar"/>
    <w:uiPriority w:val="99"/>
    <w:qFormat/>
    <w:pPr>
      <w:spacing w:after="0" w:line="240" w:lineRule="auto"/>
    </w:pPr>
    <w:rPr>
      <w:rFonts w:ascii="Calibri" w:eastAsia="Calibri" w:hAnsi="Calibri" w:cs="Arial"/>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Calibri" w:eastAsia="Calibri" w:hAnsi="Calibri" w:cs="Arial"/>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BVI fnr,SUPERS,Ref,註腳內容"/>
    <w:basedOn w:val="DefaultParagraphFont"/>
    <w:link w:val="FootnotesymbolCarZchn"/>
    <w:uiPriority w:val="99"/>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jc w:val="both"/>
    </w:pPr>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ascii="Calibri" w:eastAsia="Calibri" w:hAnsi="Calibri" w:cs="Arial"/>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Pr>
      <w:rFonts w:ascii="Calibri" w:eastAsia="Calibri" w:hAnsi="Calibri" w:cs="Arial"/>
      <w:sz w:val="20"/>
      <w:szCs w:val="20"/>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536"/>
        <w:tab w:val="right" w:pos="9072"/>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Pr>
      <w:rFonts w:ascii="Calibri" w:eastAsia="Calibri" w:hAnsi="Calibri" w:cs="Arial"/>
    </w:rPr>
  </w:style>
  <w:style w:type="paragraph" w:styleId="Header">
    <w:name w:val="header"/>
    <w:basedOn w:val="Normal"/>
    <w:link w:val="HeaderChar"/>
    <w:uiPriority w:val="99"/>
    <w:pPr>
      <w:tabs>
        <w:tab w:val="center" w:pos="4536"/>
        <w:tab w:val="right" w:pos="9072"/>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Pr>
      <w:rFonts w:ascii="Calibri" w:eastAsia="Calibri" w:hAnsi="Calibri" w:cs="Arial"/>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autoSpaceDE w:val="0"/>
      <w:autoSpaceDN w:val="0"/>
      <w:adjustRightInd w:val="0"/>
      <w:spacing w:before="360" w:after="0" w:line="240" w:lineRule="auto"/>
      <w:ind w:left="-850" w:right="-850"/>
    </w:pPr>
    <w:rPr>
      <w:rFonts w:ascii="Times New Roman" w:eastAsia="Calibri" w:hAnsi="Times New Roman" w:cs="Times New Roman"/>
      <w:color w:val="000000"/>
      <w:sz w:val="24"/>
      <w:szCs w:val="24"/>
    </w:rPr>
  </w:style>
  <w:style w:type="character" w:customStyle="1" w:styleId="FooterCoverPageChar">
    <w:name w:val="Footer Cover Page Char"/>
    <w:basedOn w:val="DefaultParagraphFont"/>
    <w:link w:val="FooterCoverPage"/>
    <w:uiPriority w:val="99"/>
    <w:locked/>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eastAsia="Calibri" w:hAnsi="Times New Roman" w:cs="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f,Char,Footnote text,ft"/>
    <w:basedOn w:val="Normal"/>
    <w:link w:val="FootnoteTextChar"/>
    <w:uiPriority w:val="99"/>
    <w:qFormat/>
    <w:pPr>
      <w:spacing w:after="0" w:line="240" w:lineRule="auto"/>
    </w:pPr>
    <w:rPr>
      <w:rFonts w:ascii="Calibri" w:eastAsia="Calibri" w:hAnsi="Calibri" w:cs="Arial"/>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Calibri" w:eastAsia="Calibri" w:hAnsi="Calibri" w:cs="Arial"/>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BVI fnr,SUPERS,Ref,註腳內容"/>
    <w:basedOn w:val="DefaultParagraphFont"/>
    <w:link w:val="FootnotesymbolCarZchn"/>
    <w:uiPriority w:val="99"/>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jc w:val="both"/>
    </w:pPr>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ascii="Calibri" w:eastAsia="Calibri" w:hAnsi="Calibri" w:cs="Arial"/>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Pr>
      <w:rFonts w:ascii="Calibri" w:eastAsia="Calibri" w:hAnsi="Calibri" w:cs="Arial"/>
      <w:sz w:val="20"/>
      <w:szCs w:val="20"/>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536"/>
        <w:tab w:val="right" w:pos="9072"/>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Pr>
      <w:rFonts w:ascii="Calibri" w:eastAsia="Calibri" w:hAnsi="Calibri" w:cs="Arial"/>
    </w:rPr>
  </w:style>
  <w:style w:type="paragraph" w:styleId="Header">
    <w:name w:val="header"/>
    <w:basedOn w:val="Normal"/>
    <w:link w:val="HeaderChar"/>
    <w:uiPriority w:val="99"/>
    <w:pPr>
      <w:tabs>
        <w:tab w:val="center" w:pos="4536"/>
        <w:tab w:val="right" w:pos="9072"/>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Pr>
      <w:rFonts w:ascii="Calibri" w:eastAsia="Calibri" w:hAnsi="Calibri" w:cs="Arial"/>
    </w:rPr>
  </w:style>
  <w:style w:type="paragraph" w:customStyle="1" w:styleId="Pagedecouverture">
    <w:name w:val="Page de couverture"/>
    <w:basedOn w:val="Normal"/>
    <w:next w:val="Normal"/>
    <w:uiPriority w:val="9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autoSpaceDE w:val="0"/>
      <w:autoSpaceDN w:val="0"/>
      <w:adjustRightInd w:val="0"/>
      <w:spacing w:before="360" w:after="0" w:line="240" w:lineRule="auto"/>
      <w:ind w:left="-850" w:right="-850"/>
    </w:pPr>
    <w:rPr>
      <w:rFonts w:ascii="Times New Roman" w:eastAsia="Calibri" w:hAnsi="Times New Roman" w:cs="Times New Roman"/>
      <w:color w:val="000000"/>
      <w:sz w:val="24"/>
      <w:szCs w:val="24"/>
    </w:rPr>
  </w:style>
  <w:style w:type="character" w:customStyle="1" w:styleId="FooterCoverPageChar">
    <w:name w:val="Footer Cover Page Char"/>
    <w:basedOn w:val="DefaultParagraphFont"/>
    <w:link w:val="FooterCoverPage"/>
    <w:uiPriority w:val="99"/>
    <w:locked/>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eastAsia="Calibri" w:hAnsi="Times New Roman" w:cs="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8896">
      <w:bodyDiv w:val="1"/>
      <w:marLeft w:val="0"/>
      <w:marRight w:val="0"/>
      <w:marTop w:val="0"/>
      <w:marBottom w:val="0"/>
      <w:divBdr>
        <w:top w:val="none" w:sz="0" w:space="0" w:color="auto"/>
        <w:left w:val="none" w:sz="0" w:space="0" w:color="auto"/>
        <w:bottom w:val="none" w:sz="0" w:space="0" w:color="auto"/>
        <w:right w:val="none" w:sz="0" w:space="0" w:color="auto"/>
      </w:divBdr>
    </w:div>
    <w:div w:id="1582640500">
      <w:bodyDiv w:val="1"/>
      <w:marLeft w:val="0"/>
      <w:marRight w:val="0"/>
      <w:marTop w:val="0"/>
      <w:marBottom w:val="0"/>
      <w:divBdr>
        <w:top w:val="none" w:sz="0" w:space="0" w:color="auto"/>
        <w:left w:val="none" w:sz="0" w:space="0" w:color="auto"/>
        <w:bottom w:val="none" w:sz="0" w:space="0" w:color="auto"/>
        <w:right w:val="none" w:sz="0" w:space="0" w:color="auto"/>
      </w:divBdr>
    </w:div>
    <w:div w:id="1908026285">
      <w:bodyDiv w:val="1"/>
      <w:marLeft w:val="0"/>
      <w:marRight w:val="0"/>
      <w:marTop w:val="0"/>
      <w:marBottom w:val="0"/>
      <w:divBdr>
        <w:top w:val="none" w:sz="0" w:space="0" w:color="auto"/>
        <w:left w:val="none" w:sz="0" w:space="0" w:color="auto"/>
        <w:bottom w:val="none" w:sz="0" w:space="0" w:color="auto"/>
        <w:right w:val="none" w:sz="0" w:space="0" w:color="auto"/>
      </w:divBdr>
    </w:div>
    <w:div w:id="2044861053">
      <w:bodyDiv w:val="1"/>
      <w:marLeft w:val="0"/>
      <w:marRight w:val="0"/>
      <w:marTop w:val="0"/>
      <w:marBottom w:val="0"/>
      <w:divBdr>
        <w:top w:val="none" w:sz="0" w:space="0" w:color="auto"/>
        <w:left w:val="none" w:sz="0" w:space="0" w:color="auto"/>
        <w:bottom w:val="none" w:sz="0" w:space="0" w:color="auto"/>
        <w:right w:val="none" w:sz="0" w:space="0" w:color="auto"/>
      </w:divBdr>
    </w:div>
    <w:div w:id="21397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creaub.info/included" TargetMode="External"/><Relationship Id="rId2" Type="http://schemas.openxmlformats.org/officeDocument/2006/relationships/hyperlink" Target="https://ec.europa.eu/jrc/en/entrecomp" TargetMode="External"/><Relationship Id="rId1" Type="http://schemas.openxmlformats.org/officeDocument/2006/relationships/hyperlink" Target="https://ec.europa.eu/jrc/en/digcomporg/selfie-tool" TargetMode="External"/><Relationship Id="rId5" Type="http://schemas.openxmlformats.org/officeDocument/2006/relationships/hyperlink" Target="http://www.oecd.org/education/schoolresourcesreview.htm" TargetMode="External"/><Relationship Id="rId4" Type="http://schemas.openxmlformats.org/officeDocument/2006/relationships/hyperlink" Target="http://eacea.ec.europa.eu/education/eurydice/index_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ef9fadd-d175-4c74-a8f2-fc8ca1dfcf52">Policy Document</Document_x0020_Type>
    <PLATFORMS xmlns="2ef9fadd-d175-4c74-a8f2-fc8ca1dfcf52" xsi:nil="true"/>
    <Policy_x0020_theme xmlns="2ef9fadd-d175-4c74-a8f2-fc8ca1dfcf52">Schools-general</Policy_x0020_the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23CB9131AC97034F8B71ED59BB79F962" ma:contentTypeVersion="12" ma:contentTypeDescription="Create a new document in this library." ma:contentTypeScope="" ma:versionID="bcb2879885e11ce4f4e6d97abc6d0ffd">
  <xsd:schema xmlns:xsd="http://www.w3.org/2001/XMLSchema" xmlns:xs="http://www.w3.org/2001/XMLSchema" xmlns:p="http://schemas.microsoft.com/office/2006/metadata/properties" xmlns:ns2="2ef9fadd-d175-4c74-a8f2-fc8ca1dfcf52" targetNamespace="http://schemas.microsoft.com/office/2006/metadata/properties" ma:root="true" ma:fieldsID="e58739a386d80a696ee45b80aa9b39d7" ns2:_="">
    <xsd:import namespace="2ef9fadd-d175-4c74-a8f2-fc8ca1dfcf52"/>
    <xsd:element name="properties">
      <xsd:complexType>
        <xsd:sequence>
          <xsd:element name="documentManagement">
            <xsd:complexType>
              <xsd:all>
                <xsd:element ref="ns2:Policy_x0020_theme"/>
                <xsd:element ref="ns2:Document_x0020_Type" minOccurs="0"/>
                <xsd:element ref="ns2:PLAT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9fadd-d175-4c74-a8f2-fc8ca1dfcf52" elementFormDefault="qualified">
    <xsd:import namespace="http://schemas.microsoft.com/office/2006/documentManagement/types"/>
    <xsd:import namespace="http://schemas.microsoft.com/office/infopath/2007/PartnerControls"/>
    <xsd:element name="Policy_x0020_theme" ma:index="8" ma:displayName="Policy Theme" ma:format="Dropdown" ma:internalName="Policy_x0020_theme">
      <xsd:simpleType>
        <xsd:restriction base="dms:Choice">
          <xsd:enumeration value="Basic skills"/>
          <xsd:enumeration value="Citizenship"/>
          <xsd:enumeration value="DG Schools"/>
          <xsd:enumeration value="Early school leaving"/>
          <xsd:enumeration value="ECEC"/>
          <xsd:enumeration value="ECEC"/>
          <xsd:enumeration value="Funding and resources"/>
          <xsd:enumeration value="Future Programme"/>
          <xsd:enumeration value="Key Competences (review)"/>
          <xsd:enumeration value="Language learning"/>
          <xsd:enumeration value="Migrants"/>
          <xsd:enumeration value="Multilingualism"/>
          <xsd:enumeration value="Platforms"/>
          <xsd:enumeration value="Programme ERASMUS+"/>
          <xsd:enumeration value="Quality Assurance"/>
          <xsd:enumeration value="Schools-general"/>
          <xsd:enumeration value="Teachers and Teaching"/>
        </xsd:restriction>
      </xsd:simpleType>
    </xsd:element>
    <xsd:element name="Document_x0020_Type" ma:index="9" nillable="true" ma:displayName="Document Type" ma:default="Policy Document" ma:format="Dropdown" ma:internalName="Document_x0020_Type">
      <xsd:simpleType>
        <xsd:restriction base="dms:Choice">
          <xsd:enumeration value="Policy Document"/>
          <xsd:enumeration value="Call for Tender"/>
          <xsd:enumeration value="Platforms"/>
          <xsd:enumeration value="Other"/>
        </xsd:restriction>
      </xsd:simpleType>
    </xsd:element>
    <xsd:element name="PLATFORMS" ma:index="10" nillable="true" ma:displayName="PLATFORMS" ma:internalName="PLAT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6306-680A-47BE-9292-B44B06A8E7D9}">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2ef9fadd-d175-4c74-a8f2-fc8ca1dfcf52"/>
    <ds:schemaRef ds:uri="http://purl.org/dc/terms/"/>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F0F98BCD-B340-4B64-A055-E4B4EAD626B3}">
  <ds:schemaRefs>
    <ds:schemaRef ds:uri="http://schemas.microsoft.com/sharepoint/v3/contenttype/forms"/>
  </ds:schemaRefs>
</ds:datastoreItem>
</file>

<file path=customXml/itemProps3.xml><?xml version="1.0" encoding="utf-8"?>
<ds:datastoreItem xmlns:ds="http://schemas.openxmlformats.org/officeDocument/2006/customXml" ds:itemID="{E344AD77-FC99-4CAF-BFED-62BF31CC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9fadd-d175-4c74-a8f2-fc8ca1dfc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2F2EA-2516-4188-BC30-D4E78566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3950</Words>
  <Characters>27100</Characters>
  <Application>Microsoft Office Word</Application>
  <DocSecurity>0</DocSecurity>
  <Lines>398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2017-05-22T10:20:00Z</cp:lastPrinted>
  <dcterms:created xsi:type="dcterms:W3CDTF">2017-05-29T10:51:00Z</dcterms:created>
  <dcterms:modified xsi:type="dcterms:W3CDTF">2017-05-31T08:43:00Z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0x010100258AA79CEB83498886A3A086811232500023CB9131AC97034F8B71ED59BB79F962</vt:lpwstr>
  </property>
</Properties>
</file>