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F8" w:rsidRDefault="00E77700" w:rsidP="00E77700">
      <w:pPr>
        <w:pStyle w:val="Pagedecouverture"/>
        <w:rPr>
          <w:noProof/>
        </w:rPr>
      </w:pPr>
      <w:bookmarkStart w:id="0" w:name="_Toc482893083"/>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60BC5F9CD5949578C9FAC8560EAA559" style="width:450.25pt;height:379.35pt">
            <v:imagedata r:id="rId9" o:title=""/>
          </v:shape>
        </w:pict>
      </w:r>
    </w:p>
    <w:p w:rsidR="009450F8" w:rsidRDefault="009450F8">
      <w:pPr>
        <w:rPr>
          <w:noProof/>
        </w:rPr>
        <w:sectPr w:rsidR="009450F8" w:rsidSect="00E7770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bookmarkStart w:id="2" w:name="_GoBack"/>
      <w:bookmarkEnd w:id="1"/>
      <w:bookmarkEnd w:id="2"/>
    </w:p>
    <w:p w:rsidR="009450F8" w:rsidRDefault="00E77700">
      <w:pPr>
        <w:spacing w:line="240" w:lineRule="auto"/>
        <w:rPr>
          <w:b/>
          <w:noProof/>
        </w:rPr>
      </w:pPr>
      <w:r>
        <w:rPr>
          <w:rFonts w:ascii="Times New Roman" w:hAnsi="Times New Roman"/>
          <w:b/>
          <w:noProof/>
          <w:sz w:val="24"/>
        </w:rPr>
        <w:lastRenderedPageBreak/>
        <w:t>Anexo 2. A caixa de ferramentas da União Económica e Monetária</w:t>
      </w:r>
      <w:bookmarkEnd w:id="0"/>
      <w:r>
        <w:rPr>
          <w:rFonts w:ascii="Times New Roman" w:hAnsi="Times New Roman"/>
          <w:b/>
          <w:noProof/>
          <w:sz w:val="24"/>
        </w:rPr>
        <w:t xml:space="preserve"> </w:t>
      </w:r>
      <w:r>
        <w:rPr>
          <w:noProof/>
        </w:rPr>
        <w:tab/>
      </w:r>
    </w:p>
    <w:p w:rsidR="009450F8" w:rsidRDefault="00E7770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Partindo das lições da crise, a caixa de ferramentas da União Económica e Monetária foi significativamente remodelada e reforçada desde 2010. Foram realizados progressos em quatro frentes: </w:t>
      </w:r>
    </w:p>
    <w:p w:rsidR="009450F8" w:rsidRDefault="009450F8">
      <w:pPr>
        <w:spacing w:after="0" w:line="240" w:lineRule="auto"/>
        <w:jc w:val="both"/>
        <w:rPr>
          <w:rFonts w:ascii="Times New Roman" w:eastAsia="Times New Roman" w:hAnsi="Times New Roman" w:cs="Times New Roman"/>
          <w:b/>
          <w:noProof/>
          <w:sz w:val="24"/>
          <w:szCs w:val="24"/>
        </w:rPr>
      </w:pPr>
    </w:p>
    <w:p w:rsidR="009450F8" w:rsidRDefault="00E77700">
      <w:pPr>
        <w:spacing w:after="0" w:line="240" w:lineRule="auto"/>
        <w:rPr>
          <w:rFonts w:ascii="Times New Roman" w:hAnsi="Times New Roman"/>
          <w:b/>
          <w:noProof/>
          <w:sz w:val="24"/>
        </w:rPr>
      </w:pPr>
      <w:r>
        <w:rPr>
          <w:rFonts w:ascii="Times New Roman" w:hAnsi="Times New Roman"/>
          <w:b/>
          <w:noProof/>
          <w:sz w:val="24"/>
        </w:rPr>
        <w:t>A caixa de ferramentas da União Económica e Monetária nos dias de</w:t>
      </w:r>
      <w:r>
        <w:rPr>
          <w:rFonts w:ascii="Times New Roman" w:hAnsi="Times New Roman"/>
          <w:b/>
          <w:noProof/>
          <w:sz w:val="24"/>
        </w:rPr>
        <w:t xml:space="preserve"> hoje</w:t>
      </w:r>
    </w:p>
    <w:p w:rsidR="009450F8" w:rsidRDefault="009450F8">
      <w:pPr>
        <w:spacing w:after="0" w:line="240" w:lineRule="auto"/>
        <w:rPr>
          <w:rFonts w:ascii="Times New Roman" w:hAnsi="Times New Roman"/>
          <w:b/>
          <w:noProof/>
          <w:sz w:val="24"/>
        </w:rPr>
      </w:pPr>
    </w:p>
    <w:p w:rsidR="009450F8" w:rsidRDefault="00E77700">
      <w:pPr>
        <w:spacing w:after="0" w:line="240" w:lineRule="auto"/>
        <w:rPr>
          <w:rFonts w:ascii="Times New Roman" w:hAnsi="Times New Roman"/>
          <w:b/>
          <w:noProof/>
          <w:sz w:val="24"/>
        </w:rPr>
      </w:pPr>
      <w:r>
        <w:rPr>
          <w:noProof/>
          <w:lang w:val="en-GB" w:eastAsia="en-GB" w:bidi="ar-SA"/>
        </w:rPr>
        <w:drawing>
          <wp:inline distT="0" distB="0" distL="0" distR="0" wp14:anchorId="47E3D6C7" wp14:editId="0AB358D4">
            <wp:extent cx="5758986" cy="3177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8986" cy="3177540"/>
                    </a:xfrm>
                    <a:prstGeom prst="rect">
                      <a:avLst/>
                    </a:prstGeom>
                  </pic:spPr>
                </pic:pic>
              </a:graphicData>
            </a:graphic>
          </wp:inline>
        </w:drawing>
      </w:r>
    </w:p>
    <w:p w:rsidR="009450F8" w:rsidRDefault="00E77700">
      <w:pPr>
        <w:spacing w:after="0" w:line="240" w:lineRule="auto"/>
        <w:rPr>
          <w:rFonts w:ascii="Times New Roman" w:eastAsia="Times New Roman" w:hAnsi="Times New Roman" w:cs="Times New Roman"/>
          <w:i/>
          <w:noProof/>
          <w:sz w:val="24"/>
          <w:szCs w:val="24"/>
        </w:rPr>
      </w:pPr>
      <w:r>
        <w:rPr>
          <w:rFonts w:ascii="Times New Roman" w:hAnsi="Times New Roman"/>
          <w:i/>
          <w:noProof/>
          <w:sz w:val="24"/>
        </w:rPr>
        <w:t>Fonte: Comissão Europeia</w:t>
      </w:r>
    </w:p>
    <w:p w:rsidR="009450F8" w:rsidRDefault="009450F8">
      <w:pPr>
        <w:spacing w:after="0" w:line="240" w:lineRule="auto"/>
        <w:jc w:val="both"/>
        <w:rPr>
          <w:rFonts w:ascii="Times New Roman" w:eastAsia="Times New Roman" w:hAnsi="Times New Roman" w:cs="Times New Roman"/>
          <w:b/>
          <w:noProof/>
          <w:sz w:val="24"/>
          <w:szCs w:val="24"/>
        </w:rPr>
      </w:pPr>
    </w:p>
    <w:p w:rsidR="009450F8" w:rsidRDefault="00E77700">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Durante a fase aguda da crise de 2011-2013 e na sua sequência imediata, foram adotadas importantes medidas para salvaguardar a integridade da área do euro e consolidar a sua arquitetura:</w:t>
      </w:r>
      <w:r>
        <w:rPr>
          <w:rFonts w:ascii="Times New Roman" w:hAnsi="Times New Roman"/>
          <w:noProof/>
          <w:sz w:val="24"/>
        </w:rPr>
        <w:t xml:space="preserve"> </w:t>
      </w:r>
    </w:p>
    <w:p w:rsidR="009450F8" w:rsidRDefault="009450F8">
      <w:pPr>
        <w:spacing w:after="0" w:line="240" w:lineRule="auto"/>
        <w:jc w:val="both"/>
        <w:rPr>
          <w:rFonts w:ascii="Times New Roman" w:eastAsia="Times New Roman" w:hAnsi="Times New Roman" w:cs="Times New Roman"/>
          <w:noProof/>
          <w:sz w:val="24"/>
          <w:szCs w:val="24"/>
        </w:rPr>
      </w:pPr>
    </w:p>
    <w:p w:rsidR="009450F8" w:rsidRDefault="00E77700">
      <w:pPr>
        <w:pStyle w:val="ListParagraph"/>
        <w:numPr>
          <w:ilvl w:val="0"/>
          <w:numId w:val="13"/>
        </w:numPr>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Foram introduzidas novas regras para melhorar a coordenação das políticas económicas e orçamentais e para assegurar uma maior discussão dessas políticas, tanto a nível nacional como europeu. Para esse efeito, foi introduzido um ciclo decisório anual – o Se</w:t>
      </w:r>
      <w:r>
        <w:rPr>
          <w:rFonts w:ascii="Times New Roman" w:hAnsi="Times New Roman"/>
          <w:noProof/>
          <w:sz w:val="24"/>
        </w:rPr>
        <w:t>mestre Europeu – para assegurar um melhor alinhamento entre as prioridades nacionais e da UE, por via de um seguimento mais pormenorizado e de orientações de caráter político. As regras orçamentais da UE, consignadas no chamado Pacto de Estabilidade e Cres</w:t>
      </w:r>
      <w:r>
        <w:rPr>
          <w:rFonts w:ascii="Times New Roman" w:hAnsi="Times New Roman"/>
          <w:noProof/>
          <w:sz w:val="24"/>
        </w:rPr>
        <w:t xml:space="preserve">cimento, foram completadas através das medidas legislativas que integram os chamados </w:t>
      </w:r>
      <w:r>
        <w:rPr>
          <w:rFonts w:ascii="Times New Roman" w:hAnsi="Times New Roman"/>
          <w:i/>
          <w:noProof/>
          <w:sz w:val="24"/>
        </w:rPr>
        <w:t>six-pack</w:t>
      </w:r>
      <w:r>
        <w:rPr>
          <w:rFonts w:ascii="Times New Roman" w:hAnsi="Times New Roman"/>
          <w:noProof/>
          <w:sz w:val="24"/>
        </w:rPr>
        <w:t xml:space="preserve"> e </w:t>
      </w:r>
      <w:r>
        <w:rPr>
          <w:rFonts w:ascii="Times New Roman" w:hAnsi="Times New Roman"/>
          <w:i/>
          <w:noProof/>
          <w:sz w:val="24"/>
        </w:rPr>
        <w:t>two-pack</w:t>
      </w:r>
      <w:r>
        <w:rPr>
          <w:rFonts w:ascii="Times New Roman" w:hAnsi="Times New Roman"/>
          <w:noProof/>
          <w:sz w:val="24"/>
        </w:rPr>
        <w:t>, bem como do Tratado Intergovernamental sobre Estabilidade, Coordenação e Governação na União Económica e Monetária (TECG), que inclui o «Pacto Orçamen</w:t>
      </w:r>
      <w:r>
        <w:rPr>
          <w:rFonts w:ascii="Times New Roman" w:hAnsi="Times New Roman"/>
          <w:noProof/>
          <w:sz w:val="24"/>
        </w:rPr>
        <w:t>tal». Contribuíram para assegurar uma supervisão mais estreita dos orçamentos nacionais, a estabelecer quadros orçamentais mais adequados e a chamar a atenção para os níveis de dívida. As regras introduziram ainda um novo procedimento – o procedimento rela</w:t>
      </w:r>
      <w:r>
        <w:rPr>
          <w:rFonts w:ascii="Times New Roman" w:hAnsi="Times New Roman"/>
          <w:noProof/>
          <w:sz w:val="24"/>
        </w:rPr>
        <w:t xml:space="preserve">tivo aos desequilíbrios macroeconómicos – que ajuda a detetar e a corrigir as tendências económicas adversas antes mesmo que estas se materializem. </w:t>
      </w:r>
    </w:p>
    <w:p w:rsidR="009450F8" w:rsidRDefault="009450F8">
      <w:pPr>
        <w:pStyle w:val="ListParagraph"/>
        <w:spacing w:after="0" w:line="240" w:lineRule="auto"/>
        <w:ind w:left="360"/>
        <w:jc w:val="both"/>
        <w:rPr>
          <w:rFonts w:ascii="Times New Roman" w:eastAsia="Times New Roman" w:hAnsi="Times New Roman" w:cs="Times New Roman"/>
          <w:noProof/>
          <w:sz w:val="24"/>
          <w:szCs w:val="24"/>
        </w:rPr>
      </w:pPr>
    </w:p>
    <w:p w:rsidR="009450F8" w:rsidRDefault="00E77700">
      <w:pPr>
        <w:pStyle w:val="ListParagraph"/>
        <w:numPr>
          <w:ilvl w:val="0"/>
          <w:numId w:val="13"/>
        </w:numPr>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Foram lançadas diversas iniciativas para criar um setor financeiro mais seguro no mercado único, que const</w:t>
      </w:r>
      <w:r>
        <w:rPr>
          <w:rFonts w:ascii="Times New Roman" w:hAnsi="Times New Roman"/>
          <w:noProof/>
          <w:sz w:val="24"/>
        </w:rPr>
        <w:t xml:space="preserve">ituem o chamado «conjunto único de regras» para todos os atores do setor financeiro nos Estados-Membros da UE, cujo objetivo é estabelecer um conjunto único de </w:t>
      </w:r>
      <w:r>
        <w:rPr>
          <w:rFonts w:ascii="Times New Roman" w:hAnsi="Times New Roman"/>
          <w:noProof/>
          <w:sz w:val="24"/>
        </w:rPr>
        <w:lastRenderedPageBreak/>
        <w:t>regras prudenciais harmonizadas que deverão ser respeitadas pelas instituições em toda a UE. Ess</w:t>
      </w:r>
      <w:r>
        <w:rPr>
          <w:rFonts w:ascii="Times New Roman" w:hAnsi="Times New Roman"/>
          <w:noProof/>
          <w:sz w:val="24"/>
        </w:rPr>
        <w:t>e «conjunto único de regras» serviu também de base à chamada União Bancária, aplicável nos países da área do euro mas à qual também se podem associar países exteriores a essa área. No quadro da União Bancária, foi decidido afetar ao nível europeu a respons</w:t>
      </w:r>
      <w:r>
        <w:rPr>
          <w:rFonts w:ascii="Times New Roman" w:hAnsi="Times New Roman"/>
          <w:noProof/>
          <w:sz w:val="24"/>
        </w:rPr>
        <w:t>abilidade pela supervisão e pela resolução dos bancos de maior dimensão e com atividades transfronteiriças na UE. Para esse efeito, foram criados o Mecanismo Único de Supervisão (MUS) e um Mecanismo Único de Resolução (MUR). As regras de base para a garant</w:t>
      </w:r>
      <w:r>
        <w:rPr>
          <w:rFonts w:ascii="Times New Roman" w:hAnsi="Times New Roman"/>
          <w:noProof/>
          <w:sz w:val="24"/>
        </w:rPr>
        <w:t>ia dos depósitos foram harmonizadas nos Estados-Membros, pelo que hoje em dia todos os depósitos individuais se encontram integralmente protegidos até ao limite de 100 000 EUR.</w:t>
      </w:r>
    </w:p>
    <w:p w:rsidR="009450F8" w:rsidRDefault="009450F8">
      <w:pPr>
        <w:pStyle w:val="ListParagraph"/>
        <w:spacing w:after="0" w:line="240" w:lineRule="auto"/>
        <w:ind w:left="360"/>
        <w:jc w:val="both"/>
        <w:rPr>
          <w:rFonts w:ascii="Times New Roman" w:eastAsia="Times New Roman" w:hAnsi="Times New Roman" w:cs="Times New Roman"/>
          <w:noProof/>
          <w:sz w:val="24"/>
          <w:szCs w:val="24"/>
        </w:rPr>
      </w:pPr>
    </w:p>
    <w:p w:rsidR="009450F8" w:rsidRDefault="00E77700">
      <w:pPr>
        <w:pStyle w:val="ListParagraph"/>
        <w:numPr>
          <w:ilvl w:val="0"/>
          <w:numId w:val="13"/>
        </w:numPr>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Foram criados fundos de resgate para prestação de apoio financeiro aos Estados</w:t>
      </w:r>
      <w:r>
        <w:rPr>
          <w:rFonts w:ascii="Times New Roman" w:hAnsi="Times New Roman"/>
          <w:noProof/>
          <w:sz w:val="24"/>
        </w:rPr>
        <w:t xml:space="preserve">-Membros que já não conseguiam obter crédito junto dos mercados financeiros. Inicialmente, esses fundos eram apenas temporários, utilizando o Mecanismo Europeu de Estabilização Financeira (MEEF) e o Fundo Europeu de Estabilidade Financeira (FEEF). O atual </w:t>
      </w:r>
      <w:r>
        <w:rPr>
          <w:rFonts w:ascii="Times New Roman" w:hAnsi="Times New Roman"/>
          <w:noProof/>
          <w:sz w:val="24"/>
        </w:rPr>
        <w:t xml:space="preserve">fundo de emergência – o Mecanismo Europeu de Estabilidade (MEE) – assumiu entretanto um caráter permanente e dispões de uma capacidade total de crédito que ascende a 500 mil milhões de EUR. </w:t>
      </w:r>
    </w:p>
    <w:p w:rsidR="009450F8" w:rsidRDefault="009450F8">
      <w:pPr>
        <w:spacing w:after="0" w:line="240" w:lineRule="auto"/>
        <w:jc w:val="both"/>
        <w:rPr>
          <w:rFonts w:ascii="Times New Roman" w:eastAsia="Times New Roman" w:hAnsi="Times New Roman" w:cs="Times New Roman"/>
          <w:noProof/>
          <w:sz w:val="24"/>
          <w:szCs w:val="24"/>
        </w:rPr>
      </w:pPr>
    </w:p>
    <w:p w:rsidR="009450F8" w:rsidRDefault="00E77700">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Desde a entrada em funções da atual Comissão, em novembro de 201</w:t>
      </w:r>
      <w:r>
        <w:rPr>
          <w:rFonts w:ascii="Times New Roman" w:hAnsi="Times New Roman"/>
          <w:b/>
          <w:noProof/>
          <w:sz w:val="24"/>
        </w:rPr>
        <w:t xml:space="preserve">4, e nomeadamente no seguimento da publicação do Relatório dos Cinco Presidentes, em junho de 2015, foram adotadas diversas e importantes novas medidas: </w:t>
      </w:r>
    </w:p>
    <w:p w:rsidR="009450F8" w:rsidRDefault="009450F8">
      <w:pPr>
        <w:pStyle w:val="ListParagraph"/>
        <w:spacing w:after="0" w:line="240" w:lineRule="auto"/>
        <w:ind w:left="360"/>
        <w:jc w:val="both"/>
        <w:rPr>
          <w:rFonts w:ascii="Times New Roman" w:eastAsia="Times New Roman" w:hAnsi="Times New Roman" w:cs="Times New Roman"/>
          <w:noProof/>
          <w:sz w:val="24"/>
          <w:szCs w:val="24"/>
        </w:rPr>
      </w:pPr>
    </w:p>
    <w:p w:rsidR="009450F8" w:rsidRDefault="00E77700">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 Semestre Europeu para a coordenação das políticas económicas foi remodelado. Os Estados-Membros e a</w:t>
      </w:r>
      <w:r>
        <w:rPr>
          <w:rFonts w:ascii="Times New Roman" w:hAnsi="Times New Roman"/>
          <w:noProof/>
          <w:sz w:val="24"/>
        </w:rPr>
        <w:t>s partes interessadas (parlamentos nacionais, parceiros sociais, sociedade civil) terão mais oportunidades para participar nas discussões, a todos os níveis. Foi dedicada uma maior atenção aos desafios com que se confronta a área do euro no seu todo, atrav</w:t>
      </w:r>
      <w:r>
        <w:rPr>
          <w:rFonts w:ascii="Times New Roman" w:hAnsi="Times New Roman"/>
          <w:noProof/>
          <w:sz w:val="24"/>
        </w:rPr>
        <w:t>és de recomendações específicas e de um melhor seguimento dos efeitos de contágio. A flexibilidade permitida pelas regras do Pacto de Estabilidade e Crescimento foi utilizada para apoiar as reformas e o investimento, bem como para refletir melhor o ciclo e</w:t>
      </w:r>
      <w:r>
        <w:rPr>
          <w:rFonts w:ascii="Times New Roman" w:hAnsi="Times New Roman"/>
          <w:noProof/>
          <w:sz w:val="24"/>
        </w:rPr>
        <w:t>conómico.</w:t>
      </w:r>
    </w:p>
    <w:p w:rsidR="009450F8" w:rsidRDefault="009450F8">
      <w:pPr>
        <w:pStyle w:val="ListParagraph"/>
        <w:spacing w:after="0" w:line="240" w:lineRule="auto"/>
        <w:ind w:left="360"/>
        <w:jc w:val="both"/>
        <w:rPr>
          <w:rFonts w:ascii="Times New Roman" w:eastAsia="Times New Roman" w:hAnsi="Times New Roman" w:cs="Times New Roman"/>
          <w:noProof/>
          <w:sz w:val="24"/>
          <w:szCs w:val="24"/>
        </w:rPr>
      </w:pPr>
    </w:p>
    <w:p w:rsidR="009450F8" w:rsidRDefault="00E77700">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As considerações sociais foram colocadas ao mesmo nível que as económicas, tendo o Semestre Europeu passado a integrar recomendações específicas e novos indicadores sociais. A Comissão apresentou também propostas concretas com vista à criação de</w:t>
      </w:r>
      <w:r>
        <w:rPr>
          <w:rFonts w:ascii="Times New Roman" w:hAnsi="Times New Roman"/>
          <w:noProof/>
          <w:sz w:val="24"/>
        </w:rPr>
        <w:t xml:space="preserve"> um Pilar Europeu dos Direitos Sociais que possa apontar o rumo de um processo de convergência renovado. Antes de ser concluído o novo Programa de Apoio à Estabilidade para a Grécia, foi realizada uma avaliação de impacto especificamente centrada na verten</w:t>
      </w:r>
      <w:r>
        <w:rPr>
          <w:rFonts w:ascii="Times New Roman" w:hAnsi="Times New Roman"/>
          <w:noProof/>
          <w:sz w:val="24"/>
        </w:rPr>
        <w:t>te social.</w:t>
      </w:r>
    </w:p>
    <w:p w:rsidR="009450F8" w:rsidRDefault="009450F8">
      <w:pPr>
        <w:pStyle w:val="ListParagraph"/>
        <w:rPr>
          <w:rFonts w:ascii="Times New Roman" w:eastAsia="Times New Roman" w:hAnsi="Times New Roman" w:cs="Times New Roman"/>
          <w:noProof/>
          <w:sz w:val="24"/>
          <w:szCs w:val="24"/>
        </w:rPr>
      </w:pPr>
    </w:p>
    <w:p w:rsidR="009450F8" w:rsidRDefault="00E77700">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fim de informar e apoiar o processo de reformas a nível nacional, a Comissão apresentou uma recomendação no sentido de que os Estados-Membros da área do euro estabelecessem Conselhos Nacionais da Produtividade, que foi adotada pelo Conselho. </w:t>
      </w:r>
      <w:r>
        <w:rPr>
          <w:rFonts w:ascii="Times New Roman" w:hAnsi="Times New Roman"/>
          <w:noProof/>
          <w:sz w:val="24"/>
        </w:rPr>
        <w:t xml:space="preserve">A Comissão criou também um Serviço de Apoio à Reforma Estrutural que visa reunir as competências adquiridas em toda a Europa e prestar assistência técnica aos Estados-Membros interessados. </w:t>
      </w:r>
    </w:p>
    <w:p w:rsidR="009450F8" w:rsidRDefault="009450F8">
      <w:pPr>
        <w:pStyle w:val="ListParagraph"/>
        <w:rPr>
          <w:rFonts w:ascii="Times New Roman" w:eastAsia="Times New Roman" w:hAnsi="Times New Roman" w:cs="Times New Roman"/>
          <w:noProof/>
          <w:sz w:val="24"/>
          <w:szCs w:val="24"/>
        </w:rPr>
      </w:pPr>
    </w:p>
    <w:p w:rsidR="009450F8" w:rsidRDefault="00E77700">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quadro da realização da União Bancária, a Comissão propôs a in</w:t>
      </w:r>
      <w:r>
        <w:rPr>
          <w:rFonts w:ascii="Times New Roman" w:hAnsi="Times New Roman"/>
          <w:noProof/>
          <w:sz w:val="24"/>
        </w:rPr>
        <w:t xml:space="preserve">trodução gradual, até 2025, de um Sistema Europeu de Seguro de Depósitos, através do qual todos os depositantes da área do euro possam beneficiar do mesmo nível de proteção, </w:t>
      </w:r>
      <w:r>
        <w:rPr>
          <w:rFonts w:ascii="Times New Roman" w:hAnsi="Times New Roman"/>
          <w:noProof/>
          <w:sz w:val="24"/>
        </w:rPr>
        <w:lastRenderedPageBreak/>
        <w:t>nomeadamente quando ocorram choques locais importantes. Apresentou também um pacot</w:t>
      </w:r>
      <w:r>
        <w:rPr>
          <w:rFonts w:ascii="Times New Roman" w:hAnsi="Times New Roman"/>
          <w:noProof/>
          <w:sz w:val="24"/>
        </w:rPr>
        <w:t>e legislativo abrangente com vista a reduzir ainda mais os riscos e a aumentar a capacidade de resistência das instituições financeiras da UE e em particular do setor bancário.</w:t>
      </w:r>
    </w:p>
    <w:p w:rsidR="009450F8" w:rsidRDefault="009450F8">
      <w:pPr>
        <w:pStyle w:val="ListParagraph"/>
        <w:rPr>
          <w:rFonts w:ascii="Times New Roman" w:eastAsia="Times New Roman" w:hAnsi="Times New Roman" w:cs="Times New Roman"/>
          <w:noProof/>
          <w:sz w:val="24"/>
          <w:szCs w:val="24"/>
        </w:rPr>
      </w:pPr>
    </w:p>
    <w:p w:rsidR="009450F8" w:rsidRDefault="00E77700">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quadro dos trabalhos respeitantes à União Orçamental, a Comissão e o Consel</w:t>
      </w:r>
      <w:r>
        <w:rPr>
          <w:rFonts w:ascii="Times New Roman" w:hAnsi="Times New Roman"/>
          <w:noProof/>
          <w:sz w:val="24"/>
        </w:rPr>
        <w:t xml:space="preserve">ho têm estado a trabalhar no sentido da simplificação das regras vigentes. Analisaram, por exemplo, a evolução dos chamados limites para a despesa pública, que as administrações centrais conseguem controlar mais facilmente, adaptando-os em função das suas </w:t>
      </w:r>
      <w:r>
        <w:rPr>
          <w:rFonts w:ascii="Times New Roman" w:hAnsi="Times New Roman"/>
          <w:noProof/>
          <w:sz w:val="24"/>
        </w:rPr>
        <w:t>intenções. A Comissão apelou também a uma maior concentração nas prioridades da área do euro no lançamento de cada Semestre Europeu e a uma orientação orçamental mais positiva para a área no euro no seu conjunto. O recentemente criado Conselho Orçamental E</w:t>
      </w:r>
      <w:r>
        <w:rPr>
          <w:rFonts w:ascii="Times New Roman" w:hAnsi="Times New Roman"/>
          <w:noProof/>
          <w:sz w:val="24"/>
        </w:rPr>
        <w:t>uropeu dará apoio à avaliação da aplicação das regras orçamentais da UE.</w:t>
      </w:r>
    </w:p>
    <w:p w:rsidR="009450F8" w:rsidRDefault="009450F8">
      <w:pPr>
        <w:pStyle w:val="ListParagraph"/>
        <w:spacing w:after="0" w:line="240" w:lineRule="auto"/>
        <w:ind w:left="360"/>
        <w:jc w:val="both"/>
        <w:rPr>
          <w:rFonts w:ascii="Times New Roman" w:eastAsia="Times New Roman" w:hAnsi="Times New Roman" w:cs="Times New Roman"/>
          <w:noProof/>
          <w:sz w:val="24"/>
          <w:szCs w:val="24"/>
        </w:rPr>
      </w:pPr>
    </w:p>
    <w:p w:rsidR="009450F8" w:rsidRDefault="00E77700">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 quadro do reforço do mercado único e no âmbito mais alargado do Plano de Investimento para a Europa, foram várias as iniciativas que ajudaram a aumentar e a melhorar o acesso das </w:t>
      </w:r>
      <w:r>
        <w:rPr>
          <w:rFonts w:ascii="Times New Roman" w:hAnsi="Times New Roman"/>
          <w:noProof/>
          <w:sz w:val="24"/>
        </w:rPr>
        <w:t xml:space="preserve">empresas europeias ao financiamento. As empresas beneficiam agora de um maior acesso aos mercados de capitais – graças à chamada União dos Mercados de Capital – e não continuarão como até aqui a depender fundamentalmente do financiamento bancário. </w:t>
      </w:r>
    </w:p>
    <w:p w:rsidR="009450F8" w:rsidRDefault="009450F8">
      <w:pPr>
        <w:pStyle w:val="ListParagraph"/>
        <w:spacing w:after="0" w:line="240" w:lineRule="auto"/>
        <w:ind w:left="360"/>
        <w:jc w:val="both"/>
        <w:rPr>
          <w:noProof/>
        </w:rPr>
      </w:pPr>
    </w:p>
    <w:p w:rsidR="009450F8" w:rsidRDefault="00E77700">
      <w:pPr>
        <w:pStyle w:val="ListParagraph"/>
        <w:numPr>
          <w:ilvl w:val="0"/>
          <w:numId w:val="2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qua</w:t>
      </w:r>
      <w:r>
        <w:rPr>
          <w:rFonts w:ascii="Times New Roman" w:hAnsi="Times New Roman"/>
          <w:noProof/>
          <w:sz w:val="24"/>
        </w:rPr>
        <w:t>dro dos esforços para reforçar as instituições existentes, a Comissão propôs melhoramentos da representação externa da área do euro junto de organizações financeiras internacionais como o FMI, com uma aplicação gradual até 2025. Ainda não foram iniciados o</w:t>
      </w:r>
      <w:r>
        <w:rPr>
          <w:rFonts w:ascii="Times New Roman" w:hAnsi="Times New Roman"/>
          <w:noProof/>
          <w:sz w:val="24"/>
        </w:rPr>
        <w:t xml:space="preserve">s trabalhos sobre os próximos passos a dar no sentido de uma representação unificada da área do euro. Por último, a Comissão apoia os esforços do Eurogrupo no sentido de assegurar uma maior transparência dos seus documentos e procedimentos.  </w:t>
      </w:r>
    </w:p>
    <w:p w:rsidR="009450F8" w:rsidRDefault="009450F8">
      <w:pPr>
        <w:rPr>
          <w:noProof/>
        </w:rPr>
      </w:pPr>
    </w:p>
    <w:p w:rsidR="009450F8" w:rsidRDefault="009450F8">
      <w:pPr>
        <w:spacing w:line="240" w:lineRule="auto"/>
        <w:jc w:val="both"/>
        <w:rPr>
          <w:rFonts w:ascii="Times New Roman" w:eastAsia="Times New Roman" w:hAnsi="Times New Roman" w:cs="Times New Roman"/>
          <w:b/>
          <w:noProof/>
          <w:sz w:val="24"/>
          <w:szCs w:val="24"/>
        </w:rPr>
      </w:pPr>
    </w:p>
    <w:sectPr w:rsidR="009450F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18497" w15:done="0"/>
  <w15:commentEx w15:paraId="14F508F4" w15:done="0"/>
  <w15:commentEx w15:paraId="58BB2950" w15:done="0"/>
  <w15:commentEx w15:paraId="17653B2E" w15:done="0"/>
  <w15:commentEx w15:paraId="219C1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F8" w:rsidRDefault="00E77700">
      <w:pPr>
        <w:spacing w:after="0" w:line="240" w:lineRule="auto"/>
      </w:pPr>
      <w:r>
        <w:separator/>
      </w:r>
    </w:p>
  </w:endnote>
  <w:endnote w:type="continuationSeparator" w:id="0">
    <w:p w:rsidR="009450F8" w:rsidRDefault="00E7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00" w:rsidRPr="00E77700" w:rsidRDefault="00E77700" w:rsidP="00E7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00" w:rsidRPr="00E77700" w:rsidRDefault="00E77700" w:rsidP="00E77700">
    <w:pPr>
      <w:pStyle w:val="FooterCoverPage"/>
      <w:rPr>
        <w:rFonts w:ascii="Arial" w:hAnsi="Arial" w:cs="Arial"/>
        <w:b/>
        <w:sz w:val="48"/>
      </w:rPr>
    </w:pPr>
    <w:r w:rsidRPr="00E77700">
      <w:rPr>
        <w:rFonts w:ascii="Arial" w:hAnsi="Arial" w:cs="Arial"/>
        <w:b/>
        <w:sz w:val="48"/>
      </w:rPr>
      <w:t>PT</w:t>
    </w:r>
    <w:r w:rsidRPr="00E77700">
      <w:rPr>
        <w:rFonts w:ascii="Arial" w:hAnsi="Arial" w:cs="Arial"/>
        <w:b/>
        <w:sz w:val="48"/>
      </w:rPr>
      <w:tab/>
    </w:r>
    <w:r w:rsidRPr="00E77700">
      <w:rPr>
        <w:rFonts w:ascii="Arial" w:hAnsi="Arial" w:cs="Arial"/>
        <w:b/>
        <w:sz w:val="48"/>
      </w:rPr>
      <w:tab/>
    </w:r>
    <w:fldSimple w:instr=" DOCVARIABLE &quot;LW_Confidence&quot; \* MERGEFORMAT ">
      <w:r>
        <w:t xml:space="preserve"> </w:t>
      </w:r>
    </w:fldSimple>
    <w:r w:rsidRPr="00E77700">
      <w:tab/>
    </w:r>
    <w:r w:rsidRPr="00E77700">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00" w:rsidRPr="00E77700" w:rsidRDefault="00E77700" w:rsidP="00E7770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F8" w:rsidRDefault="009450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721787"/>
      <w:docPartObj>
        <w:docPartGallery w:val="Page Numbers (Bottom of Page)"/>
        <w:docPartUnique/>
      </w:docPartObj>
    </w:sdtPr>
    <w:sdtEndPr>
      <w:rPr>
        <w:noProof/>
      </w:rPr>
    </w:sdtEndPr>
    <w:sdtContent>
      <w:p w:rsidR="009450F8" w:rsidRDefault="00E777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50F8" w:rsidRDefault="009450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F8" w:rsidRDefault="0094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F8" w:rsidRDefault="00E77700">
      <w:pPr>
        <w:spacing w:after="0" w:line="240" w:lineRule="auto"/>
      </w:pPr>
      <w:r>
        <w:separator/>
      </w:r>
    </w:p>
  </w:footnote>
  <w:footnote w:type="continuationSeparator" w:id="0">
    <w:p w:rsidR="009450F8" w:rsidRDefault="00E7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00" w:rsidRPr="00E77700" w:rsidRDefault="00E77700" w:rsidP="00E77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00" w:rsidRPr="00E77700" w:rsidRDefault="00E77700" w:rsidP="00E7770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00" w:rsidRPr="00E77700" w:rsidRDefault="00E77700" w:rsidP="00E7770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F8" w:rsidRDefault="009450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F8" w:rsidRDefault="009450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F8" w:rsidRDefault="0094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ED"/>
    <w:multiLevelType w:val="hybridMultilevel"/>
    <w:tmpl w:val="A46AF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89316E0"/>
    <w:multiLevelType w:val="hybridMultilevel"/>
    <w:tmpl w:val="66B6C746"/>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E3F7D"/>
    <w:multiLevelType w:val="hybridMultilevel"/>
    <w:tmpl w:val="AE3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65431"/>
    <w:multiLevelType w:val="hybridMultilevel"/>
    <w:tmpl w:val="4558C2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8F10838"/>
    <w:multiLevelType w:val="hybridMultilevel"/>
    <w:tmpl w:val="E5D233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2281C4F"/>
    <w:multiLevelType w:val="hybridMultilevel"/>
    <w:tmpl w:val="0C2418D8"/>
    <w:lvl w:ilvl="0" w:tplc="31249888">
      <w:numFmt w:val="bullet"/>
      <w:lvlText w:val="•"/>
      <w:lvlJc w:val="left"/>
      <w:pPr>
        <w:ind w:left="1080" w:hanging="720"/>
      </w:pPr>
      <w:rPr>
        <w:rFonts w:ascii="Times New Roman" w:eastAsia="Times New Roman" w:hAnsi="Times New Roman"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C1548"/>
    <w:multiLevelType w:val="hybridMultilevel"/>
    <w:tmpl w:val="2CE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41042"/>
    <w:multiLevelType w:val="hybridMultilevel"/>
    <w:tmpl w:val="B00080DC"/>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E5D12"/>
    <w:multiLevelType w:val="hybridMultilevel"/>
    <w:tmpl w:val="8D72C37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C3A40"/>
    <w:multiLevelType w:val="hybridMultilevel"/>
    <w:tmpl w:val="BEC06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A136E9"/>
    <w:multiLevelType w:val="hybridMultilevel"/>
    <w:tmpl w:val="6C7436F2"/>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25589"/>
    <w:multiLevelType w:val="hybridMultilevel"/>
    <w:tmpl w:val="1044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2052D"/>
    <w:multiLevelType w:val="hybridMultilevel"/>
    <w:tmpl w:val="5EC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D339A"/>
    <w:multiLevelType w:val="hybridMultilevel"/>
    <w:tmpl w:val="9DA2F80C"/>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E0AB9"/>
    <w:multiLevelType w:val="hybridMultilevel"/>
    <w:tmpl w:val="4EAA295C"/>
    <w:lvl w:ilvl="0" w:tplc="080C0005">
      <w:start w:val="1"/>
      <w:numFmt w:val="bullet"/>
      <w:lvlText w:val=""/>
      <w:lvlJc w:val="left"/>
      <w:pPr>
        <w:ind w:left="720" w:hanging="360"/>
      </w:pPr>
      <w:rPr>
        <w:rFonts w:ascii="Wingdings" w:hAnsi="Wingdings" w:hint="default"/>
      </w:rPr>
    </w:lvl>
    <w:lvl w:ilvl="1" w:tplc="353E04B2">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8335E64"/>
    <w:multiLevelType w:val="hybridMultilevel"/>
    <w:tmpl w:val="FE4AF858"/>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456E9"/>
    <w:multiLevelType w:val="hybridMultilevel"/>
    <w:tmpl w:val="A1CC8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33CC8"/>
    <w:multiLevelType w:val="hybridMultilevel"/>
    <w:tmpl w:val="0F940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D1FED"/>
    <w:multiLevelType w:val="hybridMultilevel"/>
    <w:tmpl w:val="E9027C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C97F77"/>
    <w:multiLevelType w:val="hybridMultilevel"/>
    <w:tmpl w:val="A2EE0F9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34FA5"/>
    <w:multiLevelType w:val="hybridMultilevel"/>
    <w:tmpl w:val="F58C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4533C"/>
    <w:multiLevelType w:val="hybridMultilevel"/>
    <w:tmpl w:val="B99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57211"/>
    <w:multiLevelType w:val="hybridMultilevel"/>
    <w:tmpl w:val="9D2C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41773"/>
    <w:multiLevelType w:val="hybridMultilevel"/>
    <w:tmpl w:val="9772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C155C"/>
    <w:multiLevelType w:val="hybridMultilevel"/>
    <w:tmpl w:val="3B04896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30BB1"/>
    <w:multiLevelType w:val="hybridMultilevel"/>
    <w:tmpl w:val="758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6"/>
  </w:num>
  <w:num w:numId="5">
    <w:abstractNumId w:val="0"/>
  </w:num>
  <w:num w:numId="6">
    <w:abstractNumId w:val="18"/>
  </w:num>
  <w:num w:numId="7">
    <w:abstractNumId w:val="2"/>
  </w:num>
  <w:num w:numId="8">
    <w:abstractNumId w:val="12"/>
  </w:num>
  <w:num w:numId="9">
    <w:abstractNumId w:val="9"/>
  </w:num>
  <w:num w:numId="10">
    <w:abstractNumId w:val="25"/>
  </w:num>
  <w:num w:numId="11">
    <w:abstractNumId w:val="15"/>
  </w:num>
  <w:num w:numId="12">
    <w:abstractNumId w:val="1"/>
  </w:num>
  <w:num w:numId="13">
    <w:abstractNumId w:val="13"/>
  </w:num>
  <w:num w:numId="14">
    <w:abstractNumId w:val="7"/>
  </w:num>
  <w:num w:numId="15">
    <w:abstractNumId w:val="8"/>
  </w:num>
  <w:num w:numId="16">
    <w:abstractNumId w:val="10"/>
  </w:num>
  <w:num w:numId="17">
    <w:abstractNumId w:val="24"/>
  </w:num>
  <w:num w:numId="18">
    <w:abstractNumId w:val="19"/>
  </w:num>
  <w:num w:numId="19">
    <w:abstractNumId w:val="20"/>
  </w:num>
  <w:num w:numId="20">
    <w:abstractNumId w:val="22"/>
  </w:num>
  <w:num w:numId="21">
    <w:abstractNumId w:val="4"/>
  </w:num>
  <w:num w:numId="22">
    <w:abstractNumId w:val="14"/>
  </w:num>
  <w:num w:numId="23">
    <w:abstractNumId w:val="3"/>
  </w:num>
  <w:num w:numId="24">
    <w:abstractNumId w:val="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o "/>
    <w:docVar w:name="LW_ANNEX_NBR_FIRST" w:val="2"/>
    <w:docVar w:name="LW_ANNEX_NBR_LAST" w:val="2"/>
    <w:docVar w:name="LW_CONFIDENCE" w:val=" "/>
    <w:docVar w:name="LW_CONST_RESTREINT_UE" w:val="RESTREINT UE/EU RESTRICTED"/>
    <w:docVar w:name="LW_CORRIGENDUM" w:val="&lt;UNUSED&gt;"/>
    <w:docVar w:name="LW_COVERPAGE_GUID" w:val="160BC5F9CD5949578C9FAC8560EAA559"/>
    <w:docVar w:name="LW_CROSSREFERENCE" w:val="&lt;UNUSED&gt;"/>
    <w:docVar w:name="LW_DocType" w:val="NORMAL"/>
    <w:docVar w:name="LW_EMISSION" w:val="31.5.2017"/>
    <w:docVar w:name="LW_EMISSION_ISODATE" w:val="2017-05-31"/>
    <w:docVar w:name="LW_EMISSION_LOCATION" w:val="BRX"/>
    <w:docVar w:name="LW_EMISSION_PREFIX" w:val="Bruxelas, "/>
    <w:docVar w:name="LW_EMISSION_SUFFIX" w:val=" "/>
    <w:docVar w:name="LW_ID_DOCTYPE_NONLW" w:val="CP-039"/>
    <w:docVar w:name="LW_LANGUE" w:val="PT"/>
    <w:docVar w:name="LW_MARKING" w:val="&lt;UNUSED&gt;"/>
    <w:docVar w:name="LW_NOM.INST" w:val="COMISSÃO EUROPEIA"/>
    <w:docVar w:name="LW_NOM.INST_JOINTDOC" w:val="&lt;EMPTY&gt;"/>
    <w:docVar w:name="LW_OBJETACTEPRINCIPAL.CP" w:val="SOBRE O APROFUNDAMENTO DA UNIÃO ECONÓMICA E MONETÁRIA_x000b_"/>
    <w:docVar w:name="LW_PART_NBR" w:val="1"/>
    <w:docVar w:name="LW_PART_NBR_TOTAL" w:val="1"/>
    <w:docVar w:name="LW_REF.INST.NEW" w:val="COM"/>
    <w:docVar w:name="LW_REF.INST.NEW_ADOPTED" w:val="final"/>
    <w:docVar w:name="LW_REF.INST.NEW_TEXT" w:val="(2017) 291"/>
    <w:docVar w:name="LW_REF.INTERNE" w:val="&lt;UNUSED&gt;"/>
    <w:docVar w:name="LW_SUPERTITRE" w:val="&lt;UNUSED&gt;"/>
    <w:docVar w:name="LW_TITRE.OBJ.CP" w:val="&lt;UNUSED&gt;"/>
    <w:docVar w:name="LW_TYPE.DOC.CP" w:val="ANEXO_x000b_"/>
    <w:docVar w:name="LW_TYPEACTEPRINCIPAL.CP" w:val="DOCUMENTO DE REFLEXÃO"/>
  </w:docVars>
  <w:rsids>
    <w:rsidRoot w:val="009450F8"/>
    <w:rsid w:val="009450F8"/>
    <w:rsid w:val="00E777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0237">
      <w:bodyDiv w:val="1"/>
      <w:marLeft w:val="0"/>
      <w:marRight w:val="0"/>
      <w:marTop w:val="0"/>
      <w:marBottom w:val="0"/>
      <w:divBdr>
        <w:top w:val="none" w:sz="0" w:space="0" w:color="auto"/>
        <w:left w:val="none" w:sz="0" w:space="0" w:color="auto"/>
        <w:bottom w:val="none" w:sz="0" w:space="0" w:color="auto"/>
        <w:right w:val="none" w:sz="0" w:space="0" w:color="auto"/>
      </w:divBdr>
    </w:div>
    <w:div w:id="1557473489">
      <w:bodyDiv w:val="1"/>
      <w:marLeft w:val="0"/>
      <w:marRight w:val="0"/>
      <w:marTop w:val="0"/>
      <w:marBottom w:val="0"/>
      <w:divBdr>
        <w:top w:val="none" w:sz="0" w:space="0" w:color="auto"/>
        <w:left w:val="none" w:sz="0" w:space="0" w:color="auto"/>
        <w:bottom w:val="none" w:sz="0" w:space="0" w:color="auto"/>
        <w:right w:val="none" w:sz="0" w:space="0" w:color="auto"/>
      </w:divBdr>
    </w:div>
    <w:div w:id="1569610256">
      <w:bodyDiv w:val="1"/>
      <w:marLeft w:val="0"/>
      <w:marRight w:val="0"/>
      <w:marTop w:val="0"/>
      <w:marBottom w:val="0"/>
      <w:divBdr>
        <w:top w:val="none" w:sz="0" w:space="0" w:color="auto"/>
        <w:left w:val="none" w:sz="0" w:space="0" w:color="auto"/>
        <w:bottom w:val="none" w:sz="0" w:space="0" w:color="auto"/>
        <w:right w:val="none" w:sz="0" w:space="0" w:color="auto"/>
      </w:divBdr>
    </w:div>
    <w:div w:id="2065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11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3DF0-3B2C-4EAD-9065-3002B0A5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6074</Characters>
  <Application>Microsoft Office Word</Application>
  <DocSecurity>0</DocSecurity>
  <Lines>112</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2017-05-24T08:34:00Z</dcterms:created>
  <dcterms:modified xsi:type="dcterms:W3CDTF">2017-05-31T10:42:00Z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2</vt:lpwstr>
  </property>
  <property fmtid="{D5CDD505-2E9C-101B-9397-08002B2CF9AE}" pid="3" name="Last annex">
    <vt:lpwstr>2</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