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CB" w:rsidRDefault="00DD5685" w:rsidP="00DD5685">
      <w:pPr>
        <w:pStyle w:val="Pagedecouverture"/>
        <w:rPr>
          <w:noProof/>
        </w:rPr>
      </w:pPr>
      <w:bookmarkStart w:id="0" w:name="_Toc482893083"/>
      <w:bookmarkStart w:id="1" w:name="LW_BM_COVERPAGE"/>
      <w:bookmarkStart w:id="2"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8E656817577443CA48FC210689F7E01" style="width:450pt;height:379.5pt">
            <v:imagedata r:id="rId9" o:title=""/>
          </v:shape>
        </w:pict>
      </w:r>
      <w:bookmarkEnd w:id="2"/>
    </w:p>
    <w:bookmarkEnd w:id="1"/>
    <w:p w:rsidR="001421CB" w:rsidRDefault="001421CB">
      <w:pPr>
        <w:rPr>
          <w:noProof/>
        </w:rPr>
        <w:sectPr w:rsidR="001421CB" w:rsidSect="00DD5685">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1421CB" w:rsidRDefault="00DD5685">
      <w:pPr>
        <w:spacing w:line="240" w:lineRule="auto"/>
        <w:rPr>
          <w:b/>
          <w:noProof/>
        </w:rPr>
      </w:pPr>
      <w:r>
        <w:rPr>
          <w:rFonts w:ascii="Times New Roman" w:hAnsi="Times New Roman"/>
          <w:b/>
          <w:noProof/>
          <w:sz w:val="24"/>
        </w:rPr>
        <w:lastRenderedPageBreak/>
        <w:t>2. melléklet: A gazdasági és monetáris unió eszköztára</w:t>
      </w:r>
      <w:bookmarkEnd w:id="0"/>
    </w:p>
    <w:p w:rsidR="001421CB" w:rsidRDefault="00DD56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válságból levont tanulságok alapján a gazdasági</w:t>
      </w:r>
      <w:r>
        <w:rPr>
          <w:rFonts w:ascii="Times New Roman" w:hAnsi="Times New Roman"/>
          <w:noProof/>
          <w:sz w:val="24"/>
        </w:rPr>
        <w:t xml:space="preserve"> és monetáris unió eszköztárát jelentősen átalakították és megerősítették 2010 óta. Négy területen történt előrelépés:</w:t>
      </w:r>
    </w:p>
    <w:p w:rsidR="001421CB" w:rsidRDefault="001421CB">
      <w:pPr>
        <w:spacing w:after="0" w:line="240" w:lineRule="auto"/>
        <w:jc w:val="both"/>
        <w:rPr>
          <w:rFonts w:ascii="Times New Roman" w:eastAsia="Times New Roman" w:hAnsi="Times New Roman" w:cs="Times New Roman"/>
          <w:b/>
          <w:noProof/>
          <w:sz w:val="24"/>
          <w:szCs w:val="24"/>
        </w:rPr>
      </w:pPr>
    </w:p>
    <w:p w:rsidR="001421CB" w:rsidRDefault="00DD5685">
      <w:pPr>
        <w:spacing w:after="0" w:line="240" w:lineRule="auto"/>
        <w:rPr>
          <w:rFonts w:ascii="Times New Roman" w:hAnsi="Times New Roman"/>
          <w:b/>
          <w:noProof/>
          <w:sz w:val="24"/>
        </w:rPr>
      </w:pPr>
      <w:r>
        <w:rPr>
          <w:rFonts w:ascii="Times New Roman" w:hAnsi="Times New Roman"/>
          <w:b/>
          <w:noProof/>
          <w:sz w:val="24"/>
        </w:rPr>
        <w:t>A gazdasági és monetáris unió mai eszköztára</w:t>
      </w:r>
    </w:p>
    <w:p w:rsidR="001421CB" w:rsidRDefault="001421CB">
      <w:pPr>
        <w:spacing w:after="0" w:line="240" w:lineRule="auto"/>
        <w:rPr>
          <w:rFonts w:ascii="Times New Roman" w:eastAsia="Times New Roman" w:hAnsi="Times New Roman" w:cs="Times New Roman"/>
          <w:b/>
          <w:noProof/>
          <w:sz w:val="24"/>
          <w:szCs w:val="24"/>
        </w:rPr>
      </w:pPr>
    </w:p>
    <w:p w:rsidR="001421CB" w:rsidRDefault="00DD5685">
      <w:pPr>
        <w:spacing w:after="0" w:line="240" w:lineRule="auto"/>
        <w:jc w:val="center"/>
        <w:rPr>
          <w:rFonts w:ascii="Times New Roman" w:eastAsia="Times New Roman" w:hAnsi="Times New Roman" w:cs="Times New Roman"/>
          <w:noProof/>
          <w:sz w:val="24"/>
          <w:szCs w:val="24"/>
        </w:rPr>
      </w:pPr>
      <w:r>
        <w:rPr>
          <w:noProof/>
          <w:lang w:val="en-GB" w:eastAsia="en-GB" w:bidi="ar-SA"/>
        </w:rPr>
        <w:drawing>
          <wp:inline distT="0" distB="0" distL="0" distR="0" wp14:anchorId="5FA61DE3" wp14:editId="02D56429">
            <wp:extent cx="5760720" cy="3150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150451"/>
                    </a:xfrm>
                    <a:prstGeom prst="rect">
                      <a:avLst/>
                    </a:prstGeom>
                  </pic:spPr>
                </pic:pic>
              </a:graphicData>
            </a:graphic>
          </wp:inline>
        </w:drawing>
      </w:r>
    </w:p>
    <w:p w:rsidR="001421CB" w:rsidRDefault="00DD5685">
      <w:pPr>
        <w:spacing w:after="0" w:line="240" w:lineRule="auto"/>
        <w:rPr>
          <w:rFonts w:ascii="Times New Roman" w:eastAsia="Times New Roman" w:hAnsi="Times New Roman" w:cs="Times New Roman"/>
          <w:i/>
          <w:noProof/>
          <w:sz w:val="24"/>
          <w:szCs w:val="24"/>
        </w:rPr>
      </w:pPr>
      <w:r>
        <w:rPr>
          <w:rFonts w:ascii="Times New Roman" w:hAnsi="Times New Roman"/>
          <w:i/>
          <w:noProof/>
          <w:sz w:val="24"/>
        </w:rPr>
        <w:t>Forrás: Európai Bizottság</w:t>
      </w:r>
    </w:p>
    <w:p w:rsidR="001421CB" w:rsidRDefault="001421CB">
      <w:pPr>
        <w:spacing w:after="0" w:line="240" w:lineRule="auto"/>
        <w:jc w:val="both"/>
        <w:rPr>
          <w:rFonts w:ascii="Times New Roman" w:eastAsia="Times New Roman" w:hAnsi="Times New Roman" w:cs="Times New Roman"/>
          <w:b/>
          <w:noProof/>
          <w:sz w:val="24"/>
          <w:szCs w:val="24"/>
        </w:rPr>
      </w:pPr>
    </w:p>
    <w:p w:rsidR="001421CB" w:rsidRDefault="00DD5685">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Jelentős lépéseket tettek a 2011–13 közötti válság csúcsán, </w:t>
      </w:r>
      <w:r>
        <w:rPr>
          <w:rFonts w:ascii="Times New Roman" w:hAnsi="Times New Roman"/>
          <w:b/>
          <w:noProof/>
          <w:sz w:val="24"/>
        </w:rPr>
        <w:t>illetve a közvetlen utóhatásaival összefüggésben, az euróövezet integritásának védelmezése és architektúrájának megszilárdítása érdekében:</w:t>
      </w:r>
    </w:p>
    <w:p w:rsidR="001421CB" w:rsidRDefault="001421CB">
      <w:pPr>
        <w:spacing w:after="0" w:line="240" w:lineRule="auto"/>
        <w:jc w:val="both"/>
        <w:rPr>
          <w:rFonts w:ascii="Times New Roman" w:eastAsia="Times New Roman" w:hAnsi="Times New Roman" w:cs="Times New Roman"/>
          <w:noProof/>
          <w:sz w:val="24"/>
          <w:szCs w:val="24"/>
        </w:rPr>
      </w:pPr>
    </w:p>
    <w:p w:rsidR="001421CB" w:rsidRDefault="00DD5685">
      <w:pPr>
        <w:pStyle w:val="ListParagraph"/>
        <w:numPr>
          <w:ilvl w:val="0"/>
          <w:numId w:val="13"/>
        </w:numPr>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Új szabályokat vezettek be a gazdaságpolitika és a költségvetési politika összehangolásának javítására, valamint e </w:t>
      </w:r>
      <w:r>
        <w:rPr>
          <w:rFonts w:ascii="Times New Roman" w:hAnsi="Times New Roman"/>
          <w:noProof/>
          <w:sz w:val="24"/>
        </w:rPr>
        <w:t xml:space="preserve">politikák eredményesebb megvitatására nemzeti és európai szinten. Ezt szolgálta az éves döntéshozatali ciklus – az európai szemeszter – bevezetése, melynek célja az uniós és nemzeti prioritások jobb összehangolása szorosabb nyomon követés és szakpolitikai </w:t>
      </w:r>
      <w:r>
        <w:rPr>
          <w:rFonts w:ascii="Times New Roman" w:hAnsi="Times New Roman"/>
          <w:noProof/>
          <w:sz w:val="24"/>
        </w:rPr>
        <w:t>iránymutatás révén. Az EU költségvetési szabályait, melyeket az ún. Stabilitási és Növekedési Paktum tartalmaz, kiegészítették az ún. „hatos csomaggal” és a „kettes csomaggal”, valamint a gazdasági és monetáris unióbeli stabilitásról, koordinációról és kor</w:t>
      </w:r>
      <w:r>
        <w:rPr>
          <w:rFonts w:ascii="Times New Roman" w:hAnsi="Times New Roman"/>
          <w:noProof/>
          <w:sz w:val="24"/>
        </w:rPr>
        <w:t>mányzásról szóló szerződéssel, mely a „költségvetési paktumot” tartalmazza. Segítségükkel szorosabban felügyelték a nemzeti költségvetéseket, stabilabb költségvetési keretrendszereket határoztak meg és nagyobb figyelmet szenteltek az adósságszinteknek. Eze</w:t>
      </w:r>
      <w:r>
        <w:rPr>
          <w:rFonts w:ascii="Times New Roman" w:hAnsi="Times New Roman"/>
          <w:noProof/>
          <w:sz w:val="24"/>
        </w:rPr>
        <w:t>k a szabályok egy új eljárást is bevezettek: a makrogazdasági egyensúlyhiány kezelésére szolgáló eljárást. Segítségével feltárhatók és korrigálhatók a kedvezőtlen gazdasági fejlemények, mielőtt azok bekövetkeznének.</w:t>
      </w:r>
    </w:p>
    <w:p w:rsidR="001421CB" w:rsidRDefault="001421CB">
      <w:pPr>
        <w:pStyle w:val="ListParagraph"/>
        <w:spacing w:after="0" w:line="240" w:lineRule="auto"/>
        <w:ind w:left="360"/>
        <w:jc w:val="both"/>
        <w:rPr>
          <w:rFonts w:ascii="Times New Roman" w:eastAsia="Times New Roman" w:hAnsi="Times New Roman" w:cs="Times New Roman"/>
          <w:noProof/>
          <w:sz w:val="24"/>
          <w:szCs w:val="24"/>
        </w:rPr>
      </w:pPr>
    </w:p>
    <w:p w:rsidR="001421CB" w:rsidRDefault="00DD5685">
      <w:pPr>
        <w:pStyle w:val="ListParagraph"/>
        <w:numPr>
          <w:ilvl w:val="0"/>
          <w:numId w:val="13"/>
        </w:numPr>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Számos kezdeményezés született, melyek </w:t>
      </w:r>
      <w:r>
        <w:rPr>
          <w:rFonts w:ascii="Times New Roman" w:hAnsi="Times New Roman"/>
          <w:noProof/>
          <w:sz w:val="24"/>
        </w:rPr>
        <w:t>célja egy biztonságosabb pénzügyi ágazat létrehozása az egységes piac számára. Ezekből a kezdeményezésekből áll az ún. „egységes szabálykönyv”, mely valamennyi pénzügyi szereplőre alkalmazandó az uniós tagállamokban. Az egységes szabálykönyv harmonizált pr</w:t>
      </w:r>
      <w:r>
        <w:rPr>
          <w:rFonts w:ascii="Times New Roman" w:hAnsi="Times New Roman"/>
          <w:noProof/>
          <w:sz w:val="24"/>
        </w:rPr>
        <w:t xml:space="preserve">udenciális szabályok egész sorát tartalmazza, melyeket az intézményeknek EU-szerte be kell tartaniuk. Az egységes szabálykönyv az alapja az ún. bankúniónak is. A bankúnió tagjai az euróövezeti országok, </w:t>
      </w:r>
      <w:r>
        <w:rPr>
          <w:rFonts w:ascii="Times New Roman" w:hAnsi="Times New Roman"/>
          <w:noProof/>
          <w:sz w:val="24"/>
        </w:rPr>
        <w:lastRenderedPageBreak/>
        <w:t>de nem euróövezeti országok is csatlakozhatnak. Az EU</w:t>
      </w:r>
      <w:r>
        <w:rPr>
          <w:rFonts w:ascii="Times New Roman" w:hAnsi="Times New Roman"/>
          <w:noProof/>
          <w:sz w:val="24"/>
        </w:rPr>
        <w:t xml:space="preserve">-ban a bankúnió részeként a nagyméretű, határokon átnyúló tevékenységű bankok felügyeletének és szanálásának felelősségét európai szintre emelték. E célból létrehozták az egységes felügyeleti mechanizmust (SSM) és az Egységes Szanálási Mechanizmust (SRM). </w:t>
      </w:r>
      <w:r>
        <w:rPr>
          <w:rFonts w:ascii="Times New Roman" w:hAnsi="Times New Roman"/>
          <w:noProof/>
          <w:sz w:val="24"/>
        </w:rPr>
        <w:t>Harmonizálták a tagállamok között a betétbiztosításra vonatkozó alapvető szabályokat, így ma már minden egyes bankbetét teljes védelmet élvez 100 000 EUR összegig.</w:t>
      </w:r>
    </w:p>
    <w:p w:rsidR="001421CB" w:rsidRDefault="001421CB">
      <w:pPr>
        <w:pStyle w:val="ListParagraph"/>
        <w:spacing w:after="0" w:line="240" w:lineRule="auto"/>
        <w:ind w:left="360"/>
        <w:jc w:val="both"/>
        <w:rPr>
          <w:rFonts w:ascii="Times New Roman" w:eastAsia="Times New Roman" w:hAnsi="Times New Roman" w:cs="Times New Roman"/>
          <w:noProof/>
          <w:sz w:val="24"/>
          <w:szCs w:val="24"/>
        </w:rPr>
      </w:pPr>
    </w:p>
    <w:p w:rsidR="001421CB" w:rsidRDefault="00DD5685">
      <w:pPr>
        <w:pStyle w:val="ListParagraph"/>
        <w:numPr>
          <w:ilvl w:val="0"/>
          <w:numId w:val="13"/>
        </w:numPr>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Mentőalapokat hoztak létre, melyek pénzügyi segítséget nyújtanak azoknak a tagállamoknak, a</w:t>
      </w:r>
      <w:r>
        <w:rPr>
          <w:rFonts w:ascii="Times New Roman" w:hAnsi="Times New Roman"/>
          <w:noProof/>
          <w:sz w:val="24"/>
        </w:rPr>
        <w:t>melyek már nem jutnak hitelhez a pénzügyi piacokon. Ez eredetileg csak átmeneti alapon történt az európai pénzügyi stabilizációs mechanizmus (EFSM) és az Európai Pénzügyi Stabilitási Eszköz (EFSF) keretében. A jelenlegi vészhelyzeti alap – az Európai Stabi</w:t>
      </w:r>
      <w:r>
        <w:rPr>
          <w:rFonts w:ascii="Times New Roman" w:hAnsi="Times New Roman"/>
          <w:noProof/>
          <w:sz w:val="24"/>
        </w:rPr>
        <w:t>litási Mechanizmus – most már állandó jellegű, teljes hitelezési kapacitása 500 milliárd EUR.</w:t>
      </w:r>
    </w:p>
    <w:p w:rsidR="001421CB" w:rsidRDefault="001421CB">
      <w:pPr>
        <w:spacing w:after="0" w:line="240" w:lineRule="auto"/>
        <w:jc w:val="both"/>
        <w:rPr>
          <w:rFonts w:ascii="Times New Roman" w:eastAsia="Times New Roman" w:hAnsi="Times New Roman" w:cs="Times New Roman"/>
          <w:noProof/>
          <w:sz w:val="24"/>
          <w:szCs w:val="24"/>
        </w:rPr>
      </w:pPr>
    </w:p>
    <w:p w:rsidR="001421CB" w:rsidRDefault="00DD5685">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A jelenlegi Bizottság 2014. novemberi hivatalba lépése óta, és az öt elnök 2015 júniusi jelentésének közzététele óta számos további, fontos intézkedést hoztak:</w:t>
      </w:r>
    </w:p>
    <w:p w:rsidR="001421CB" w:rsidRDefault="001421CB">
      <w:pPr>
        <w:pStyle w:val="ListParagraph"/>
        <w:spacing w:after="0" w:line="240" w:lineRule="auto"/>
        <w:ind w:left="360"/>
        <w:jc w:val="both"/>
        <w:rPr>
          <w:rFonts w:ascii="Times New Roman" w:eastAsia="Times New Roman" w:hAnsi="Times New Roman" w:cs="Times New Roman"/>
          <w:noProof/>
          <w:sz w:val="24"/>
          <w:szCs w:val="24"/>
        </w:rPr>
      </w:pPr>
    </w:p>
    <w:p w:rsidR="001421CB" w:rsidRDefault="00DD5685">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Átalakították a gazdaságpolitikai koordináció európai szemeszterét. A tagállamoknak és az érintetteknek (nemzeti parlamentek, szociális partnerek, civil társadalom) több lehetősége van a valamennyi szintet átfogó egyeztetésre. Nagyobb figyelmet fordítottak</w:t>
      </w:r>
      <w:r>
        <w:rPr>
          <w:rFonts w:ascii="Times New Roman" w:hAnsi="Times New Roman"/>
          <w:noProof/>
          <w:sz w:val="24"/>
        </w:rPr>
        <w:t xml:space="preserve"> az euróövezetet mint egészet érintő kihívásoknak, ezekre irányuló ajánlásokkal és a továbbgyűrűző hatások szorosabb nyomon követésével. A Stabilitási és Növekedési Paktum szabályain belüli rugalmasságot a reformok és a beruházások támogatása érdekében alk</w:t>
      </w:r>
      <w:r>
        <w:rPr>
          <w:rFonts w:ascii="Times New Roman" w:hAnsi="Times New Roman"/>
          <w:noProof/>
          <w:sz w:val="24"/>
        </w:rPr>
        <w:t>almazták, a gazdasági ciklushoz való jobb alkalmazkodás érdekében.</w:t>
      </w:r>
    </w:p>
    <w:p w:rsidR="001421CB" w:rsidRDefault="001421CB">
      <w:pPr>
        <w:pStyle w:val="ListParagraph"/>
        <w:spacing w:after="0" w:line="240" w:lineRule="auto"/>
        <w:ind w:left="360"/>
        <w:jc w:val="both"/>
        <w:rPr>
          <w:rFonts w:ascii="Times New Roman" w:eastAsia="Times New Roman" w:hAnsi="Times New Roman" w:cs="Times New Roman"/>
          <w:noProof/>
          <w:sz w:val="24"/>
          <w:szCs w:val="24"/>
        </w:rPr>
      </w:pPr>
    </w:p>
    <w:p w:rsidR="001421CB" w:rsidRDefault="00DD5685">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Az európai szemeszter részeként a szociális megfontolásokat a gazdasági megfontolásokkal egyenrangúként kezelték, célirányos ajánlásokat hoztak és új szociális mutatókat vezettek be. A Biz</w:t>
      </w:r>
      <w:r>
        <w:rPr>
          <w:rFonts w:ascii="Times New Roman" w:hAnsi="Times New Roman"/>
          <w:noProof/>
          <w:sz w:val="24"/>
        </w:rPr>
        <w:t>ottság konkrét javaslatokat is tett a szociális jogok európai pillére létrehozására, mely iránytűként szolgálna a megújult konvergenciafolyamat számára. A Görögország számára kidolgozott, új stabilitási támogatási programról való megállapodást megelőzően t</w:t>
      </w:r>
      <w:r>
        <w:rPr>
          <w:rFonts w:ascii="Times New Roman" w:hAnsi="Times New Roman"/>
          <w:noProof/>
          <w:sz w:val="24"/>
        </w:rPr>
        <w:t>ársadalmi hatásvizsgálatot végeztek.</w:t>
      </w:r>
    </w:p>
    <w:p w:rsidR="001421CB" w:rsidRDefault="001421CB">
      <w:pPr>
        <w:pStyle w:val="ListParagraph"/>
        <w:rPr>
          <w:rFonts w:ascii="Times New Roman" w:eastAsia="Times New Roman" w:hAnsi="Times New Roman" w:cs="Times New Roman"/>
          <w:noProof/>
          <w:sz w:val="24"/>
          <w:szCs w:val="24"/>
        </w:rPr>
      </w:pPr>
    </w:p>
    <w:p w:rsidR="001421CB" w:rsidRDefault="00DD5685">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nemzeti szintű reformfolyamatok támogatása, és az azokhoz szükséges információk biztosítása érdekében a Tanács elfogadta a Bizottság javaslatát, melyben ajánlást tett az euróövezeti tagállamoknak nemzeti versenyképes</w:t>
      </w:r>
      <w:r>
        <w:rPr>
          <w:rFonts w:ascii="Times New Roman" w:hAnsi="Times New Roman"/>
          <w:noProof/>
          <w:sz w:val="24"/>
        </w:rPr>
        <w:t>ségi testületek felállítására. A Bizottság létrehozta a Strukturálisreform-támogató Szolgálatot is, mely Európa-szerte összegyűjti a szakértelmet és technikai támogatást nyújt az érdekelt tagállamoknak.</w:t>
      </w:r>
    </w:p>
    <w:p w:rsidR="001421CB" w:rsidRDefault="001421CB">
      <w:pPr>
        <w:pStyle w:val="ListParagraph"/>
        <w:rPr>
          <w:rFonts w:ascii="Times New Roman" w:eastAsia="Times New Roman" w:hAnsi="Times New Roman" w:cs="Times New Roman"/>
          <w:noProof/>
          <w:sz w:val="24"/>
          <w:szCs w:val="24"/>
        </w:rPr>
      </w:pPr>
    </w:p>
    <w:p w:rsidR="001421CB" w:rsidRDefault="00DD5685">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bankunió kiteljesítése részeként a Bizottság európ</w:t>
      </w:r>
      <w:r>
        <w:rPr>
          <w:rFonts w:ascii="Times New Roman" w:hAnsi="Times New Roman"/>
          <w:noProof/>
          <w:sz w:val="24"/>
        </w:rPr>
        <w:t>ai betétbiztosítási rendszer fokozatos, 2025-ig történő bevezetését javasolta. Ennek keretében az euróövezet összes betétese ugyanolyan szintű védelemben részesülne, súlyos helyi sokkok esetében is. A Bizottság benyújtott egy átfogó jogalkotási csomagot is</w:t>
      </w:r>
      <w:r>
        <w:rPr>
          <w:rFonts w:ascii="Times New Roman" w:hAnsi="Times New Roman"/>
          <w:noProof/>
          <w:sz w:val="24"/>
        </w:rPr>
        <w:t>, mely a kockázatok további csökkentésére, valamint az uniós pénzintézetek, különösen pedig a bankszektor ellenálló képességének növelésére irányul.</w:t>
      </w:r>
    </w:p>
    <w:p w:rsidR="001421CB" w:rsidRDefault="001421CB">
      <w:pPr>
        <w:pStyle w:val="ListParagraph"/>
        <w:rPr>
          <w:rFonts w:ascii="Times New Roman" w:eastAsia="Times New Roman" w:hAnsi="Times New Roman" w:cs="Times New Roman"/>
          <w:noProof/>
          <w:sz w:val="24"/>
          <w:szCs w:val="24"/>
        </w:rPr>
      </w:pPr>
    </w:p>
    <w:p w:rsidR="001421CB" w:rsidRDefault="00DD5685">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költségvetési unióval kapcsolatos munka részeként a Bizottság és a Tanács a meglévő szabályok egyszerűsí</w:t>
      </w:r>
      <w:r>
        <w:rPr>
          <w:rFonts w:ascii="Times New Roman" w:hAnsi="Times New Roman"/>
          <w:noProof/>
          <w:sz w:val="24"/>
        </w:rPr>
        <w:t xml:space="preserve">tésén dolgozott. Például figyelemmel kísérték az állami kiadásokra vonatkozó referenciaérték alakulását, melyet a kormányok könnyebben tudnak ellenőrizni, és jobban tükrözi a szándékaikat. A Bizottság az egyes európai szemeszterek elején </w:t>
      </w:r>
      <w:r>
        <w:rPr>
          <w:rFonts w:ascii="Times New Roman" w:hAnsi="Times New Roman"/>
          <w:noProof/>
          <w:sz w:val="24"/>
        </w:rPr>
        <w:lastRenderedPageBreak/>
        <w:t>felhívta a figyelm</w:t>
      </w:r>
      <w:r>
        <w:rPr>
          <w:rFonts w:ascii="Times New Roman" w:hAnsi="Times New Roman"/>
          <w:noProof/>
          <w:sz w:val="24"/>
        </w:rPr>
        <w:t>et arra, hogy nagyobb hangsúlyt kell fektetni az euróövezettel kapcsolatos prioritásokra, és pozitívabb költségvetési irányvonalra szólított fel az övezet egészét illetően. Az újonnan létrehozott Európai Költségvetési Tanács segíteni fogja az EU költségvet</w:t>
      </w:r>
      <w:r>
        <w:rPr>
          <w:rFonts w:ascii="Times New Roman" w:hAnsi="Times New Roman"/>
          <w:noProof/>
          <w:sz w:val="24"/>
        </w:rPr>
        <w:t>ési szabályai végrehajtásának értékelését.</w:t>
      </w:r>
    </w:p>
    <w:p w:rsidR="001421CB" w:rsidRDefault="001421CB">
      <w:pPr>
        <w:pStyle w:val="ListParagraph"/>
        <w:spacing w:after="0" w:line="240" w:lineRule="auto"/>
        <w:ind w:left="360"/>
        <w:jc w:val="both"/>
        <w:rPr>
          <w:rFonts w:ascii="Times New Roman" w:eastAsia="Times New Roman" w:hAnsi="Times New Roman" w:cs="Times New Roman"/>
          <w:noProof/>
          <w:sz w:val="24"/>
          <w:szCs w:val="24"/>
        </w:rPr>
      </w:pPr>
    </w:p>
    <w:p w:rsidR="001421CB" w:rsidRDefault="00DD5685">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Az egységes piac erősítése részeként, valamint a tágabb európai beruházási terv elemeként, számos kezdeményezés elősegítette a finanszírozási eszközökhöz való hozzáférés lehetőségeinek szélesítését és javítását a</w:t>
      </w:r>
      <w:r>
        <w:rPr>
          <w:rFonts w:ascii="Times New Roman" w:hAnsi="Times New Roman"/>
          <w:noProof/>
          <w:sz w:val="24"/>
        </w:rPr>
        <w:t>z európai vállalkozások számára. Az ún. tőkepiaci uniónak köszönhetően a vállalkozások jobban hozzáférnének a tőkepiacokhoz, míg jelenleg elsősorban banki finanszírozástól függenek.</w:t>
      </w:r>
    </w:p>
    <w:p w:rsidR="001421CB" w:rsidRDefault="001421CB">
      <w:pPr>
        <w:pStyle w:val="ListParagraph"/>
        <w:spacing w:after="0" w:line="240" w:lineRule="auto"/>
        <w:ind w:left="360"/>
        <w:jc w:val="both"/>
        <w:rPr>
          <w:noProof/>
        </w:rPr>
      </w:pPr>
    </w:p>
    <w:p w:rsidR="001421CB" w:rsidRDefault="00DD5685">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létező intézmények erősítését célzó erőfeszítések részeként a Bizottság</w:t>
      </w:r>
      <w:r>
        <w:rPr>
          <w:rFonts w:ascii="Times New Roman" w:hAnsi="Times New Roman"/>
          <w:noProof/>
          <w:sz w:val="24"/>
        </w:rPr>
        <w:t xml:space="preserve"> javaslatot tett az euróövezet nemzetközi pénzügyi szervezetekben, pl. a Nemzetközi Valutaalapban (IMF) való külső képviseletének 2025-re megvalósítandó, fokozatos javítására. El kell kezdeni az egységes képviselet irányába mutató további lépések kidolgozá</w:t>
      </w:r>
      <w:r>
        <w:rPr>
          <w:rFonts w:ascii="Times New Roman" w:hAnsi="Times New Roman"/>
          <w:noProof/>
          <w:sz w:val="24"/>
        </w:rPr>
        <w:t>sát. A Bizottság támogatja az eurócsoport erőfeszítéseit is, melyekkel nagyobb átláthatóságot kíván biztosítani a dokumentumai és az eljárásai tekintetében.</w:t>
      </w:r>
    </w:p>
    <w:sectPr w:rsidR="001421C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18497" w15:done="0"/>
  <w15:commentEx w15:paraId="14F508F4" w15:done="0"/>
  <w15:commentEx w15:paraId="58BB2950" w15:done="0"/>
  <w15:commentEx w15:paraId="17653B2E" w15:done="0"/>
  <w15:commentEx w15:paraId="219C1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CB" w:rsidRDefault="00DD5685">
      <w:pPr>
        <w:spacing w:after="0" w:line="240" w:lineRule="auto"/>
      </w:pPr>
      <w:r>
        <w:separator/>
      </w:r>
    </w:p>
  </w:endnote>
  <w:endnote w:type="continuationSeparator" w:id="0">
    <w:p w:rsidR="001421CB" w:rsidRDefault="00DD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85" w:rsidRPr="00DD5685" w:rsidRDefault="00DD5685" w:rsidP="00DD5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85" w:rsidRPr="00DD5685" w:rsidRDefault="00DD5685" w:rsidP="00DD5685">
    <w:pPr>
      <w:pStyle w:val="FooterCoverPage"/>
      <w:rPr>
        <w:rFonts w:ascii="Arial" w:hAnsi="Arial" w:cs="Arial"/>
        <w:b/>
        <w:sz w:val="48"/>
      </w:rPr>
    </w:pPr>
    <w:r w:rsidRPr="00DD5685">
      <w:rPr>
        <w:rFonts w:ascii="Arial" w:hAnsi="Arial" w:cs="Arial"/>
        <w:b/>
        <w:sz w:val="48"/>
      </w:rPr>
      <w:t>HU</w:t>
    </w:r>
    <w:r w:rsidRPr="00DD5685">
      <w:rPr>
        <w:rFonts w:ascii="Arial" w:hAnsi="Arial" w:cs="Arial"/>
        <w:b/>
        <w:sz w:val="48"/>
      </w:rPr>
      <w:tab/>
    </w:r>
    <w:r w:rsidRPr="00DD5685">
      <w:rPr>
        <w:rFonts w:ascii="Arial" w:hAnsi="Arial" w:cs="Arial"/>
        <w:b/>
        <w:sz w:val="48"/>
      </w:rPr>
      <w:tab/>
    </w:r>
    <w:fldSimple w:instr=" DOCVARIABLE &quot;LW_Confidence&quot; \* MERGEFORMAT ">
      <w:r>
        <w:t xml:space="preserve"> </w:t>
      </w:r>
    </w:fldSimple>
    <w:r w:rsidRPr="00DD5685">
      <w:tab/>
    </w:r>
    <w:r w:rsidRPr="00DD5685">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85" w:rsidRPr="00DD5685" w:rsidRDefault="00DD5685" w:rsidP="00DD5685">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CB" w:rsidRDefault="001421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721787"/>
      <w:docPartObj>
        <w:docPartGallery w:val="Page Numbers (Bottom of Page)"/>
        <w:docPartUnique/>
      </w:docPartObj>
    </w:sdtPr>
    <w:sdtEndPr>
      <w:rPr>
        <w:noProof/>
      </w:rPr>
    </w:sdtEndPr>
    <w:sdtContent>
      <w:p w:rsidR="001421CB" w:rsidRDefault="00DD56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421CB" w:rsidRDefault="001421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CB" w:rsidRDefault="0014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CB" w:rsidRDefault="00DD5685">
      <w:pPr>
        <w:spacing w:after="0" w:line="240" w:lineRule="auto"/>
      </w:pPr>
      <w:r>
        <w:separator/>
      </w:r>
    </w:p>
  </w:footnote>
  <w:footnote w:type="continuationSeparator" w:id="0">
    <w:p w:rsidR="001421CB" w:rsidRDefault="00DD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85" w:rsidRPr="00DD5685" w:rsidRDefault="00DD5685" w:rsidP="00DD5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85" w:rsidRPr="00DD5685" w:rsidRDefault="00DD5685" w:rsidP="00DD5685">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85" w:rsidRPr="00DD5685" w:rsidRDefault="00DD5685" w:rsidP="00DD5685">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CB" w:rsidRDefault="001421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CB" w:rsidRDefault="001421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CB" w:rsidRDefault="00142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8ED"/>
    <w:multiLevelType w:val="hybridMultilevel"/>
    <w:tmpl w:val="A46AF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89316E0"/>
    <w:multiLevelType w:val="hybridMultilevel"/>
    <w:tmpl w:val="66B6C746"/>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E3F7D"/>
    <w:multiLevelType w:val="hybridMultilevel"/>
    <w:tmpl w:val="AE3A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65431"/>
    <w:multiLevelType w:val="hybridMultilevel"/>
    <w:tmpl w:val="4558C2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8F10838"/>
    <w:multiLevelType w:val="hybridMultilevel"/>
    <w:tmpl w:val="E5D233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22281C4F"/>
    <w:multiLevelType w:val="hybridMultilevel"/>
    <w:tmpl w:val="0C2418D8"/>
    <w:lvl w:ilvl="0" w:tplc="31249888">
      <w:numFmt w:val="bullet"/>
      <w:lvlText w:val="•"/>
      <w:lvlJc w:val="left"/>
      <w:pPr>
        <w:ind w:left="1080" w:hanging="720"/>
      </w:pPr>
      <w:rPr>
        <w:rFonts w:ascii="Times New Roman" w:eastAsia="Times New Roman" w:hAnsi="Times New Roman"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89C1548"/>
    <w:multiLevelType w:val="hybridMultilevel"/>
    <w:tmpl w:val="2CE2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D41042"/>
    <w:multiLevelType w:val="hybridMultilevel"/>
    <w:tmpl w:val="B00080DC"/>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7E5D12"/>
    <w:multiLevelType w:val="hybridMultilevel"/>
    <w:tmpl w:val="8D72C37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C3A40"/>
    <w:multiLevelType w:val="hybridMultilevel"/>
    <w:tmpl w:val="BEC06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3A136E9"/>
    <w:multiLevelType w:val="hybridMultilevel"/>
    <w:tmpl w:val="6C7436F2"/>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25589"/>
    <w:multiLevelType w:val="hybridMultilevel"/>
    <w:tmpl w:val="1044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2052D"/>
    <w:multiLevelType w:val="hybridMultilevel"/>
    <w:tmpl w:val="5ECA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D339A"/>
    <w:multiLevelType w:val="hybridMultilevel"/>
    <w:tmpl w:val="9DA2F80C"/>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0E0AB9"/>
    <w:multiLevelType w:val="hybridMultilevel"/>
    <w:tmpl w:val="4EAA295C"/>
    <w:lvl w:ilvl="0" w:tplc="080C0005">
      <w:start w:val="1"/>
      <w:numFmt w:val="bullet"/>
      <w:lvlText w:val=""/>
      <w:lvlJc w:val="left"/>
      <w:pPr>
        <w:ind w:left="720" w:hanging="360"/>
      </w:pPr>
      <w:rPr>
        <w:rFonts w:ascii="Wingdings" w:hAnsi="Wingdings" w:hint="default"/>
      </w:rPr>
    </w:lvl>
    <w:lvl w:ilvl="1" w:tplc="353E04B2">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8335E64"/>
    <w:multiLevelType w:val="hybridMultilevel"/>
    <w:tmpl w:val="FE4AF858"/>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6456E9"/>
    <w:multiLevelType w:val="hybridMultilevel"/>
    <w:tmpl w:val="A1CC8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33CC8"/>
    <w:multiLevelType w:val="hybridMultilevel"/>
    <w:tmpl w:val="0F940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7D1FED"/>
    <w:multiLevelType w:val="hybridMultilevel"/>
    <w:tmpl w:val="E9027C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C97F77"/>
    <w:multiLevelType w:val="hybridMultilevel"/>
    <w:tmpl w:val="A2EE0F9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634FA5"/>
    <w:multiLevelType w:val="hybridMultilevel"/>
    <w:tmpl w:val="F58C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4533C"/>
    <w:multiLevelType w:val="hybridMultilevel"/>
    <w:tmpl w:val="B99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57211"/>
    <w:multiLevelType w:val="hybridMultilevel"/>
    <w:tmpl w:val="9D2C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41773"/>
    <w:multiLevelType w:val="hybridMultilevel"/>
    <w:tmpl w:val="9772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0C155C"/>
    <w:multiLevelType w:val="hybridMultilevel"/>
    <w:tmpl w:val="3B04896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30BB1"/>
    <w:multiLevelType w:val="hybridMultilevel"/>
    <w:tmpl w:val="758E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6"/>
  </w:num>
  <w:num w:numId="5">
    <w:abstractNumId w:val="0"/>
  </w:num>
  <w:num w:numId="6">
    <w:abstractNumId w:val="18"/>
  </w:num>
  <w:num w:numId="7">
    <w:abstractNumId w:val="2"/>
  </w:num>
  <w:num w:numId="8">
    <w:abstractNumId w:val="12"/>
  </w:num>
  <w:num w:numId="9">
    <w:abstractNumId w:val="9"/>
  </w:num>
  <w:num w:numId="10">
    <w:abstractNumId w:val="25"/>
  </w:num>
  <w:num w:numId="11">
    <w:abstractNumId w:val="15"/>
  </w:num>
  <w:num w:numId="12">
    <w:abstractNumId w:val="1"/>
  </w:num>
  <w:num w:numId="13">
    <w:abstractNumId w:val="13"/>
  </w:num>
  <w:num w:numId="14">
    <w:abstractNumId w:val="7"/>
  </w:num>
  <w:num w:numId="15">
    <w:abstractNumId w:val="8"/>
  </w:num>
  <w:num w:numId="16">
    <w:abstractNumId w:val="10"/>
  </w:num>
  <w:num w:numId="17">
    <w:abstractNumId w:val="24"/>
  </w:num>
  <w:num w:numId="18">
    <w:abstractNumId w:val="19"/>
  </w:num>
  <w:num w:numId="19">
    <w:abstractNumId w:val="20"/>
  </w:num>
  <w:num w:numId="20">
    <w:abstractNumId w:val="22"/>
  </w:num>
  <w:num w:numId="21">
    <w:abstractNumId w:val="4"/>
  </w:num>
  <w:num w:numId="22">
    <w:abstractNumId w:val="14"/>
  </w:num>
  <w:num w:numId="23">
    <w:abstractNumId w:val="3"/>
  </w:num>
  <w:num w:numId="24">
    <w:abstractNumId w:val="5"/>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 következ\u337?höz"/>
    <w:docVar w:name="LW_ANNEX_NBR_FIRST" w:val="2"/>
    <w:docVar w:name="LW_ANNEX_NBR_LAST" w:val="2"/>
    <w:docVar w:name="LW_CONFIDENCE" w:val=" "/>
    <w:docVar w:name="LW_CONST_RESTREINT_UE" w:val="RESTREINT UE/EU RESTRICTED"/>
    <w:docVar w:name="LW_CORRIGENDUM" w:val="&lt;UNUSED&gt;"/>
    <w:docVar w:name="LW_COVERPAGE_GUID" w:val="18E656817577443CA48FC210689F7E01"/>
    <w:docVar w:name="LW_CROSSREFERENCE" w:val="&lt;UNUSED&gt;"/>
    <w:docVar w:name="LW_DocType" w:val="NORMAL"/>
    <w:docVar w:name="LW_EMISSION" w:val="2017.5.31."/>
    <w:docVar w:name="LW_EMISSION_ISODATE" w:val="2017-05-31"/>
    <w:docVar w:name="LW_EMISSION_LOCATION" w:val="BRX"/>
    <w:docVar w:name="LW_EMISSION_PREFIX" w:val="Brüsszel, "/>
    <w:docVar w:name="LW_EMISSION_SUFFIX" w:val=" "/>
    <w:docVar w:name="LW_ID_DOCTYPE_NONLW" w:val="CP-039"/>
    <w:docVar w:name="LW_LANGUE" w:val="HU"/>
    <w:docVar w:name="LW_MARKING" w:val="&lt;UNUSED&gt;"/>
    <w:docVar w:name="LW_NOM.INST" w:val="EURÓPAI BIZOTTSÁG"/>
    <w:docVar w:name="LW_NOM.INST_JOINTDOC" w:val="&lt;EMPTY&gt;"/>
    <w:docVar w:name="LW_OBJETACTEPRINCIPAL.CP" w:val="A GAZDASÁGI ÉS MONETÁRIS UNIÓ ELMÉLYÍTÉSÉR\u336?L_x000b_"/>
    <w:docVar w:name="LW_PART_NBR" w:val="1"/>
    <w:docVar w:name="LW_PART_NBR_TOTAL" w:val="1"/>
    <w:docVar w:name="LW_REF.INST.NEW" w:val="COM"/>
    <w:docVar w:name="LW_REF.INST.NEW_ADOPTED" w:val="final"/>
    <w:docVar w:name="LW_REF.INST.NEW_TEXT" w:val="(2017) 291"/>
    <w:docVar w:name="LW_REF.INTERNE" w:val="&lt;UNUSED&gt;"/>
    <w:docVar w:name="LW_SUPERTITRE" w:val="&lt;UNUSED&gt;"/>
    <w:docVar w:name="LW_TITRE.OBJ.CP" w:val="&lt;UNUSED&gt;"/>
    <w:docVar w:name="LW_TYPE.DOC.CP" w:val="MELLÉKLET_x000b_"/>
    <w:docVar w:name="LW_TYPEACTEPRINCIPAL.CP" w:val="VITAANYAG"/>
  </w:docVars>
  <w:rsids>
    <w:rsidRoot w:val="001421CB"/>
    <w:rsid w:val="001421CB"/>
    <w:rsid w:val="00DD56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0237">
      <w:bodyDiv w:val="1"/>
      <w:marLeft w:val="0"/>
      <w:marRight w:val="0"/>
      <w:marTop w:val="0"/>
      <w:marBottom w:val="0"/>
      <w:divBdr>
        <w:top w:val="none" w:sz="0" w:space="0" w:color="auto"/>
        <w:left w:val="none" w:sz="0" w:space="0" w:color="auto"/>
        <w:bottom w:val="none" w:sz="0" w:space="0" w:color="auto"/>
        <w:right w:val="none" w:sz="0" w:space="0" w:color="auto"/>
      </w:divBdr>
    </w:div>
    <w:div w:id="1557473489">
      <w:bodyDiv w:val="1"/>
      <w:marLeft w:val="0"/>
      <w:marRight w:val="0"/>
      <w:marTop w:val="0"/>
      <w:marBottom w:val="0"/>
      <w:divBdr>
        <w:top w:val="none" w:sz="0" w:space="0" w:color="auto"/>
        <w:left w:val="none" w:sz="0" w:space="0" w:color="auto"/>
        <w:bottom w:val="none" w:sz="0" w:space="0" w:color="auto"/>
        <w:right w:val="none" w:sz="0" w:space="0" w:color="auto"/>
      </w:divBdr>
    </w:div>
    <w:div w:id="1569610256">
      <w:bodyDiv w:val="1"/>
      <w:marLeft w:val="0"/>
      <w:marRight w:val="0"/>
      <w:marTop w:val="0"/>
      <w:marBottom w:val="0"/>
      <w:divBdr>
        <w:top w:val="none" w:sz="0" w:space="0" w:color="auto"/>
        <w:left w:val="none" w:sz="0" w:space="0" w:color="auto"/>
        <w:bottom w:val="none" w:sz="0" w:space="0" w:color="auto"/>
        <w:right w:val="none" w:sz="0" w:space="0" w:color="auto"/>
      </w:divBdr>
    </w:div>
    <w:div w:id="20657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11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07F6-803A-4B8D-BB13-5B525B96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5859</Characters>
  <Application>Microsoft Office Word</Application>
  <DocSecurity>0</DocSecurity>
  <Lines>101</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2017-05-29T06:47:00Z</dcterms:created>
  <dcterms:modified xsi:type="dcterms:W3CDTF">2017-05-31T10:41:00Z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2</vt:lpwstr>
  </property>
  <property fmtid="{D5CDD505-2E9C-101B-9397-08002B2CF9AE}" pid="3" name="Last annex">
    <vt:lpwstr>2</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